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70C" w:rsidRPr="003A52E3" w:rsidRDefault="00A8670C" w:rsidP="002164D0">
      <w:pPr>
        <w:pStyle w:val="Title"/>
        <w:ind w:right="-15"/>
        <w:rPr>
          <w:b w:val="0"/>
          <w:color w:val="000000" w:themeColor="text1"/>
          <w:sz w:val="44"/>
          <w:szCs w:val="44"/>
        </w:rPr>
      </w:pPr>
      <w:bookmarkStart w:id="0" w:name="_Toc442780672"/>
      <w:bookmarkStart w:id="1" w:name="_GoBack"/>
      <w:bookmarkEnd w:id="1"/>
      <w:r w:rsidRPr="005A5921">
        <w:rPr>
          <w:sz w:val="50"/>
          <w:szCs w:val="50"/>
        </w:rPr>
        <w:t xml:space="preserve">Natural </w:t>
      </w:r>
      <w:r w:rsidR="00B35053">
        <w:rPr>
          <w:sz w:val="50"/>
          <w:szCs w:val="50"/>
        </w:rPr>
        <w:t>D</w:t>
      </w:r>
      <w:r w:rsidRPr="005A5921">
        <w:rPr>
          <w:sz w:val="50"/>
          <w:szCs w:val="50"/>
        </w:rPr>
        <w:t xml:space="preserve">isaster </w:t>
      </w:r>
      <w:r w:rsidR="00B35053">
        <w:rPr>
          <w:sz w:val="50"/>
          <w:szCs w:val="50"/>
        </w:rPr>
        <w:t>F</w:t>
      </w:r>
      <w:r w:rsidRPr="005A5921">
        <w:rPr>
          <w:sz w:val="50"/>
          <w:szCs w:val="50"/>
        </w:rPr>
        <w:t xml:space="preserve">inancial </w:t>
      </w:r>
      <w:r w:rsidR="00B35053">
        <w:rPr>
          <w:sz w:val="50"/>
          <w:szCs w:val="50"/>
        </w:rPr>
        <w:t>A</w:t>
      </w:r>
      <w:r w:rsidRPr="005A5921">
        <w:rPr>
          <w:sz w:val="50"/>
          <w:szCs w:val="50"/>
        </w:rPr>
        <w:t>ssistance for local councils</w:t>
      </w:r>
      <w:r w:rsidR="0033064B">
        <w:rPr>
          <w:color w:val="000000" w:themeColor="text1"/>
          <w:sz w:val="44"/>
          <w:szCs w:val="44"/>
        </w:rPr>
        <w:br/>
      </w:r>
      <w:r w:rsidR="0033064B" w:rsidRPr="003A52E3">
        <w:rPr>
          <w:b w:val="0"/>
          <w:color w:val="000000" w:themeColor="text1"/>
          <w:sz w:val="44"/>
          <w:szCs w:val="44"/>
        </w:rPr>
        <w:t>R</w:t>
      </w:r>
      <w:r w:rsidRPr="003A52E3">
        <w:rPr>
          <w:b w:val="0"/>
          <w:color w:val="000000" w:themeColor="text1"/>
          <w:sz w:val="44"/>
          <w:szCs w:val="44"/>
        </w:rPr>
        <w:t xml:space="preserve">elief and recovery </w:t>
      </w:r>
      <w:r w:rsidR="002617FD" w:rsidRPr="003A52E3">
        <w:rPr>
          <w:b w:val="0"/>
          <w:color w:val="000000" w:themeColor="text1"/>
          <w:sz w:val="44"/>
          <w:szCs w:val="44"/>
        </w:rPr>
        <w:t>expenditure</w:t>
      </w:r>
    </w:p>
    <w:p w:rsidR="00A8670C" w:rsidRPr="003A52E3" w:rsidRDefault="00A8670C" w:rsidP="003A52E3">
      <w:pPr>
        <w:pStyle w:val="Heading2"/>
      </w:pPr>
      <w:r w:rsidRPr="003A52E3">
        <w:t>Overview</w:t>
      </w:r>
    </w:p>
    <w:p w:rsidR="00422AB3" w:rsidRDefault="00A8670C" w:rsidP="002164D0">
      <w:pPr>
        <w:jc w:val="both"/>
        <w:rPr>
          <w:lang w:eastAsia="en-US"/>
        </w:rPr>
      </w:pPr>
      <w:r>
        <w:rPr>
          <w:lang w:eastAsia="en-US"/>
        </w:rPr>
        <w:t xml:space="preserve">Under </w:t>
      </w:r>
      <w:r w:rsidR="00422AB3">
        <w:rPr>
          <w:lang w:eastAsia="en-US"/>
        </w:rPr>
        <w:t xml:space="preserve">Victoria’s </w:t>
      </w:r>
      <w:r w:rsidRPr="00B137F8">
        <w:rPr>
          <w:lang w:eastAsia="en-US"/>
        </w:rPr>
        <w:t>Natural Disaster Financial Assistance (NDFA)</w:t>
      </w:r>
      <w:r>
        <w:rPr>
          <w:lang w:eastAsia="en-US"/>
        </w:rPr>
        <w:t xml:space="preserve"> scheme, financial support is provided </w:t>
      </w:r>
      <w:r w:rsidR="0034121E">
        <w:rPr>
          <w:lang w:eastAsia="en-US"/>
        </w:rPr>
        <w:t xml:space="preserve">by the Department of Treasury and Finance (DTF) </w:t>
      </w:r>
      <w:r>
        <w:rPr>
          <w:lang w:eastAsia="en-US"/>
        </w:rPr>
        <w:t>to assist local councils with costs associated with</w:t>
      </w:r>
      <w:r w:rsidR="00FB272C">
        <w:rPr>
          <w:lang w:eastAsia="en-US"/>
        </w:rPr>
        <w:t xml:space="preserve"> </w:t>
      </w:r>
      <w:r w:rsidR="00D52CA3">
        <w:rPr>
          <w:lang w:eastAsia="en-US"/>
        </w:rPr>
        <w:t>particular</w:t>
      </w:r>
      <w:r w:rsidR="00B35053">
        <w:rPr>
          <w:lang w:eastAsia="en-US"/>
        </w:rPr>
        <w:t xml:space="preserve"> relief and recovery</w:t>
      </w:r>
      <w:r>
        <w:rPr>
          <w:lang w:eastAsia="en-US"/>
        </w:rPr>
        <w:t xml:space="preserve"> activities</w:t>
      </w:r>
      <w:r w:rsidR="00D52CA3">
        <w:rPr>
          <w:lang w:eastAsia="en-US"/>
        </w:rPr>
        <w:t xml:space="preserve"> following </w:t>
      </w:r>
      <w:r w:rsidR="00422AB3">
        <w:rPr>
          <w:lang w:eastAsia="en-US"/>
        </w:rPr>
        <w:t xml:space="preserve">a </w:t>
      </w:r>
      <w:r w:rsidR="00D52CA3">
        <w:rPr>
          <w:lang w:eastAsia="en-US"/>
        </w:rPr>
        <w:t>natural disaster</w:t>
      </w:r>
      <w:r w:rsidR="00B35053">
        <w:rPr>
          <w:lang w:eastAsia="en-US"/>
        </w:rPr>
        <w:t>.</w:t>
      </w:r>
      <w:r w:rsidR="009D1030">
        <w:rPr>
          <w:lang w:eastAsia="en-US"/>
        </w:rPr>
        <w:t xml:space="preserve"> </w:t>
      </w:r>
      <w:r w:rsidR="00EE5DCE">
        <w:rPr>
          <w:lang w:eastAsia="en-US"/>
        </w:rPr>
        <w:t xml:space="preserve">Financial assistance is provided in accordance with the </w:t>
      </w:r>
      <w:r w:rsidR="00EE5DCE" w:rsidRPr="00B137F8">
        <w:rPr>
          <w:lang w:eastAsia="en-US"/>
        </w:rPr>
        <w:t>Commonwealth Natural Disaster Relief and Recovery Arrangements (NDRRA)</w:t>
      </w:r>
      <w:r w:rsidR="00EE5DCE">
        <w:rPr>
          <w:lang w:eastAsia="en-US"/>
        </w:rPr>
        <w:t xml:space="preserve">. </w:t>
      </w:r>
    </w:p>
    <w:p w:rsidR="001661B4" w:rsidRPr="003A52E3" w:rsidRDefault="009877CC" w:rsidP="002164D0">
      <w:pPr>
        <w:jc w:val="both"/>
        <w:rPr>
          <w:lang w:eastAsia="en-US"/>
        </w:rPr>
      </w:pPr>
      <w:r>
        <w:rPr>
          <w:lang w:eastAsia="en-US"/>
        </w:rPr>
        <w:t>Expenditure</w:t>
      </w:r>
      <w:r w:rsidR="00422AB3">
        <w:rPr>
          <w:lang w:eastAsia="en-US"/>
        </w:rPr>
        <w:t xml:space="preserve"> associated with relief and recovery activities are assessed by t</w:t>
      </w:r>
      <w:r w:rsidR="009D1030">
        <w:rPr>
          <w:lang w:eastAsia="en-US"/>
        </w:rPr>
        <w:t xml:space="preserve">he Department of Health </w:t>
      </w:r>
      <w:r w:rsidR="009D1030" w:rsidRPr="003A52E3">
        <w:rPr>
          <w:lang w:eastAsia="en-US"/>
        </w:rPr>
        <w:t>and Human Services (DHHS).</w:t>
      </w:r>
    </w:p>
    <w:p w:rsidR="00A8670C" w:rsidRPr="003A52E3" w:rsidRDefault="001661B4" w:rsidP="002164D0">
      <w:pPr>
        <w:jc w:val="both"/>
        <w:rPr>
          <w:lang w:eastAsia="en-US"/>
        </w:rPr>
      </w:pPr>
      <w:r w:rsidRPr="003A52E3">
        <w:rPr>
          <w:lang w:eastAsia="en-US"/>
        </w:rPr>
        <w:t>Eligible relief and recovery</w:t>
      </w:r>
      <w:r w:rsidR="00B35053" w:rsidRPr="003A52E3">
        <w:rPr>
          <w:lang w:eastAsia="en-US"/>
        </w:rPr>
        <w:t xml:space="preserve"> activities</w:t>
      </w:r>
      <w:r w:rsidR="00A8670C" w:rsidRPr="003A52E3">
        <w:rPr>
          <w:lang w:eastAsia="en-US"/>
        </w:rPr>
        <w:t xml:space="preserve"> </w:t>
      </w:r>
      <w:r w:rsidR="00B35053" w:rsidRPr="003A52E3">
        <w:rPr>
          <w:lang w:eastAsia="en-US"/>
        </w:rPr>
        <w:t>include</w:t>
      </w:r>
      <w:r w:rsidR="00A8670C" w:rsidRPr="003A52E3">
        <w:rPr>
          <w:lang w:eastAsia="en-US"/>
        </w:rPr>
        <w:t xml:space="preserve"> the establishment of </w:t>
      </w:r>
      <w:r w:rsidRPr="003A52E3">
        <w:rPr>
          <w:lang w:eastAsia="en-US"/>
        </w:rPr>
        <w:t>Relief</w:t>
      </w:r>
      <w:r w:rsidR="00A8670C" w:rsidRPr="003A52E3">
        <w:rPr>
          <w:lang w:eastAsia="en-US"/>
        </w:rPr>
        <w:t xml:space="preserve"> </w:t>
      </w:r>
      <w:r w:rsidRPr="003A52E3">
        <w:rPr>
          <w:lang w:eastAsia="en-US"/>
        </w:rPr>
        <w:t>and Recovery C</w:t>
      </w:r>
      <w:r w:rsidR="00A8670C" w:rsidRPr="003A52E3">
        <w:rPr>
          <w:lang w:eastAsia="en-US"/>
        </w:rPr>
        <w:t>entres</w:t>
      </w:r>
      <w:r w:rsidR="00B35053" w:rsidRPr="003A52E3">
        <w:rPr>
          <w:lang w:eastAsia="en-US"/>
        </w:rPr>
        <w:t xml:space="preserve"> or </w:t>
      </w:r>
      <w:r w:rsidR="00A8670C" w:rsidRPr="003A52E3">
        <w:rPr>
          <w:lang w:eastAsia="en-US"/>
        </w:rPr>
        <w:t>Municipal Emergency Coordination Centre</w:t>
      </w:r>
      <w:r w:rsidRPr="003A52E3">
        <w:rPr>
          <w:lang w:eastAsia="en-US"/>
        </w:rPr>
        <w:t>s</w:t>
      </w:r>
      <w:r w:rsidR="00A8670C" w:rsidRPr="003A52E3">
        <w:rPr>
          <w:lang w:eastAsia="en-US"/>
        </w:rPr>
        <w:t xml:space="preserve"> (MECC</w:t>
      </w:r>
      <w:r w:rsidR="00724028" w:rsidRPr="003A52E3">
        <w:rPr>
          <w:lang w:eastAsia="en-US"/>
        </w:rPr>
        <w:t>s</w:t>
      </w:r>
      <w:r w:rsidR="00A8670C" w:rsidRPr="003A52E3">
        <w:rPr>
          <w:lang w:eastAsia="en-US"/>
        </w:rPr>
        <w:t>)</w:t>
      </w:r>
      <w:r w:rsidR="00B35053" w:rsidRPr="003A52E3">
        <w:rPr>
          <w:lang w:eastAsia="en-US"/>
        </w:rPr>
        <w:t xml:space="preserve">, </w:t>
      </w:r>
      <w:r w:rsidR="00702EAA" w:rsidRPr="003A52E3">
        <w:rPr>
          <w:lang w:eastAsia="en-US"/>
        </w:rPr>
        <w:t xml:space="preserve">and other relief and recovery activities such as </w:t>
      </w:r>
      <w:r w:rsidR="00B35053" w:rsidRPr="003A52E3">
        <w:rPr>
          <w:lang w:eastAsia="en-US"/>
        </w:rPr>
        <w:t>emergency and/or temporary accommodation, the supply of immediate needs (i.e. food, water and clothing), as well as personal and financial counselling.</w:t>
      </w:r>
    </w:p>
    <w:p w:rsidR="00CB3D63" w:rsidRPr="003A52E3" w:rsidRDefault="00CB3D63" w:rsidP="00407CC3">
      <w:pPr>
        <w:jc w:val="both"/>
      </w:pPr>
      <w:r w:rsidRPr="003A52E3">
        <w:rPr>
          <w:lang w:eastAsia="en-US"/>
        </w:rPr>
        <w:t xml:space="preserve">For eligible relief and recovery expenditure to be reimbursed, local councils are required to advise DTF as soon as practically possible after a disaster that they have incurred or expect to incur these types of costs to ensure that the event is </w:t>
      </w:r>
      <w:r w:rsidR="00724028" w:rsidRPr="003A52E3">
        <w:t>notified to the Commonwealth as an eligible natural disaster under the NDRRA</w:t>
      </w:r>
      <w:r w:rsidRPr="003A52E3">
        <w:t>.</w:t>
      </w:r>
    </w:p>
    <w:p w:rsidR="00724028" w:rsidRPr="003A52E3" w:rsidRDefault="00407CC3" w:rsidP="00A527EC">
      <w:pPr>
        <w:jc w:val="both"/>
        <w:rPr>
          <w:b/>
          <w:lang w:eastAsia="en-US"/>
        </w:rPr>
      </w:pPr>
      <w:r w:rsidRPr="003A52E3">
        <w:rPr>
          <w:b/>
          <w:lang w:eastAsia="en-US"/>
        </w:rPr>
        <w:t xml:space="preserve">As of 1 July 2017, local councils </w:t>
      </w:r>
      <w:r w:rsidR="00EC77BC" w:rsidRPr="003A52E3">
        <w:rPr>
          <w:b/>
          <w:lang w:eastAsia="en-US"/>
        </w:rPr>
        <w:t xml:space="preserve">are required to advise </w:t>
      </w:r>
      <w:r w:rsidRPr="003A52E3">
        <w:rPr>
          <w:b/>
          <w:lang w:eastAsia="en-US"/>
        </w:rPr>
        <w:t>DTF if further time is required to incur eligible relief and recovery expenditure post 12 months following an event.</w:t>
      </w:r>
    </w:p>
    <w:p w:rsidR="00A8670C" w:rsidRPr="003A52E3" w:rsidRDefault="00A8670C" w:rsidP="003A52E3">
      <w:pPr>
        <w:pStyle w:val="Heading2"/>
      </w:pPr>
      <w:r w:rsidRPr="003A52E3">
        <w:t xml:space="preserve">Relief and </w:t>
      </w:r>
      <w:r w:rsidR="0043720D" w:rsidRPr="003A52E3">
        <w:t>R</w:t>
      </w:r>
      <w:r w:rsidRPr="003A52E3">
        <w:t xml:space="preserve">ecovery </w:t>
      </w:r>
      <w:r w:rsidR="0043720D" w:rsidRPr="003A52E3">
        <w:t>C</w:t>
      </w:r>
      <w:r w:rsidRPr="003A52E3">
        <w:t>entres</w:t>
      </w:r>
      <w:r w:rsidR="0043720D" w:rsidRPr="003A52E3">
        <w:t xml:space="preserve"> and </w:t>
      </w:r>
      <w:r w:rsidR="005B78F1" w:rsidRPr="003A52E3">
        <w:t>MECCs</w:t>
      </w:r>
    </w:p>
    <w:p w:rsidR="009877CC" w:rsidRPr="003A52E3" w:rsidRDefault="00A8670C" w:rsidP="002164D0">
      <w:pPr>
        <w:spacing w:before="240" w:after="0"/>
        <w:jc w:val="both"/>
      </w:pPr>
      <w:r w:rsidRPr="003A52E3">
        <w:t xml:space="preserve">Some costs associated with </w:t>
      </w:r>
      <w:r w:rsidR="00EC77BC" w:rsidRPr="003A52E3">
        <w:t xml:space="preserve">the </w:t>
      </w:r>
      <w:r w:rsidRPr="003A52E3">
        <w:t xml:space="preserve">establishment of </w:t>
      </w:r>
      <w:r w:rsidR="00724028" w:rsidRPr="003A52E3">
        <w:t>R</w:t>
      </w:r>
      <w:r w:rsidRPr="003A52E3">
        <w:t xml:space="preserve">elief and </w:t>
      </w:r>
      <w:r w:rsidR="00724028" w:rsidRPr="003A52E3">
        <w:t>R</w:t>
      </w:r>
      <w:r w:rsidRPr="003A52E3">
        <w:t xml:space="preserve">ecovery </w:t>
      </w:r>
      <w:r w:rsidR="00724028" w:rsidRPr="003A52E3">
        <w:t>C</w:t>
      </w:r>
      <w:r w:rsidRPr="003A52E3">
        <w:t xml:space="preserve">entres </w:t>
      </w:r>
      <w:r w:rsidR="00724028" w:rsidRPr="003A52E3">
        <w:t>and MECCs are eligible for reimbursement.</w:t>
      </w:r>
      <w:r w:rsidR="00586C99" w:rsidRPr="003A52E3">
        <w:t xml:space="preserve"> </w:t>
      </w:r>
    </w:p>
    <w:p w:rsidR="00F57287" w:rsidRPr="003A52E3" w:rsidRDefault="009877CC" w:rsidP="002164D0">
      <w:pPr>
        <w:spacing w:before="240" w:after="0"/>
        <w:jc w:val="both"/>
      </w:pPr>
      <w:r w:rsidRPr="003A52E3">
        <w:t xml:space="preserve">Examples of costs associated with relief or recovery centres and MECCs which </w:t>
      </w:r>
      <w:r w:rsidR="003A52E3" w:rsidRPr="003A52E3">
        <w:t>are</w:t>
      </w:r>
      <w:r w:rsidRPr="003A52E3">
        <w:t xml:space="preserve"> </w:t>
      </w:r>
      <w:r w:rsidR="003A52E3" w:rsidRPr="003A52E3">
        <w:t>eligible,</w:t>
      </w:r>
      <w:r w:rsidRPr="003A52E3">
        <w:t xml:space="preserve"> or ineligible include:</w:t>
      </w:r>
    </w:p>
    <w:p w:rsidR="008012B9" w:rsidRPr="003A52E3" w:rsidRDefault="008012B9" w:rsidP="00196B31">
      <w:pPr>
        <w:spacing w:before="120" w:after="0"/>
        <w:jc w:val="both"/>
        <w:rPr>
          <w:lang w:eastAsia="en-US"/>
        </w:rPr>
      </w:pPr>
    </w:p>
    <w:tbl>
      <w:tblPr>
        <w:tblStyle w:val="TableGrid"/>
        <w:tblW w:w="9271" w:type="dxa"/>
        <w:tblLook w:val="0420" w:firstRow="1" w:lastRow="0" w:firstColumn="0" w:lastColumn="0" w:noHBand="0" w:noVBand="1"/>
      </w:tblPr>
      <w:tblGrid>
        <w:gridCol w:w="9271"/>
      </w:tblGrid>
      <w:tr w:rsidR="005469F2" w:rsidRPr="003A52E3" w:rsidTr="00196B31">
        <w:trPr>
          <w:cnfStyle w:val="100000000000" w:firstRow="1" w:lastRow="0" w:firstColumn="0" w:lastColumn="0" w:oddVBand="0" w:evenVBand="0" w:oddHBand="0" w:evenHBand="0" w:firstRowFirstColumn="0" w:firstRowLastColumn="0" w:lastRowFirstColumn="0" w:lastRowLastColumn="0"/>
          <w:trHeight w:val="484"/>
        </w:trPr>
        <w:tc>
          <w:tcPr>
            <w:tcW w:w="9271" w:type="dxa"/>
          </w:tcPr>
          <w:p w:rsidR="005469F2" w:rsidRPr="003A52E3" w:rsidRDefault="005469F2" w:rsidP="00196B31">
            <w:pPr>
              <w:spacing w:before="100"/>
              <w:jc w:val="center"/>
              <w:rPr>
                <w:rFonts w:cstheme="minorHAnsi"/>
                <w:b/>
                <w:sz w:val="22"/>
                <w:szCs w:val="22"/>
              </w:rPr>
            </w:pPr>
            <w:r w:rsidRPr="003A52E3">
              <w:rPr>
                <w:rFonts w:cstheme="minorHAnsi"/>
                <w:b/>
                <w:sz w:val="22"/>
                <w:szCs w:val="22"/>
              </w:rPr>
              <w:t>Eligible Costs</w:t>
            </w:r>
          </w:p>
        </w:tc>
      </w:tr>
      <w:tr w:rsidR="005469F2" w:rsidRPr="003A52E3" w:rsidTr="00196B31">
        <w:trPr>
          <w:trHeight w:val="683"/>
        </w:trPr>
        <w:tc>
          <w:tcPr>
            <w:tcW w:w="9271" w:type="dxa"/>
            <w:shd w:val="clear" w:color="auto" w:fill="F2F2F2" w:themeFill="background1" w:themeFillShade="F2"/>
          </w:tcPr>
          <w:p w:rsidR="005469F2" w:rsidRPr="003A52E3" w:rsidRDefault="005469F2" w:rsidP="001B4174">
            <w:pPr>
              <w:pStyle w:val="ListParagraph"/>
              <w:numPr>
                <w:ilvl w:val="0"/>
                <w:numId w:val="23"/>
              </w:numPr>
              <w:spacing w:before="100"/>
              <w:jc w:val="both"/>
              <w:rPr>
                <w:rFonts w:cstheme="minorHAnsi"/>
                <w:szCs w:val="17"/>
              </w:rPr>
            </w:pPr>
            <w:r w:rsidRPr="003A52E3">
              <w:rPr>
                <w:rFonts w:cstheme="minorHAnsi"/>
                <w:b/>
                <w:szCs w:val="17"/>
              </w:rPr>
              <w:t>Establishment and operation</w:t>
            </w:r>
            <w:r w:rsidRPr="003A52E3">
              <w:rPr>
                <w:rFonts w:cstheme="minorHAnsi"/>
                <w:szCs w:val="17"/>
              </w:rPr>
              <w:t xml:space="preserve"> of a Relief and Recovery Centre or a MECC for a disaster which has been notified to the Commonwealth under the NDRRA.</w:t>
            </w:r>
          </w:p>
        </w:tc>
      </w:tr>
      <w:tr w:rsidR="005469F2" w:rsidRPr="003A52E3" w:rsidTr="00196B31">
        <w:trPr>
          <w:cnfStyle w:val="000000010000" w:firstRow="0" w:lastRow="0" w:firstColumn="0" w:lastColumn="0" w:oddVBand="0" w:evenVBand="0" w:oddHBand="0" w:evenHBand="1" w:firstRowFirstColumn="0" w:firstRowLastColumn="0" w:lastRowFirstColumn="0" w:lastRowLastColumn="0"/>
          <w:trHeight w:val="8931"/>
        </w:trPr>
        <w:tc>
          <w:tcPr>
            <w:tcW w:w="9271" w:type="dxa"/>
            <w:shd w:val="clear" w:color="auto" w:fill="F2F2F2" w:themeFill="background1" w:themeFillShade="F2"/>
          </w:tcPr>
          <w:p w:rsidR="005469F2" w:rsidRPr="003A52E3" w:rsidRDefault="005469F2" w:rsidP="009877CC">
            <w:pPr>
              <w:numPr>
                <w:ilvl w:val="0"/>
                <w:numId w:val="21"/>
              </w:numPr>
              <w:tabs>
                <w:tab w:val="clear" w:pos="567"/>
                <w:tab w:val="num" w:pos="426"/>
              </w:tabs>
              <w:spacing w:before="100"/>
              <w:ind w:left="426" w:hanging="426"/>
              <w:jc w:val="both"/>
              <w:rPr>
                <w:rFonts w:cstheme="minorHAnsi"/>
                <w:szCs w:val="17"/>
              </w:rPr>
            </w:pPr>
            <w:r w:rsidRPr="003A52E3">
              <w:rPr>
                <w:rFonts w:cstheme="minorHAnsi"/>
                <w:szCs w:val="17"/>
              </w:rPr>
              <w:t xml:space="preserve">The </w:t>
            </w:r>
            <w:r w:rsidRPr="003A52E3">
              <w:rPr>
                <w:rFonts w:cstheme="minorHAnsi"/>
                <w:b/>
                <w:szCs w:val="17"/>
              </w:rPr>
              <w:t>pre-deployment of resources</w:t>
            </w:r>
            <w:r w:rsidRPr="003A52E3">
              <w:rPr>
                <w:rFonts w:cstheme="minorHAnsi"/>
                <w:szCs w:val="17"/>
              </w:rPr>
              <w:t xml:space="preserve"> (staff) to establish a Relief and/or Recovery Centre or a MECC.</w:t>
            </w:r>
          </w:p>
          <w:p w:rsidR="005469F2" w:rsidRPr="003A52E3" w:rsidRDefault="005469F2" w:rsidP="005E50FC">
            <w:pPr>
              <w:numPr>
                <w:ilvl w:val="0"/>
                <w:numId w:val="21"/>
              </w:numPr>
              <w:tabs>
                <w:tab w:val="clear" w:pos="567"/>
                <w:tab w:val="num" w:pos="426"/>
              </w:tabs>
              <w:spacing w:before="100"/>
              <w:ind w:left="426" w:hanging="426"/>
              <w:jc w:val="both"/>
              <w:rPr>
                <w:rFonts w:cstheme="minorHAnsi"/>
                <w:szCs w:val="17"/>
              </w:rPr>
            </w:pPr>
            <w:r w:rsidRPr="003A52E3">
              <w:rPr>
                <w:rFonts w:cstheme="minorHAnsi"/>
                <w:b/>
                <w:szCs w:val="17"/>
              </w:rPr>
              <w:t>Relief and Recovery operational costs</w:t>
            </w:r>
            <w:r w:rsidRPr="003A52E3">
              <w:rPr>
                <w:rFonts w:cstheme="minorHAnsi"/>
                <w:szCs w:val="17"/>
              </w:rPr>
              <w:t xml:space="preserve"> associated with:</w:t>
            </w:r>
          </w:p>
          <w:p w:rsidR="005469F2" w:rsidRPr="003A52E3" w:rsidRDefault="005469F2" w:rsidP="00196B31">
            <w:pPr>
              <w:numPr>
                <w:ilvl w:val="2"/>
                <w:numId w:val="21"/>
              </w:numPr>
              <w:spacing w:before="100"/>
              <w:jc w:val="both"/>
              <w:rPr>
                <w:rFonts w:cstheme="minorHAnsi"/>
                <w:szCs w:val="17"/>
              </w:rPr>
            </w:pPr>
            <w:r w:rsidRPr="003A52E3">
              <w:rPr>
                <w:rFonts w:cstheme="minorHAnsi"/>
                <w:szCs w:val="17"/>
              </w:rPr>
              <w:t>Provision of advice to residents regarding evacuation (i.e. communication to the public regarding evacuation information).</w:t>
            </w:r>
          </w:p>
          <w:p w:rsidR="005469F2" w:rsidRPr="003A52E3" w:rsidRDefault="005469F2" w:rsidP="00196B31">
            <w:pPr>
              <w:numPr>
                <w:ilvl w:val="2"/>
                <w:numId w:val="21"/>
              </w:numPr>
              <w:spacing w:before="100"/>
              <w:jc w:val="both"/>
              <w:rPr>
                <w:rFonts w:cstheme="minorHAnsi"/>
                <w:szCs w:val="17"/>
              </w:rPr>
            </w:pPr>
            <w:r w:rsidRPr="003A52E3">
              <w:rPr>
                <w:rFonts w:cstheme="minorHAnsi"/>
                <w:szCs w:val="17"/>
              </w:rPr>
              <w:t>Emergency accommodation/shelter including short term accommodation for individuals at an evacuation centre or through a service provider such as a hotel;</w:t>
            </w:r>
          </w:p>
          <w:p w:rsidR="005469F2" w:rsidRPr="003A52E3" w:rsidRDefault="005469F2" w:rsidP="00196B31">
            <w:pPr>
              <w:numPr>
                <w:ilvl w:val="2"/>
                <w:numId w:val="21"/>
              </w:numPr>
              <w:spacing w:before="100"/>
              <w:jc w:val="both"/>
              <w:rPr>
                <w:rFonts w:cstheme="minorHAnsi"/>
                <w:szCs w:val="17"/>
              </w:rPr>
            </w:pPr>
            <w:r w:rsidRPr="003A52E3">
              <w:rPr>
                <w:rFonts w:cstheme="minorHAnsi"/>
                <w:szCs w:val="17"/>
              </w:rPr>
              <w:t>Evacuation of patients from hospital and residents from aged/high care facilities;</w:t>
            </w:r>
          </w:p>
          <w:p w:rsidR="005469F2" w:rsidRPr="003A52E3" w:rsidRDefault="005469F2" w:rsidP="00196B31">
            <w:pPr>
              <w:numPr>
                <w:ilvl w:val="2"/>
                <w:numId w:val="21"/>
              </w:numPr>
              <w:spacing w:before="100"/>
              <w:jc w:val="both"/>
              <w:rPr>
                <w:rFonts w:cstheme="minorHAnsi"/>
                <w:szCs w:val="17"/>
              </w:rPr>
            </w:pPr>
            <w:r w:rsidRPr="003A52E3">
              <w:rPr>
                <w:rFonts w:cstheme="minorHAnsi"/>
                <w:szCs w:val="17"/>
              </w:rPr>
              <w:t>The transportation of individuals needing to travel to emergency accommodation including travel vouchers or in-kind transportation for individuals);</w:t>
            </w:r>
          </w:p>
          <w:p w:rsidR="005469F2" w:rsidRPr="003A52E3" w:rsidRDefault="005469F2" w:rsidP="00196B31">
            <w:pPr>
              <w:numPr>
                <w:ilvl w:val="2"/>
                <w:numId w:val="21"/>
              </w:numPr>
              <w:spacing w:before="100"/>
              <w:jc w:val="both"/>
              <w:rPr>
                <w:rFonts w:cstheme="minorHAnsi"/>
                <w:szCs w:val="17"/>
              </w:rPr>
            </w:pPr>
            <w:r w:rsidRPr="003A52E3">
              <w:rPr>
                <w:rFonts w:cstheme="minorHAnsi"/>
                <w:szCs w:val="17"/>
              </w:rPr>
              <w:t>The provision of catering such as bottled water, beverages and food for evacuees;</w:t>
            </w:r>
          </w:p>
          <w:p w:rsidR="005469F2" w:rsidRPr="003A52E3" w:rsidRDefault="005469F2" w:rsidP="00196B31">
            <w:pPr>
              <w:numPr>
                <w:ilvl w:val="2"/>
                <w:numId w:val="21"/>
              </w:numPr>
              <w:spacing w:before="100"/>
              <w:jc w:val="both"/>
              <w:rPr>
                <w:rFonts w:cstheme="minorHAnsi"/>
                <w:szCs w:val="17"/>
              </w:rPr>
            </w:pPr>
            <w:r w:rsidRPr="003A52E3">
              <w:rPr>
                <w:rFonts w:cstheme="minorHAnsi"/>
                <w:szCs w:val="17"/>
              </w:rPr>
              <w:t>The provision of basic medical supplies and medication;</w:t>
            </w:r>
          </w:p>
          <w:p w:rsidR="005469F2" w:rsidRPr="003A52E3" w:rsidRDefault="005469F2" w:rsidP="003E43F5">
            <w:pPr>
              <w:numPr>
                <w:ilvl w:val="2"/>
                <w:numId w:val="21"/>
              </w:numPr>
              <w:tabs>
                <w:tab w:val="num" w:pos="426"/>
              </w:tabs>
              <w:spacing w:before="100"/>
              <w:jc w:val="both"/>
              <w:rPr>
                <w:rFonts w:cstheme="minorHAnsi"/>
                <w:szCs w:val="17"/>
              </w:rPr>
            </w:pPr>
            <w:r w:rsidRPr="003A52E3">
              <w:rPr>
                <w:rFonts w:cstheme="minorHAnsi"/>
                <w:szCs w:val="17"/>
              </w:rPr>
              <w:t>Extraordinary costs of emergency food or essential supply drops to affected communities.</w:t>
            </w:r>
          </w:p>
          <w:p w:rsidR="005469F2" w:rsidRPr="003A52E3" w:rsidRDefault="005469F2" w:rsidP="00196B31">
            <w:pPr>
              <w:numPr>
                <w:ilvl w:val="2"/>
                <w:numId w:val="21"/>
              </w:numPr>
              <w:spacing w:before="100"/>
              <w:jc w:val="both"/>
              <w:rPr>
                <w:rFonts w:cstheme="minorHAnsi"/>
                <w:szCs w:val="17"/>
              </w:rPr>
            </w:pPr>
            <w:r w:rsidRPr="003A52E3">
              <w:rPr>
                <w:rFonts w:cstheme="minorHAnsi"/>
                <w:szCs w:val="17"/>
              </w:rPr>
              <w:t>Evacuation of companion or domestic animals (pets) including cost of establishing evacuation facilities and of providing basic care, such as food and shelter, where they are at risk of injury, isolation, hardship or distress if they remain at a location (even if the disaster has not reached that locality). Assistance is only provided for the duration for which the owners are receiving assistance such as residing in an evacuation centre or emergency accommodation.</w:t>
            </w:r>
          </w:p>
          <w:p w:rsidR="005469F2" w:rsidRPr="003A52E3" w:rsidRDefault="005469F2" w:rsidP="00196B31">
            <w:pPr>
              <w:numPr>
                <w:ilvl w:val="2"/>
                <w:numId w:val="21"/>
              </w:numPr>
              <w:spacing w:before="100"/>
              <w:jc w:val="both"/>
              <w:rPr>
                <w:rFonts w:cstheme="minorHAnsi"/>
                <w:szCs w:val="17"/>
              </w:rPr>
            </w:pPr>
            <w:r w:rsidRPr="003A52E3">
              <w:rPr>
                <w:rFonts w:cstheme="minorHAnsi"/>
                <w:szCs w:val="17"/>
              </w:rPr>
              <w:t>Rental charges and power costs for the period a building is operating as a relief and recovery centre or MECC;</w:t>
            </w:r>
          </w:p>
          <w:p w:rsidR="005469F2" w:rsidRPr="003A52E3" w:rsidRDefault="005469F2" w:rsidP="00196B31">
            <w:pPr>
              <w:numPr>
                <w:ilvl w:val="2"/>
                <w:numId w:val="21"/>
              </w:numPr>
              <w:spacing w:before="100"/>
              <w:jc w:val="both"/>
              <w:rPr>
                <w:rFonts w:cstheme="minorHAnsi"/>
                <w:szCs w:val="17"/>
              </w:rPr>
            </w:pPr>
            <w:r w:rsidRPr="003A52E3">
              <w:rPr>
                <w:rFonts w:cstheme="minorHAnsi"/>
                <w:szCs w:val="17"/>
              </w:rPr>
              <w:t>Establishment of a ‘tent city’ to accommodate displaced individuals and certain staffing costs i.e. overtime of existing staff or new temporar</w:t>
            </w:r>
            <w:r w:rsidR="004C7C43" w:rsidRPr="003A52E3">
              <w:rPr>
                <w:rFonts w:cstheme="minorHAnsi"/>
                <w:szCs w:val="17"/>
              </w:rPr>
              <w:t>y roles to provide this service;</w:t>
            </w:r>
          </w:p>
          <w:p w:rsidR="005469F2" w:rsidRPr="003A52E3" w:rsidRDefault="005469F2" w:rsidP="007457C4">
            <w:pPr>
              <w:numPr>
                <w:ilvl w:val="2"/>
                <w:numId w:val="21"/>
              </w:numPr>
              <w:spacing w:before="100"/>
              <w:jc w:val="both"/>
              <w:rPr>
                <w:rFonts w:cstheme="minorHAnsi"/>
                <w:szCs w:val="17"/>
              </w:rPr>
            </w:pPr>
            <w:r w:rsidRPr="003A52E3">
              <w:rPr>
                <w:rFonts w:cstheme="minorHAnsi"/>
                <w:szCs w:val="17"/>
              </w:rPr>
              <w:t xml:space="preserve">acquiring, deploying and coordinating resources to support response, community support and relief and recovery activities, </w:t>
            </w:r>
          </w:p>
          <w:p w:rsidR="005469F2" w:rsidRPr="003A52E3" w:rsidRDefault="005469F2" w:rsidP="007457C4">
            <w:pPr>
              <w:numPr>
                <w:ilvl w:val="2"/>
                <w:numId w:val="21"/>
              </w:numPr>
              <w:spacing w:before="100"/>
              <w:jc w:val="both"/>
              <w:rPr>
                <w:rFonts w:cstheme="minorHAnsi"/>
                <w:szCs w:val="17"/>
              </w:rPr>
            </w:pPr>
            <w:r w:rsidRPr="003A52E3">
              <w:rPr>
                <w:rFonts w:cstheme="minorHAnsi"/>
                <w:szCs w:val="17"/>
              </w:rPr>
              <w:t>providing accurate logging of information, communication and decisions for recording, debriefing and planning purpose;</w:t>
            </w:r>
          </w:p>
          <w:p w:rsidR="005469F2" w:rsidRPr="003A52E3" w:rsidRDefault="005469F2" w:rsidP="007457C4">
            <w:pPr>
              <w:numPr>
                <w:ilvl w:val="2"/>
                <w:numId w:val="21"/>
              </w:numPr>
              <w:spacing w:before="100"/>
              <w:jc w:val="both"/>
              <w:rPr>
                <w:rFonts w:cstheme="minorHAnsi"/>
                <w:szCs w:val="17"/>
              </w:rPr>
            </w:pPr>
            <w:r w:rsidRPr="003A52E3">
              <w:rPr>
                <w:rFonts w:cstheme="minorHAnsi"/>
                <w:szCs w:val="17"/>
              </w:rPr>
              <w:t>collating community information and disseminating the information to relevant agencies;</w:t>
            </w:r>
          </w:p>
          <w:p w:rsidR="005469F2" w:rsidRPr="003A52E3" w:rsidRDefault="005469F2" w:rsidP="007457C4">
            <w:pPr>
              <w:numPr>
                <w:ilvl w:val="2"/>
                <w:numId w:val="21"/>
              </w:numPr>
              <w:spacing w:before="100"/>
              <w:jc w:val="both"/>
              <w:rPr>
                <w:rFonts w:cstheme="minorHAnsi"/>
                <w:szCs w:val="17"/>
              </w:rPr>
            </w:pPr>
            <w:r w:rsidRPr="003A52E3">
              <w:rPr>
                <w:rFonts w:cstheme="minorHAnsi"/>
                <w:szCs w:val="17"/>
              </w:rPr>
              <w:t>registration of volunteer emergency workers;</w:t>
            </w:r>
          </w:p>
          <w:p w:rsidR="005469F2" w:rsidRPr="003A52E3" w:rsidRDefault="005469F2" w:rsidP="00196B31">
            <w:pPr>
              <w:numPr>
                <w:ilvl w:val="2"/>
                <w:numId w:val="21"/>
              </w:numPr>
              <w:spacing w:before="100"/>
              <w:jc w:val="both"/>
              <w:rPr>
                <w:rFonts w:cstheme="minorHAnsi"/>
                <w:szCs w:val="17"/>
              </w:rPr>
            </w:pPr>
            <w:r w:rsidRPr="003A52E3">
              <w:rPr>
                <w:rFonts w:cstheme="minorHAnsi"/>
                <w:szCs w:val="17"/>
              </w:rPr>
              <w:t>contributing to the rapid impact assessment process, including maintaining and validating records relating to damage and loss assessment data</w:t>
            </w:r>
          </w:p>
          <w:p w:rsidR="005469F2" w:rsidRPr="003A52E3" w:rsidRDefault="005469F2" w:rsidP="007457C4">
            <w:pPr>
              <w:numPr>
                <w:ilvl w:val="0"/>
                <w:numId w:val="21"/>
              </w:numPr>
              <w:tabs>
                <w:tab w:val="clear" w:pos="567"/>
                <w:tab w:val="num" w:pos="426"/>
              </w:tabs>
              <w:spacing w:before="100"/>
              <w:ind w:left="426" w:hanging="426"/>
              <w:jc w:val="both"/>
              <w:rPr>
                <w:rFonts w:cstheme="minorHAnsi"/>
                <w:szCs w:val="17"/>
              </w:rPr>
            </w:pPr>
            <w:r w:rsidRPr="003A52E3">
              <w:rPr>
                <w:rFonts w:cstheme="minorHAnsi"/>
                <w:b/>
                <w:szCs w:val="17"/>
              </w:rPr>
              <w:t>MECC operational costs</w:t>
            </w:r>
            <w:r w:rsidRPr="003A52E3">
              <w:rPr>
                <w:rFonts w:cstheme="minorHAnsi"/>
                <w:szCs w:val="17"/>
              </w:rPr>
              <w:t xml:space="preserve"> associated with:</w:t>
            </w:r>
          </w:p>
          <w:p w:rsidR="005469F2" w:rsidRPr="003A52E3" w:rsidRDefault="005469F2" w:rsidP="00196B31">
            <w:pPr>
              <w:numPr>
                <w:ilvl w:val="0"/>
                <w:numId w:val="28"/>
              </w:numPr>
              <w:tabs>
                <w:tab w:val="clear" w:pos="1287"/>
                <w:tab w:val="num" w:pos="1134"/>
              </w:tabs>
              <w:spacing w:before="100"/>
              <w:ind w:left="1134" w:hanging="283"/>
              <w:jc w:val="both"/>
              <w:rPr>
                <w:rFonts w:cstheme="minorHAnsi"/>
                <w:szCs w:val="17"/>
              </w:rPr>
            </w:pPr>
            <w:r w:rsidRPr="003A52E3">
              <w:rPr>
                <w:rFonts w:cstheme="minorHAnsi"/>
                <w:szCs w:val="17"/>
              </w:rPr>
              <w:t xml:space="preserve">acquiring, deploying and coordinating resources to support response, community support and relief and recovery activities, </w:t>
            </w:r>
          </w:p>
          <w:p w:rsidR="005469F2" w:rsidRPr="003A52E3" w:rsidRDefault="005469F2" w:rsidP="00196B31">
            <w:pPr>
              <w:numPr>
                <w:ilvl w:val="0"/>
                <w:numId w:val="28"/>
              </w:numPr>
              <w:tabs>
                <w:tab w:val="clear" w:pos="1287"/>
                <w:tab w:val="num" w:pos="1134"/>
              </w:tabs>
              <w:spacing w:before="100"/>
              <w:ind w:left="1134" w:hanging="283"/>
              <w:jc w:val="both"/>
              <w:rPr>
                <w:rFonts w:cstheme="minorHAnsi"/>
                <w:szCs w:val="17"/>
              </w:rPr>
            </w:pPr>
            <w:r w:rsidRPr="003A52E3">
              <w:rPr>
                <w:rFonts w:cstheme="minorHAnsi"/>
                <w:szCs w:val="17"/>
              </w:rPr>
              <w:t>providing accurate logging of information, communication and decisions for recording, debriefing and planning purpose;</w:t>
            </w:r>
          </w:p>
          <w:p w:rsidR="005469F2" w:rsidRPr="003A52E3" w:rsidRDefault="005469F2" w:rsidP="00196B31">
            <w:pPr>
              <w:numPr>
                <w:ilvl w:val="0"/>
                <w:numId w:val="28"/>
              </w:numPr>
              <w:tabs>
                <w:tab w:val="clear" w:pos="1287"/>
                <w:tab w:val="num" w:pos="1134"/>
              </w:tabs>
              <w:spacing w:before="100"/>
              <w:ind w:left="1134" w:hanging="283"/>
              <w:jc w:val="both"/>
              <w:rPr>
                <w:rFonts w:cstheme="minorHAnsi"/>
                <w:szCs w:val="17"/>
              </w:rPr>
            </w:pPr>
            <w:r w:rsidRPr="003A52E3">
              <w:rPr>
                <w:rFonts w:cstheme="minorHAnsi"/>
                <w:szCs w:val="17"/>
              </w:rPr>
              <w:t>collating community information and disseminating the information to relevant agencies;</w:t>
            </w:r>
          </w:p>
          <w:p w:rsidR="005469F2" w:rsidRPr="003A52E3" w:rsidRDefault="005469F2" w:rsidP="00196B31">
            <w:pPr>
              <w:numPr>
                <w:ilvl w:val="0"/>
                <w:numId w:val="28"/>
              </w:numPr>
              <w:tabs>
                <w:tab w:val="clear" w:pos="1287"/>
                <w:tab w:val="num" w:pos="1134"/>
              </w:tabs>
              <w:spacing w:before="100"/>
              <w:ind w:left="1134" w:hanging="283"/>
              <w:jc w:val="both"/>
              <w:rPr>
                <w:rFonts w:cstheme="minorHAnsi"/>
                <w:szCs w:val="17"/>
              </w:rPr>
            </w:pPr>
            <w:r w:rsidRPr="003A52E3">
              <w:rPr>
                <w:rFonts w:cstheme="minorHAnsi"/>
                <w:szCs w:val="17"/>
              </w:rPr>
              <w:t>registration of volunteer emergency workers;</w:t>
            </w:r>
          </w:p>
          <w:p w:rsidR="005469F2" w:rsidRPr="003A52E3" w:rsidRDefault="005469F2" w:rsidP="00196B31">
            <w:pPr>
              <w:numPr>
                <w:ilvl w:val="0"/>
                <w:numId w:val="28"/>
              </w:numPr>
              <w:tabs>
                <w:tab w:val="clear" w:pos="1287"/>
                <w:tab w:val="num" w:pos="1134"/>
              </w:tabs>
              <w:spacing w:before="100"/>
              <w:ind w:left="1134" w:hanging="283"/>
              <w:jc w:val="both"/>
              <w:rPr>
                <w:rFonts w:cstheme="minorHAnsi"/>
                <w:b/>
                <w:szCs w:val="17"/>
              </w:rPr>
            </w:pPr>
            <w:r w:rsidRPr="003A52E3">
              <w:rPr>
                <w:rFonts w:cstheme="minorHAnsi"/>
                <w:szCs w:val="17"/>
              </w:rPr>
              <w:t>contributing to the rapid impact assessment process, including maintaining and validating records relating to damage and loss assessment data</w:t>
            </w:r>
            <w:r w:rsidR="00E81A72" w:rsidRPr="003A52E3">
              <w:rPr>
                <w:rFonts w:cstheme="minorHAnsi"/>
                <w:szCs w:val="17"/>
              </w:rPr>
              <w:t>.</w:t>
            </w:r>
          </w:p>
          <w:p w:rsidR="005469F2" w:rsidRPr="003A52E3" w:rsidRDefault="005469F2" w:rsidP="00196B31">
            <w:pPr>
              <w:spacing w:before="100"/>
              <w:jc w:val="both"/>
              <w:rPr>
                <w:rFonts w:cstheme="minorHAnsi"/>
                <w:b/>
                <w:szCs w:val="17"/>
              </w:rPr>
            </w:pPr>
          </w:p>
        </w:tc>
      </w:tr>
    </w:tbl>
    <w:p w:rsidR="005469F2" w:rsidRPr="003A52E3" w:rsidRDefault="005469F2" w:rsidP="00196B31">
      <w:pPr>
        <w:spacing w:before="0" w:after="120"/>
        <w:jc w:val="both"/>
        <w:rPr>
          <w:sz w:val="12"/>
          <w:lang w:eastAsia="en-US"/>
        </w:rPr>
      </w:pPr>
    </w:p>
    <w:tbl>
      <w:tblPr>
        <w:tblStyle w:val="TableGrid"/>
        <w:tblW w:w="0" w:type="auto"/>
        <w:tblLook w:val="0420" w:firstRow="1" w:lastRow="0" w:firstColumn="0" w:lastColumn="0" w:noHBand="0" w:noVBand="1"/>
      </w:tblPr>
      <w:tblGrid>
        <w:gridCol w:w="9129"/>
      </w:tblGrid>
      <w:tr w:rsidR="005469F2" w:rsidRPr="003A52E3" w:rsidTr="00196B31">
        <w:trPr>
          <w:cnfStyle w:val="100000000000" w:firstRow="1" w:lastRow="0" w:firstColumn="0" w:lastColumn="0" w:oddVBand="0" w:evenVBand="0" w:oddHBand="0" w:evenHBand="0" w:firstRowFirstColumn="0" w:firstRowLastColumn="0" w:lastRowFirstColumn="0" w:lastRowLastColumn="0"/>
          <w:trHeight w:val="484"/>
        </w:trPr>
        <w:tc>
          <w:tcPr>
            <w:tcW w:w="9129" w:type="dxa"/>
          </w:tcPr>
          <w:p w:rsidR="005469F2" w:rsidRPr="003A52E3" w:rsidRDefault="005469F2">
            <w:pPr>
              <w:spacing w:before="100"/>
              <w:jc w:val="center"/>
              <w:rPr>
                <w:rFonts w:cstheme="minorHAnsi"/>
                <w:b/>
                <w:sz w:val="22"/>
                <w:szCs w:val="22"/>
              </w:rPr>
            </w:pPr>
            <w:r w:rsidRPr="003A52E3">
              <w:rPr>
                <w:rFonts w:cstheme="minorHAnsi"/>
                <w:b/>
                <w:sz w:val="22"/>
                <w:szCs w:val="22"/>
              </w:rPr>
              <w:t>Ineligible Costs</w:t>
            </w:r>
          </w:p>
        </w:tc>
      </w:tr>
      <w:tr w:rsidR="005469F2" w:rsidRPr="003A52E3" w:rsidTr="00196B31">
        <w:trPr>
          <w:trHeight w:val="683"/>
        </w:trPr>
        <w:tc>
          <w:tcPr>
            <w:tcW w:w="9129" w:type="dxa"/>
            <w:shd w:val="clear" w:color="auto" w:fill="F2F2F2" w:themeFill="background1" w:themeFillShade="F2"/>
          </w:tcPr>
          <w:p w:rsidR="005469F2" w:rsidRPr="003A52E3" w:rsidRDefault="005469F2" w:rsidP="00D57380">
            <w:pPr>
              <w:pStyle w:val="ListParagraph"/>
              <w:numPr>
                <w:ilvl w:val="0"/>
                <w:numId w:val="23"/>
              </w:numPr>
              <w:spacing w:before="100"/>
              <w:jc w:val="both"/>
              <w:rPr>
                <w:rFonts w:cstheme="minorHAnsi"/>
                <w:szCs w:val="17"/>
              </w:rPr>
            </w:pPr>
            <w:r w:rsidRPr="003A52E3">
              <w:rPr>
                <w:b/>
                <w:szCs w:val="17"/>
              </w:rPr>
              <w:t>Establishment and operation</w:t>
            </w:r>
            <w:r w:rsidRPr="003A52E3">
              <w:rPr>
                <w:szCs w:val="17"/>
              </w:rPr>
              <w:t xml:space="preserve"> of a Relief and Recovery Centre or a MECC for a disaster which has </w:t>
            </w:r>
            <w:r w:rsidRPr="003A52E3">
              <w:rPr>
                <w:szCs w:val="17"/>
                <w:u w:val="single"/>
              </w:rPr>
              <w:t>not been</w:t>
            </w:r>
            <w:r w:rsidRPr="003A52E3">
              <w:rPr>
                <w:szCs w:val="17"/>
              </w:rPr>
              <w:t xml:space="preserve"> notified to the Commonwealth under the NDRRA.</w:t>
            </w:r>
          </w:p>
        </w:tc>
      </w:tr>
      <w:tr w:rsidR="005469F2" w:rsidRPr="003A52E3" w:rsidTr="00196B31">
        <w:trPr>
          <w:cnfStyle w:val="000000010000" w:firstRow="0" w:lastRow="0" w:firstColumn="0" w:lastColumn="0" w:oddVBand="0" w:evenVBand="0" w:oddHBand="0" w:evenHBand="1" w:firstRowFirstColumn="0" w:firstRowLastColumn="0" w:lastRowFirstColumn="0" w:lastRowLastColumn="0"/>
          <w:trHeight w:val="581"/>
        </w:trPr>
        <w:tc>
          <w:tcPr>
            <w:tcW w:w="9129" w:type="dxa"/>
            <w:shd w:val="clear" w:color="auto" w:fill="F2F2F2" w:themeFill="background1" w:themeFillShade="F2"/>
          </w:tcPr>
          <w:p w:rsidR="004C7C43" w:rsidRPr="003A52E3" w:rsidRDefault="004C7C43" w:rsidP="004C7C43">
            <w:pPr>
              <w:numPr>
                <w:ilvl w:val="0"/>
                <w:numId w:val="21"/>
              </w:numPr>
              <w:tabs>
                <w:tab w:val="num" w:pos="423"/>
              </w:tabs>
              <w:spacing w:before="100"/>
              <w:ind w:left="423" w:hanging="423"/>
              <w:jc w:val="both"/>
              <w:rPr>
                <w:szCs w:val="17"/>
              </w:rPr>
            </w:pPr>
            <w:r w:rsidRPr="003A52E3">
              <w:rPr>
                <w:b/>
                <w:szCs w:val="17"/>
              </w:rPr>
              <w:t>Animal welfare assistance</w:t>
            </w:r>
            <w:r w:rsidRPr="003A52E3">
              <w:rPr>
                <w:szCs w:val="17"/>
              </w:rPr>
              <w:t xml:space="preserve"> such as fodder dropping operations.</w:t>
            </w:r>
          </w:p>
          <w:p w:rsidR="004C7C43" w:rsidRPr="003A52E3" w:rsidRDefault="004C7C43" w:rsidP="004C7C43">
            <w:pPr>
              <w:numPr>
                <w:ilvl w:val="0"/>
                <w:numId w:val="21"/>
              </w:numPr>
              <w:tabs>
                <w:tab w:val="num" w:pos="423"/>
              </w:tabs>
              <w:spacing w:before="100"/>
              <w:ind w:left="423" w:hanging="423"/>
              <w:jc w:val="both"/>
              <w:rPr>
                <w:szCs w:val="17"/>
              </w:rPr>
            </w:pPr>
            <w:r w:rsidRPr="003A52E3">
              <w:rPr>
                <w:b/>
                <w:szCs w:val="17"/>
              </w:rPr>
              <w:t xml:space="preserve">Advertising </w:t>
            </w:r>
            <w:r w:rsidRPr="003A52E3">
              <w:rPr>
                <w:szCs w:val="17"/>
              </w:rPr>
              <w:t>where not associated with an eligible NDRRA activity i.e. community events.</w:t>
            </w:r>
          </w:p>
          <w:p w:rsidR="00E81A72" w:rsidRPr="003A52E3" w:rsidRDefault="00E81A72" w:rsidP="00196B31">
            <w:pPr>
              <w:spacing w:before="100"/>
              <w:ind w:left="423"/>
              <w:jc w:val="both"/>
              <w:rPr>
                <w:szCs w:val="17"/>
              </w:rPr>
            </w:pPr>
          </w:p>
          <w:p w:rsidR="00252CCF" w:rsidRPr="003A52E3" w:rsidRDefault="00252CCF" w:rsidP="00D57380">
            <w:pPr>
              <w:numPr>
                <w:ilvl w:val="0"/>
                <w:numId w:val="21"/>
              </w:numPr>
              <w:tabs>
                <w:tab w:val="num" w:pos="423"/>
              </w:tabs>
              <w:spacing w:before="100"/>
              <w:ind w:left="423" w:hanging="423"/>
              <w:jc w:val="both"/>
              <w:rPr>
                <w:szCs w:val="17"/>
              </w:rPr>
            </w:pPr>
            <w:r w:rsidRPr="003A52E3">
              <w:rPr>
                <w:b/>
                <w:szCs w:val="17"/>
              </w:rPr>
              <w:t>Capital purchases</w:t>
            </w:r>
            <w:r w:rsidR="00EA412E" w:rsidRPr="003A52E3">
              <w:rPr>
                <w:szCs w:val="17"/>
              </w:rPr>
              <w:t xml:space="preserve"> including for </w:t>
            </w:r>
            <w:r w:rsidRPr="003A52E3">
              <w:rPr>
                <w:szCs w:val="17"/>
              </w:rPr>
              <w:t>computers, phones and software.</w:t>
            </w:r>
          </w:p>
          <w:p w:rsidR="005469F2" w:rsidRPr="003A52E3" w:rsidRDefault="005469F2" w:rsidP="00D57380">
            <w:pPr>
              <w:numPr>
                <w:ilvl w:val="0"/>
                <w:numId w:val="21"/>
              </w:numPr>
              <w:tabs>
                <w:tab w:val="num" w:pos="423"/>
              </w:tabs>
              <w:spacing w:before="100"/>
              <w:ind w:left="423" w:hanging="423"/>
              <w:jc w:val="both"/>
              <w:rPr>
                <w:szCs w:val="17"/>
              </w:rPr>
            </w:pPr>
            <w:r w:rsidRPr="003A52E3">
              <w:rPr>
                <w:b/>
                <w:szCs w:val="17"/>
              </w:rPr>
              <w:t xml:space="preserve">Evacuation </w:t>
            </w:r>
            <w:r w:rsidRPr="003A52E3">
              <w:rPr>
                <w:szCs w:val="17"/>
              </w:rPr>
              <w:t>of commercial animals or those animals the owner has a business attachment to and/or requires a special licence or permit (such as livestock, race horses, animals kept for breeding purposes).</w:t>
            </w:r>
          </w:p>
          <w:p w:rsidR="004C7C43" w:rsidRPr="003A52E3" w:rsidRDefault="004C7C43" w:rsidP="004C7C43">
            <w:pPr>
              <w:numPr>
                <w:ilvl w:val="0"/>
                <w:numId w:val="21"/>
              </w:numPr>
              <w:tabs>
                <w:tab w:val="clear" w:pos="567"/>
                <w:tab w:val="num" w:pos="426"/>
              </w:tabs>
              <w:spacing w:before="100"/>
              <w:ind w:left="426" w:hanging="426"/>
              <w:jc w:val="both"/>
              <w:rPr>
                <w:szCs w:val="17"/>
              </w:rPr>
            </w:pPr>
            <w:r w:rsidRPr="003A52E3">
              <w:rPr>
                <w:b/>
                <w:szCs w:val="17"/>
              </w:rPr>
              <w:t xml:space="preserve">Evacuation </w:t>
            </w:r>
            <w:r w:rsidRPr="003A52E3">
              <w:rPr>
                <w:szCs w:val="17"/>
              </w:rPr>
              <w:t>of companion or domestic animals (pets) where owners have made their own emergency accommodation arrangements or are not required to relocate.</w:t>
            </w:r>
          </w:p>
          <w:p w:rsidR="004B4A97" w:rsidRPr="003A52E3" w:rsidRDefault="004B4A97" w:rsidP="004C7C43">
            <w:pPr>
              <w:numPr>
                <w:ilvl w:val="0"/>
                <w:numId w:val="21"/>
              </w:numPr>
              <w:tabs>
                <w:tab w:val="clear" w:pos="567"/>
                <w:tab w:val="num" w:pos="426"/>
              </w:tabs>
              <w:spacing w:before="100"/>
              <w:ind w:left="426" w:hanging="426"/>
              <w:jc w:val="both"/>
              <w:rPr>
                <w:szCs w:val="17"/>
              </w:rPr>
            </w:pPr>
            <w:r w:rsidRPr="003A52E3">
              <w:rPr>
                <w:b/>
                <w:szCs w:val="17"/>
              </w:rPr>
              <w:t xml:space="preserve">Internal hire rates </w:t>
            </w:r>
            <w:r w:rsidRPr="003A52E3">
              <w:rPr>
                <w:szCs w:val="17"/>
              </w:rPr>
              <w:t>for hire of council facilities.</w:t>
            </w:r>
          </w:p>
          <w:p w:rsidR="005469F2" w:rsidRPr="003A52E3" w:rsidRDefault="00E81A72" w:rsidP="00D57380">
            <w:pPr>
              <w:numPr>
                <w:ilvl w:val="0"/>
                <w:numId w:val="21"/>
              </w:numPr>
              <w:tabs>
                <w:tab w:val="clear" w:pos="567"/>
                <w:tab w:val="num" w:pos="426"/>
              </w:tabs>
              <w:spacing w:before="100"/>
              <w:ind w:left="426" w:hanging="426"/>
              <w:jc w:val="both"/>
              <w:rPr>
                <w:rFonts w:cstheme="minorHAnsi"/>
                <w:b/>
                <w:szCs w:val="17"/>
              </w:rPr>
            </w:pPr>
            <w:r w:rsidRPr="003A52E3">
              <w:rPr>
                <w:b/>
                <w:szCs w:val="17"/>
              </w:rPr>
              <w:t xml:space="preserve">Restoration </w:t>
            </w:r>
            <w:r w:rsidRPr="003A52E3">
              <w:rPr>
                <w:szCs w:val="17"/>
              </w:rPr>
              <w:t>of community assets not damaged whilst used as a relief or recovery centre or MECC.</w:t>
            </w:r>
            <w:r w:rsidR="005469F2" w:rsidRPr="003A52E3">
              <w:rPr>
                <w:szCs w:val="17"/>
              </w:rPr>
              <w:t xml:space="preserve"> </w:t>
            </w:r>
          </w:p>
        </w:tc>
      </w:tr>
    </w:tbl>
    <w:p w:rsidR="005469F2" w:rsidRPr="003A52E3" w:rsidRDefault="005469F2" w:rsidP="00196B31">
      <w:pPr>
        <w:spacing w:before="0" w:after="120"/>
        <w:jc w:val="both"/>
        <w:rPr>
          <w:sz w:val="12"/>
          <w:lang w:eastAsia="en-US"/>
        </w:rPr>
      </w:pPr>
    </w:p>
    <w:p w:rsidR="00DC784A" w:rsidRPr="003A52E3" w:rsidRDefault="00702EAA" w:rsidP="003A52E3">
      <w:pPr>
        <w:pStyle w:val="Heading2"/>
        <w:rPr>
          <w:lang w:eastAsia="en-US"/>
        </w:rPr>
      </w:pPr>
      <w:r w:rsidRPr="003A52E3">
        <w:rPr>
          <w:lang w:eastAsia="en-US"/>
        </w:rPr>
        <w:t>Other</w:t>
      </w:r>
      <w:r w:rsidR="002559D4" w:rsidRPr="003A52E3">
        <w:rPr>
          <w:lang w:eastAsia="en-US"/>
        </w:rPr>
        <w:t xml:space="preserve"> relief and recovery activities</w:t>
      </w:r>
      <w:r w:rsidR="00F91287" w:rsidRPr="003A52E3">
        <w:rPr>
          <w:lang w:eastAsia="en-US"/>
        </w:rPr>
        <w:t xml:space="preserve"> </w:t>
      </w:r>
    </w:p>
    <w:p w:rsidR="00F57287" w:rsidRPr="003A52E3" w:rsidRDefault="003B03D2" w:rsidP="002164D0">
      <w:pPr>
        <w:spacing w:before="0" w:after="200"/>
        <w:jc w:val="both"/>
      </w:pPr>
      <w:r w:rsidRPr="003A52E3">
        <w:t xml:space="preserve">Some costs associated with </w:t>
      </w:r>
      <w:r w:rsidR="00442ADC" w:rsidRPr="003A52E3">
        <w:t xml:space="preserve">other relief and recovery activities are </w:t>
      </w:r>
      <w:r w:rsidR="00257586" w:rsidRPr="003A52E3">
        <w:t xml:space="preserve">also </w:t>
      </w:r>
      <w:r w:rsidR="00442ADC" w:rsidRPr="003A52E3">
        <w:t>eligible for reimbursement</w:t>
      </w:r>
      <w:r w:rsidR="00257586" w:rsidRPr="003A52E3">
        <w:t xml:space="preserve"> and include the following examples:</w:t>
      </w:r>
    </w:p>
    <w:tbl>
      <w:tblPr>
        <w:tblStyle w:val="TableGrid"/>
        <w:tblW w:w="0" w:type="auto"/>
        <w:tblLook w:val="0420" w:firstRow="1" w:lastRow="0" w:firstColumn="0" w:lastColumn="0" w:noHBand="0" w:noVBand="1"/>
      </w:tblPr>
      <w:tblGrid>
        <w:gridCol w:w="4564"/>
        <w:gridCol w:w="4564"/>
      </w:tblGrid>
      <w:tr w:rsidR="00624644" w:rsidRPr="003A52E3" w:rsidTr="009313C9">
        <w:trPr>
          <w:cnfStyle w:val="100000000000" w:firstRow="1" w:lastRow="0" w:firstColumn="0" w:lastColumn="0" w:oddVBand="0" w:evenVBand="0" w:oddHBand="0" w:evenHBand="0" w:firstRowFirstColumn="0" w:firstRowLastColumn="0" w:lastRowFirstColumn="0" w:lastRowLastColumn="0"/>
          <w:trHeight w:val="484"/>
        </w:trPr>
        <w:tc>
          <w:tcPr>
            <w:tcW w:w="4564" w:type="dxa"/>
          </w:tcPr>
          <w:p w:rsidR="00624644" w:rsidRPr="003A52E3" w:rsidRDefault="00257586" w:rsidP="00F57287">
            <w:pPr>
              <w:spacing w:before="100"/>
              <w:jc w:val="center"/>
              <w:rPr>
                <w:rFonts w:cstheme="minorHAnsi"/>
                <w:b/>
                <w:sz w:val="22"/>
                <w:szCs w:val="22"/>
              </w:rPr>
            </w:pPr>
            <w:r w:rsidRPr="003A52E3">
              <w:rPr>
                <w:rFonts w:cstheme="minorHAnsi"/>
                <w:b/>
                <w:sz w:val="22"/>
                <w:szCs w:val="22"/>
              </w:rPr>
              <w:t>Temporary relocatable accommodation</w:t>
            </w:r>
          </w:p>
        </w:tc>
        <w:tc>
          <w:tcPr>
            <w:tcW w:w="4564" w:type="dxa"/>
          </w:tcPr>
          <w:p w:rsidR="00624644" w:rsidRPr="003A52E3" w:rsidRDefault="00257586" w:rsidP="00F57287">
            <w:pPr>
              <w:jc w:val="center"/>
              <w:rPr>
                <w:b/>
                <w:sz w:val="22"/>
                <w:szCs w:val="22"/>
              </w:rPr>
            </w:pPr>
            <w:r w:rsidRPr="003A52E3">
              <w:rPr>
                <w:b/>
                <w:sz w:val="22"/>
                <w:szCs w:val="22"/>
              </w:rPr>
              <w:t>Personal and financial counselling</w:t>
            </w:r>
          </w:p>
        </w:tc>
      </w:tr>
      <w:tr w:rsidR="003618FC" w:rsidRPr="003A52E3" w:rsidTr="00F57287">
        <w:trPr>
          <w:trHeight w:val="66"/>
        </w:trPr>
        <w:tc>
          <w:tcPr>
            <w:tcW w:w="4564" w:type="dxa"/>
            <w:shd w:val="clear" w:color="auto" w:fill="F2F2F2" w:themeFill="background1" w:themeFillShade="F2"/>
          </w:tcPr>
          <w:p w:rsidR="003618FC" w:rsidRPr="003A52E3" w:rsidRDefault="003618FC" w:rsidP="003618FC">
            <w:pPr>
              <w:numPr>
                <w:ilvl w:val="0"/>
                <w:numId w:val="21"/>
              </w:numPr>
              <w:tabs>
                <w:tab w:val="clear" w:pos="567"/>
                <w:tab w:val="num" w:pos="426"/>
              </w:tabs>
              <w:spacing w:before="100"/>
              <w:ind w:left="426" w:hanging="426"/>
              <w:jc w:val="both"/>
              <w:rPr>
                <w:rFonts w:cstheme="minorHAnsi"/>
                <w:szCs w:val="17"/>
              </w:rPr>
            </w:pPr>
            <w:r w:rsidRPr="003A52E3">
              <w:rPr>
                <w:szCs w:val="17"/>
              </w:rPr>
              <w:t>Assessments of temporary housing needs for people whose primary places of residence have been affected during a disaster.</w:t>
            </w:r>
          </w:p>
          <w:p w:rsidR="003618FC" w:rsidRPr="003A52E3" w:rsidRDefault="003618FC" w:rsidP="003618FC">
            <w:pPr>
              <w:numPr>
                <w:ilvl w:val="0"/>
                <w:numId w:val="21"/>
              </w:numPr>
              <w:tabs>
                <w:tab w:val="clear" w:pos="567"/>
                <w:tab w:val="num" w:pos="426"/>
              </w:tabs>
              <w:spacing w:before="100"/>
              <w:ind w:left="426" w:hanging="426"/>
              <w:jc w:val="both"/>
              <w:rPr>
                <w:szCs w:val="17"/>
              </w:rPr>
            </w:pPr>
            <w:r w:rsidRPr="003A52E3">
              <w:rPr>
                <w:szCs w:val="17"/>
              </w:rPr>
              <w:t>Extraordinary costs associated with the establishment and decommissioning of temporary relocatable accommodation for disaster displaced people including transportation and manning of the accommodation (i.e. overtime).</w:t>
            </w:r>
          </w:p>
        </w:tc>
        <w:tc>
          <w:tcPr>
            <w:tcW w:w="4564" w:type="dxa"/>
            <w:shd w:val="clear" w:color="auto" w:fill="F2F2F2" w:themeFill="background1" w:themeFillShade="F2"/>
          </w:tcPr>
          <w:p w:rsidR="003618FC" w:rsidRPr="003A52E3" w:rsidRDefault="003618FC" w:rsidP="00196B31">
            <w:pPr>
              <w:pStyle w:val="ListParagraph"/>
              <w:numPr>
                <w:ilvl w:val="0"/>
                <w:numId w:val="21"/>
              </w:numPr>
              <w:tabs>
                <w:tab w:val="clear" w:pos="567"/>
                <w:tab w:val="num" w:pos="823"/>
              </w:tabs>
              <w:spacing w:before="100"/>
              <w:ind w:left="823" w:hanging="425"/>
              <w:jc w:val="left"/>
              <w:rPr>
                <w:szCs w:val="17"/>
              </w:rPr>
            </w:pPr>
            <w:r w:rsidRPr="003A52E3">
              <w:rPr>
                <w:szCs w:val="17"/>
              </w:rPr>
              <w:t xml:space="preserve">The provision of financial counselling and psychological first aid to disaster affected individuals </w:t>
            </w:r>
            <w:r w:rsidR="005779D6" w:rsidRPr="003A52E3">
              <w:rPr>
                <w:szCs w:val="17"/>
              </w:rPr>
              <w:t xml:space="preserve">in the immediate aftermath of a natural disaster </w:t>
            </w:r>
            <w:r w:rsidRPr="003A52E3">
              <w:rPr>
                <w:szCs w:val="17"/>
              </w:rPr>
              <w:t>including:</w:t>
            </w:r>
          </w:p>
          <w:p w:rsidR="003618FC" w:rsidRPr="003A52E3" w:rsidRDefault="003618FC" w:rsidP="00196B31">
            <w:pPr>
              <w:pStyle w:val="ListParagraph"/>
              <w:numPr>
                <w:ilvl w:val="2"/>
                <w:numId w:val="21"/>
              </w:numPr>
              <w:spacing w:before="100"/>
              <w:jc w:val="left"/>
              <w:rPr>
                <w:szCs w:val="17"/>
              </w:rPr>
            </w:pPr>
            <w:r w:rsidRPr="003A52E3">
              <w:rPr>
                <w:szCs w:val="17"/>
              </w:rPr>
              <w:t>Assessment of the need to provide this assistance;</w:t>
            </w:r>
          </w:p>
          <w:p w:rsidR="003618FC" w:rsidRPr="003A52E3" w:rsidRDefault="003618FC" w:rsidP="00196B31">
            <w:pPr>
              <w:pStyle w:val="ListParagraph"/>
              <w:numPr>
                <w:ilvl w:val="2"/>
                <w:numId w:val="21"/>
              </w:numPr>
              <w:spacing w:before="100"/>
              <w:jc w:val="left"/>
              <w:rPr>
                <w:szCs w:val="17"/>
              </w:rPr>
            </w:pPr>
            <w:r w:rsidRPr="003A52E3">
              <w:rPr>
                <w:szCs w:val="17"/>
              </w:rPr>
              <w:t>The provision of advice on the range of assistance available; and</w:t>
            </w:r>
          </w:p>
          <w:p w:rsidR="003618FC" w:rsidRPr="003A52E3" w:rsidRDefault="003618FC" w:rsidP="00196B31">
            <w:pPr>
              <w:pStyle w:val="ListParagraph"/>
              <w:numPr>
                <w:ilvl w:val="2"/>
                <w:numId w:val="21"/>
              </w:numPr>
              <w:spacing w:before="100"/>
              <w:jc w:val="left"/>
              <w:rPr>
                <w:szCs w:val="17"/>
              </w:rPr>
            </w:pPr>
            <w:r w:rsidRPr="003A52E3">
              <w:rPr>
                <w:szCs w:val="17"/>
              </w:rPr>
              <w:t>Assistance with disaster related claims to insurance companies.</w:t>
            </w:r>
          </w:p>
          <w:p w:rsidR="005779D6" w:rsidRPr="003A52E3" w:rsidRDefault="005779D6" w:rsidP="00196B31">
            <w:pPr>
              <w:pStyle w:val="ListParagraph"/>
              <w:spacing w:before="100"/>
              <w:ind w:left="850"/>
              <w:jc w:val="left"/>
              <w:rPr>
                <w:szCs w:val="17"/>
              </w:rPr>
            </w:pPr>
          </w:p>
          <w:p w:rsidR="005779D6" w:rsidRPr="003A52E3" w:rsidRDefault="005779D6" w:rsidP="00196B31">
            <w:pPr>
              <w:pStyle w:val="ListParagraph"/>
              <w:spacing w:before="100"/>
              <w:ind w:left="850"/>
              <w:jc w:val="left"/>
              <w:rPr>
                <w:szCs w:val="17"/>
              </w:rPr>
            </w:pPr>
            <w:r w:rsidRPr="003A52E3">
              <w:rPr>
                <w:szCs w:val="17"/>
              </w:rPr>
              <w:t>Eligible costs include:</w:t>
            </w:r>
          </w:p>
          <w:p w:rsidR="005779D6" w:rsidRPr="003A52E3" w:rsidRDefault="005779D6" w:rsidP="00196B31">
            <w:pPr>
              <w:pStyle w:val="ListParagraph"/>
              <w:numPr>
                <w:ilvl w:val="1"/>
                <w:numId w:val="23"/>
              </w:numPr>
              <w:spacing w:before="100"/>
              <w:jc w:val="left"/>
              <w:rPr>
                <w:szCs w:val="17"/>
              </w:rPr>
            </w:pPr>
            <w:r w:rsidRPr="003A52E3">
              <w:rPr>
                <w:szCs w:val="17"/>
              </w:rPr>
              <w:t>the engagement of contractors or third-parties to undertake counselling services;</w:t>
            </w:r>
          </w:p>
          <w:p w:rsidR="005779D6" w:rsidRPr="003A52E3" w:rsidRDefault="005779D6" w:rsidP="00196B31">
            <w:pPr>
              <w:pStyle w:val="ListParagraph"/>
              <w:numPr>
                <w:ilvl w:val="1"/>
                <w:numId w:val="23"/>
              </w:numPr>
              <w:spacing w:before="100"/>
              <w:jc w:val="left"/>
              <w:rPr>
                <w:szCs w:val="17"/>
              </w:rPr>
            </w:pPr>
            <w:r w:rsidRPr="003A52E3">
              <w:rPr>
                <w:szCs w:val="17"/>
              </w:rPr>
              <w:t>costs associated with transportation (i.e. car hire, fuel and accommodation) while undertaking the service;</w:t>
            </w:r>
          </w:p>
          <w:p w:rsidR="005779D6" w:rsidRPr="003A52E3" w:rsidRDefault="005779D6" w:rsidP="00196B31">
            <w:pPr>
              <w:pStyle w:val="ListParagraph"/>
              <w:numPr>
                <w:ilvl w:val="1"/>
                <w:numId w:val="23"/>
              </w:numPr>
              <w:spacing w:before="100"/>
              <w:jc w:val="left"/>
              <w:rPr>
                <w:szCs w:val="17"/>
              </w:rPr>
            </w:pPr>
            <w:r w:rsidRPr="003A52E3">
              <w:rPr>
                <w:szCs w:val="17"/>
              </w:rPr>
              <w:t xml:space="preserve">publication/printing of the specific counselling information for affected individuals, and </w:t>
            </w:r>
          </w:p>
          <w:p w:rsidR="005779D6" w:rsidRPr="003A52E3" w:rsidRDefault="005779D6" w:rsidP="00196B31">
            <w:pPr>
              <w:pStyle w:val="ListParagraph"/>
              <w:numPr>
                <w:ilvl w:val="1"/>
                <w:numId w:val="23"/>
              </w:numPr>
              <w:spacing w:before="100"/>
              <w:jc w:val="left"/>
              <w:rPr>
                <w:szCs w:val="17"/>
              </w:rPr>
            </w:pPr>
            <w:r w:rsidRPr="003A52E3">
              <w:rPr>
                <w:szCs w:val="17"/>
              </w:rPr>
              <w:t>overtime and allowances for state or local council counsellors.</w:t>
            </w:r>
          </w:p>
        </w:tc>
      </w:tr>
    </w:tbl>
    <w:p w:rsidR="00A8670C" w:rsidRPr="003A52E3" w:rsidRDefault="00A8670C" w:rsidP="003A52E3">
      <w:pPr>
        <w:pStyle w:val="Heading2"/>
      </w:pPr>
      <w:r w:rsidRPr="003A52E3">
        <w:t>Advice regarding eligibility</w:t>
      </w:r>
    </w:p>
    <w:p w:rsidR="00F57287" w:rsidRDefault="00A8670C" w:rsidP="002164D0">
      <w:pPr>
        <w:jc w:val="both"/>
      </w:pPr>
      <w:r w:rsidRPr="003A52E3">
        <w:t>For any queries relating to the eligibility of relief and recovery expenditure, please</w:t>
      </w:r>
      <w:r w:rsidR="005A5921" w:rsidRPr="003A52E3">
        <w:t xml:space="preserve"> contact the</w:t>
      </w:r>
      <w:r w:rsidRPr="003A52E3">
        <w:t xml:space="preserve"> </w:t>
      </w:r>
      <w:r w:rsidR="00CC2AC2" w:rsidRPr="003A52E3">
        <w:t>NDFA Team</w:t>
      </w:r>
      <w:r w:rsidR="005A5921" w:rsidRPr="003A52E3">
        <w:t xml:space="preserve"> on </w:t>
      </w:r>
      <w:r w:rsidRPr="003A52E3">
        <w:t xml:space="preserve">(03) 9651 2327 or email </w:t>
      </w:r>
      <w:hyperlink r:id="rId8" w:history="1">
        <w:r w:rsidR="00DB7F7B" w:rsidRPr="003A52E3">
          <w:rPr>
            <w:rStyle w:val="Hyperlink"/>
          </w:rPr>
          <w:t>ndfa@dtf.vic.gov.au</w:t>
        </w:r>
      </w:hyperlink>
      <w:r w:rsidRPr="003A52E3">
        <w:t>.</w:t>
      </w:r>
    </w:p>
    <w:bookmarkEnd w:id="0"/>
    <w:p w:rsidR="00DB7F7B" w:rsidRDefault="00DB7F7B" w:rsidP="00F57287">
      <w:pPr>
        <w:jc w:val="both"/>
      </w:pPr>
    </w:p>
    <w:sectPr w:rsidR="00DB7F7B" w:rsidSect="00134CEA">
      <w:headerReference w:type="default" r:id="rId9"/>
      <w:footerReference w:type="even" r:id="rId10"/>
      <w:footerReference w:type="default" r:id="rId11"/>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418" w:rsidRDefault="00960418" w:rsidP="002D711A">
      <w:pPr>
        <w:spacing w:after="0" w:line="240" w:lineRule="auto"/>
      </w:pPr>
      <w:r>
        <w:separator/>
      </w:r>
    </w:p>
  </w:endnote>
  <w:endnote w:type="continuationSeparator" w:id="0">
    <w:p w:rsidR="00960418" w:rsidRDefault="0096041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13" w:rsidRPr="00014213" w:rsidRDefault="00014213" w:rsidP="00C022F9">
    <w:pPr>
      <w:pStyle w:val="Footer"/>
    </w:pPr>
    <w:r>
      <w:drawing>
        <wp:anchor distT="0" distB="0" distL="114300" distR="114300" simplePos="0" relativeHeight="251667456" behindDoc="0" locked="0" layoutInCell="1" allowOverlap="1" wp14:anchorId="040F78FF" wp14:editId="60A17E11">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E3" w:rsidRDefault="004669E3" w:rsidP="004669E3">
    <w:pPr>
      <w:pStyle w:val="Spacer"/>
    </w:pPr>
  </w:p>
  <w:p w:rsidR="00586C99" w:rsidRDefault="00586C99" w:rsidP="0041689E">
    <w:pPr>
      <w:pStyle w:val="Footer"/>
      <w:spacing w:before="0"/>
      <w:rPr>
        <w:b/>
        <w:noProof w:val="0"/>
        <w:color w:val="0063A6" w:themeColor="accent1"/>
      </w:rPr>
    </w:pPr>
    <w:r>
      <w:rPr>
        <w:b/>
        <w:noProof w:val="0"/>
        <w:color w:val="0063A6" w:themeColor="accent1"/>
      </w:rPr>
      <w:t>Natural Disaster Financial Assistance for local councils</w:t>
    </w:r>
  </w:p>
  <w:p w:rsidR="0041689E" w:rsidRPr="00C022F9" w:rsidRDefault="00931F0D" w:rsidP="0041689E">
    <w:pPr>
      <w:pStyle w:val="Footer"/>
      <w:spacing w:before="0"/>
    </w:pPr>
    <w:r>
      <w:rPr>
        <w:b/>
        <w:noProof w:val="0"/>
        <w:color w:val="0063A6" w:themeColor="accent1"/>
      </w:rPr>
      <w:t xml:space="preserve">Relief and recovery </w:t>
    </w:r>
    <w:r w:rsidR="00586C99">
      <w:rPr>
        <w:b/>
        <w:noProof w:val="0"/>
        <w:color w:val="0063A6" w:themeColor="accent1"/>
      </w:rPr>
      <w:t xml:space="preserve">(updated </w:t>
    </w:r>
    <w:r w:rsidR="00BE254F">
      <w:rPr>
        <w:b/>
        <w:noProof w:val="0"/>
        <w:color w:val="0063A6" w:themeColor="accent1"/>
      </w:rPr>
      <w:t>June</w:t>
    </w:r>
    <w:r w:rsidR="00586C99">
      <w:rPr>
        <w:b/>
        <w:noProof w:val="0"/>
        <w:color w:val="0063A6" w:themeColor="accent1"/>
      </w:rPr>
      <w:t xml:space="preserve"> 2018)</w:t>
    </w:r>
    <w:r w:rsidR="0041689E" w:rsidRPr="00C022F9">
      <w:tab/>
      <w:t xml:space="preserve">Page </w:t>
    </w:r>
    <w:r w:rsidR="0041689E" w:rsidRPr="00DE60CC">
      <w:rPr>
        <w:rStyle w:val="PageNumber"/>
      </w:rPr>
      <w:fldChar w:fldCharType="begin"/>
    </w:r>
    <w:r w:rsidR="0041689E" w:rsidRPr="00DE60CC">
      <w:rPr>
        <w:rStyle w:val="PageNumber"/>
      </w:rPr>
      <w:instrText xml:space="preserve"> Page </w:instrText>
    </w:r>
    <w:r w:rsidR="0041689E" w:rsidRPr="00DE60CC">
      <w:rPr>
        <w:rStyle w:val="PageNumber"/>
      </w:rPr>
      <w:fldChar w:fldCharType="separate"/>
    </w:r>
    <w:r w:rsidR="005B78F1">
      <w:rPr>
        <w:rStyle w:val="PageNumber"/>
      </w:rPr>
      <w:t>2</w:t>
    </w:r>
    <w:r w:rsidR="0041689E"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418" w:rsidRDefault="00960418" w:rsidP="002D711A">
      <w:pPr>
        <w:spacing w:after="0" w:line="240" w:lineRule="auto"/>
      </w:pPr>
      <w:r>
        <w:separator/>
      </w:r>
    </w:p>
  </w:footnote>
  <w:footnote w:type="continuationSeparator" w:id="0">
    <w:p w:rsidR="00960418" w:rsidRDefault="0096041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89E" w:rsidRPr="0041689E" w:rsidRDefault="0004356D">
    <w:pPr>
      <w:pStyle w:val="Header"/>
    </w:pPr>
    <w:r>
      <w:rPr>
        <w:noProof/>
      </w:rPr>
      <w:drawing>
        <wp:anchor distT="0" distB="0" distL="114300" distR="114300" simplePos="0" relativeHeight="251670528" behindDoc="0" locked="0" layoutInCell="1" allowOverlap="1" wp14:anchorId="1ED82CA1" wp14:editId="6634EF95">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17D811D4" wp14:editId="5730BEAB">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C50"/>
    <w:multiLevelType w:val="hybridMultilevel"/>
    <w:tmpl w:val="06AE9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0F3E57"/>
    <w:multiLevelType w:val="hybridMultilevel"/>
    <w:tmpl w:val="C40CB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7F5DEA"/>
    <w:multiLevelType w:val="hybridMultilevel"/>
    <w:tmpl w:val="5B7E63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F564A2"/>
    <w:multiLevelType w:val="hybridMultilevel"/>
    <w:tmpl w:val="D2DE2EB2"/>
    <w:lvl w:ilvl="0" w:tplc="1512B55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6855DC"/>
    <w:multiLevelType w:val="multilevel"/>
    <w:tmpl w:val="C3E24944"/>
    <w:lvl w:ilvl="0">
      <w:numFmt w:val="bullet"/>
      <w:lvlText w:val="•"/>
      <w:lvlJc w:val="left"/>
      <w:pPr>
        <w:tabs>
          <w:tab w:val="num" w:pos="567"/>
        </w:tabs>
        <w:ind w:left="567" w:hanging="567"/>
      </w:pPr>
      <w:rPr>
        <w:rFonts w:ascii="Calibri" w:eastAsia="Times New Roman" w:hAnsi="Calibri" w:cs="Calibri" w:hint="default"/>
        <w:b w:val="0"/>
        <w:i w:val="0"/>
        <w:color w:val="auto"/>
        <w:sz w:val="20"/>
      </w:rPr>
    </w:lvl>
    <w:lvl w:ilvl="1">
      <w:start w:val="1"/>
      <w:numFmt w:val="bullet"/>
      <w:lvlText w:val=""/>
      <w:lvlJc w:val="left"/>
      <w:pPr>
        <w:tabs>
          <w:tab w:val="num" w:pos="283"/>
        </w:tabs>
        <w:ind w:left="283" w:hanging="283"/>
      </w:pPr>
      <w:rPr>
        <w:rFonts w:ascii="Symbol" w:hAnsi="Symbol" w:hint="default"/>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6" w15:restartNumberingAfterBreak="0">
    <w:nsid w:val="3F1D7412"/>
    <w:multiLevelType w:val="hybridMultilevel"/>
    <w:tmpl w:val="46D836F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53692C8C"/>
    <w:multiLevelType w:val="hybridMultilevel"/>
    <w:tmpl w:val="530A0F58"/>
    <w:lvl w:ilvl="0" w:tplc="6A4683A8">
      <w:numFmt w:val="bullet"/>
      <w:lvlText w:val="-"/>
      <w:lvlJc w:val="left"/>
      <w:pPr>
        <w:ind w:left="713" w:hanging="360"/>
      </w:pPr>
      <w:rPr>
        <w:rFonts w:ascii="Arial" w:eastAsiaTheme="minorHAnsi" w:hAnsi="Arial" w:cs="Arial" w:hint="default"/>
      </w:rPr>
    </w:lvl>
    <w:lvl w:ilvl="1" w:tplc="0C090003" w:tentative="1">
      <w:start w:val="1"/>
      <w:numFmt w:val="bullet"/>
      <w:lvlText w:val="o"/>
      <w:lvlJc w:val="left"/>
      <w:pPr>
        <w:ind w:left="1433" w:hanging="360"/>
      </w:pPr>
      <w:rPr>
        <w:rFonts w:ascii="Courier New" w:hAnsi="Courier New" w:cs="Courier New" w:hint="default"/>
      </w:rPr>
    </w:lvl>
    <w:lvl w:ilvl="2" w:tplc="0C090005" w:tentative="1">
      <w:start w:val="1"/>
      <w:numFmt w:val="bullet"/>
      <w:lvlText w:val=""/>
      <w:lvlJc w:val="left"/>
      <w:pPr>
        <w:ind w:left="2153" w:hanging="360"/>
      </w:pPr>
      <w:rPr>
        <w:rFonts w:ascii="Wingdings" w:hAnsi="Wingdings" w:hint="default"/>
      </w:rPr>
    </w:lvl>
    <w:lvl w:ilvl="3" w:tplc="0C090001" w:tentative="1">
      <w:start w:val="1"/>
      <w:numFmt w:val="bullet"/>
      <w:lvlText w:val=""/>
      <w:lvlJc w:val="left"/>
      <w:pPr>
        <w:ind w:left="2873" w:hanging="360"/>
      </w:pPr>
      <w:rPr>
        <w:rFonts w:ascii="Symbol" w:hAnsi="Symbol" w:hint="default"/>
      </w:rPr>
    </w:lvl>
    <w:lvl w:ilvl="4" w:tplc="0C090003" w:tentative="1">
      <w:start w:val="1"/>
      <w:numFmt w:val="bullet"/>
      <w:lvlText w:val="o"/>
      <w:lvlJc w:val="left"/>
      <w:pPr>
        <w:ind w:left="3593" w:hanging="360"/>
      </w:pPr>
      <w:rPr>
        <w:rFonts w:ascii="Courier New" w:hAnsi="Courier New" w:cs="Courier New" w:hint="default"/>
      </w:rPr>
    </w:lvl>
    <w:lvl w:ilvl="5" w:tplc="0C090005" w:tentative="1">
      <w:start w:val="1"/>
      <w:numFmt w:val="bullet"/>
      <w:lvlText w:val=""/>
      <w:lvlJc w:val="left"/>
      <w:pPr>
        <w:ind w:left="4313" w:hanging="360"/>
      </w:pPr>
      <w:rPr>
        <w:rFonts w:ascii="Wingdings" w:hAnsi="Wingdings" w:hint="default"/>
      </w:rPr>
    </w:lvl>
    <w:lvl w:ilvl="6" w:tplc="0C090001" w:tentative="1">
      <w:start w:val="1"/>
      <w:numFmt w:val="bullet"/>
      <w:lvlText w:val=""/>
      <w:lvlJc w:val="left"/>
      <w:pPr>
        <w:ind w:left="5033" w:hanging="360"/>
      </w:pPr>
      <w:rPr>
        <w:rFonts w:ascii="Symbol" w:hAnsi="Symbol" w:hint="default"/>
      </w:rPr>
    </w:lvl>
    <w:lvl w:ilvl="7" w:tplc="0C090003" w:tentative="1">
      <w:start w:val="1"/>
      <w:numFmt w:val="bullet"/>
      <w:lvlText w:val="o"/>
      <w:lvlJc w:val="left"/>
      <w:pPr>
        <w:ind w:left="5753" w:hanging="360"/>
      </w:pPr>
      <w:rPr>
        <w:rFonts w:ascii="Courier New" w:hAnsi="Courier New" w:cs="Courier New" w:hint="default"/>
      </w:rPr>
    </w:lvl>
    <w:lvl w:ilvl="8" w:tplc="0C090005" w:tentative="1">
      <w:start w:val="1"/>
      <w:numFmt w:val="bullet"/>
      <w:lvlText w:val=""/>
      <w:lvlJc w:val="left"/>
      <w:pPr>
        <w:ind w:left="6473" w:hanging="360"/>
      </w:pPr>
      <w:rPr>
        <w:rFonts w:ascii="Wingdings" w:hAnsi="Wingdings" w:hint="default"/>
      </w:rPr>
    </w:lvl>
  </w:abstractNum>
  <w:abstractNum w:abstractNumId="9" w15:restartNumberingAfterBreak="0">
    <w:nsid w:val="5BC44545"/>
    <w:multiLevelType w:val="hybridMultilevel"/>
    <w:tmpl w:val="927E6BFC"/>
    <w:lvl w:ilvl="0" w:tplc="0C090001">
      <w:start w:val="1"/>
      <w:numFmt w:val="bullet"/>
      <w:lvlText w:val=""/>
      <w:lvlJc w:val="left"/>
      <w:pPr>
        <w:ind w:left="360" w:hanging="360"/>
      </w:pPr>
      <w:rPr>
        <w:rFonts w:ascii="Symbol" w:hAnsi="Symbol" w:hint="default"/>
      </w:rPr>
    </w:lvl>
    <w:lvl w:ilvl="1" w:tplc="6A4683A8">
      <w:numFmt w:val="bullet"/>
      <w:lvlText w:val="-"/>
      <w:lvlJc w:val="left"/>
      <w:pPr>
        <w:ind w:left="1080" w:hanging="360"/>
      </w:pPr>
      <w:rPr>
        <w:rFonts w:ascii="Arial" w:eastAsiaTheme="minorHAnsi"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AF431F"/>
    <w:multiLevelType w:val="multilevel"/>
    <w:tmpl w:val="58726640"/>
    <w:lvl w:ilvl="0">
      <w:numFmt w:val="bullet"/>
      <w:lvlText w:val="-"/>
      <w:lvlJc w:val="left"/>
      <w:pPr>
        <w:tabs>
          <w:tab w:val="num" w:pos="1287"/>
        </w:tabs>
        <w:ind w:left="1287" w:hanging="567"/>
      </w:pPr>
      <w:rPr>
        <w:rFonts w:ascii="Arial" w:eastAsiaTheme="minorHAnsi" w:hAnsi="Arial" w:cs="Arial" w:hint="default"/>
        <w:b w:val="0"/>
        <w:i w:val="0"/>
        <w:color w:val="auto"/>
        <w:sz w:val="20"/>
      </w:rPr>
    </w:lvl>
    <w:lvl w:ilvl="1">
      <w:start w:val="1"/>
      <w:numFmt w:val="bullet"/>
      <w:lvlText w:val=""/>
      <w:lvlJc w:val="left"/>
      <w:pPr>
        <w:tabs>
          <w:tab w:val="num" w:pos="1003"/>
        </w:tabs>
        <w:ind w:left="1003" w:hanging="283"/>
      </w:pPr>
      <w:rPr>
        <w:rFonts w:ascii="Symbol" w:hAnsi="Symbol" w:hint="default"/>
        <w:b w:val="0"/>
        <w:i w:val="0"/>
        <w:color w:val="auto"/>
        <w:sz w:val="20"/>
      </w:rPr>
    </w:lvl>
    <w:lvl w:ilvl="2">
      <w:start w:val="1"/>
      <w:numFmt w:val="bullet"/>
      <w:lvlText w:val="–"/>
      <w:lvlJc w:val="left"/>
      <w:pPr>
        <w:tabs>
          <w:tab w:val="num" w:pos="1854"/>
        </w:tabs>
        <w:ind w:left="1854" w:hanging="284"/>
      </w:pPr>
      <w:rPr>
        <w:rFonts w:ascii="Calibri" w:hAnsi="Calibri"/>
        <w:b w:val="0"/>
        <w:i w:val="0"/>
        <w:color w:val="auto"/>
        <w:sz w:val="20"/>
      </w:rPr>
    </w:lvl>
    <w:lvl w:ilvl="3">
      <w:start w:val="1"/>
      <w:numFmt w:val="bullet"/>
      <w:lvlText w:val="–"/>
      <w:lvlJc w:val="left"/>
      <w:pPr>
        <w:tabs>
          <w:tab w:val="num" w:pos="2137"/>
        </w:tabs>
        <w:ind w:left="2137" w:hanging="283"/>
      </w:pPr>
      <w:rPr>
        <w:rFonts w:ascii="Calibri" w:hAnsi="Calibri"/>
        <w:b w:val="0"/>
        <w:i w:val="0"/>
        <w:color w:val="auto"/>
        <w:sz w:val="20"/>
      </w:rPr>
    </w:lvl>
    <w:lvl w:ilvl="4">
      <w:start w:val="1"/>
      <w:numFmt w:val="bullet"/>
      <w:lvlText w:val="–"/>
      <w:lvlJc w:val="left"/>
      <w:pPr>
        <w:tabs>
          <w:tab w:val="num" w:pos="2421"/>
        </w:tabs>
        <w:ind w:left="2421" w:hanging="284"/>
      </w:pPr>
      <w:rPr>
        <w:rFonts w:ascii="Calibri" w:hAnsi="Calibri"/>
        <w:b w:val="0"/>
        <w:i w:val="0"/>
        <w:color w:val="auto"/>
        <w:sz w:val="20"/>
      </w:rPr>
    </w:lvl>
    <w:lvl w:ilvl="5">
      <w:start w:val="1"/>
      <w:numFmt w:val="bullet"/>
      <w:lvlText w:val="–"/>
      <w:lvlJc w:val="left"/>
      <w:pPr>
        <w:tabs>
          <w:tab w:val="num" w:pos="2704"/>
        </w:tabs>
        <w:ind w:left="2704" w:hanging="283"/>
      </w:pPr>
      <w:rPr>
        <w:rFonts w:ascii="Calibri" w:hAnsi="Calibri"/>
        <w:b w:val="0"/>
        <w:i w:val="0"/>
        <w:color w:val="auto"/>
        <w:sz w:val="20"/>
      </w:rPr>
    </w:lvl>
    <w:lvl w:ilvl="6">
      <w:start w:val="1"/>
      <w:numFmt w:val="bullet"/>
      <w:lvlText w:val="–"/>
      <w:lvlJc w:val="left"/>
      <w:pPr>
        <w:tabs>
          <w:tab w:val="num" w:pos="2988"/>
        </w:tabs>
        <w:ind w:left="2988" w:hanging="284"/>
      </w:pPr>
      <w:rPr>
        <w:rFonts w:ascii="Calibri" w:hAnsi="Calibri"/>
        <w:b w:val="0"/>
        <w:i w:val="0"/>
        <w:color w:val="auto"/>
        <w:sz w:val="20"/>
      </w:rPr>
    </w:lvl>
    <w:lvl w:ilvl="7">
      <w:start w:val="1"/>
      <w:numFmt w:val="bullet"/>
      <w:lvlText w:val="–"/>
      <w:lvlJc w:val="left"/>
      <w:pPr>
        <w:tabs>
          <w:tab w:val="num" w:pos="3271"/>
        </w:tabs>
        <w:ind w:left="3271" w:hanging="283"/>
      </w:pPr>
      <w:rPr>
        <w:rFonts w:ascii="Calibri" w:hAnsi="Calibri"/>
        <w:b w:val="0"/>
        <w:i w:val="0"/>
        <w:color w:val="auto"/>
        <w:sz w:val="20"/>
      </w:rPr>
    </w:lvl>
    <w:lvl w:ilvl="8">
      <w:start w:val="1"/>
      <w:numFmt w:val="bullet"/>
      <w:lvlText w:val="–"/>
      <w:lvlJc w:val="left"/>
      <w:pPr>
        <w:tabs>
          <w:tab w:val="num" w:pos="3555"/>
        </w:tabs>
        <w:ind w:left="3555" w:hanging="284"/>
      </w:pPr>
      <w:rPr>
        <w:rFonts w:ascii="Calibri" w:hAnsi="Calibri"/>
        <w:b w:val="0"/>
        <w:i w:val="0"/>
        <w:color w:val="auto"/>
        <w:sz w:val="20"/>
      </w:rPr>
    </w:lvl>
  </w:abstractNum>
  <w:abstractNum w:abstractNumId="11" w15:restartNumberingAfterBreak="0">
    <w:nsid w:val="7A7E12E5"/>
    <w:multiLevelType w:val="hybridMultilevel"/>
    <w:tmpl w:val="A8B82154"/>
    <w:lvl w:ilvl="0" w:tplc="DB862236">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7"/>
  </w:num>
  <w:num w:numId="4">
    <w:abstractNumId w:val="12"/>
  </w:num>
  <w:num w:numId="5">
    <w:abstractNumId w:val="7"/>
  </w:num>
  <w:num w:numId="6">
    <w:abstractNumId w:val="7"/>
  </w:num>
  <w:num w:numId="7">
    <w:abstractNumId w:val="7"/>
  </w:num>
  <w:num w:numId="8">
    <w:abstractNumId w:val="7"/>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3"/>
  </w:num>
  <w:num w:numId="18">
    <w:abstractNumId w:val="3"/>
  </w:num>
  <w:num w:numId="19">
    <w:abstractNumId w:val="11"/>
  </w:num>
  <w:num w:numId="20">
    <w:abstractNumId w:val="4"/>
  </w:num>
  <w:num w:numId="21">
    <w:abstractNumId w:val="5"/>
  </w:num>
  <w:num w:numId="22">
    <w:abstractNumId w:val="0"/>
  </w:num>
  <w:num w:numId="23">
    <w:abstractNumId w:val="9"/>
  </w:num>
  <w:num w:numId="24">
    <w:abstractNumId w:val="1"/>
  </w:num>
  <w:num w:numId="25">
    <w:abstractNumId w:val="6"/>
  </w:num>
  <w:num w:numId="26">
    <w:abstractNumId w:val="2"/>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70C"/>
    <w:rsid w:val="00012F6F"/>
    <w:rsid w:val="00014213"/>
    <w:rsid w:val="00014B55"/>
    <w:rsid w:val="00020E3E"/>
    <w:rsid w:val="00023BF3"/>
    <w:rsid w:val="00026811"/>
    <w:rsid w:val="0004356D"/>
    <w:rsid w:val="00045296"/>
    <w:rsid w:val="00075E6C"/>
    <w:rsid w:val="000763DE"/>
    <w:rsid w:val="000935F8"/>
    <w:rsid w:val="000B29AD"/>
    <w:rsid w:val="000C6372"/>
    <w:rsid w:val="000E392D"/>
    <w:rsid w:val="000F4288"/>
    <w:rsid w:val="000F7165"/>
    <w:rsid w:val="00102379"/>
    <w:rsid w:val="001065D6"/>
    <w:rsid w:val="00121252"/>
    <w:rsid w:val="00124609"/>
    <w:rsid w:val="001254CE"/>
    <w:rsid w:val="00134CEA"/>
    <w:rsid w:val="001422CC"/>
    <w:rsid w:val="001617B6"/>
    <w:rsid w:val="00165E66"/>
    <w:rsid w:val="001661B4"/>
    <w:rsid w:val="00196B31"/>
    <w:rsid w:val="001B4174"/>
    <w:rsid w:val="001C178C"/>
    <w:rsid w:val="001C7BAE"/>
    <w:rsid w:val="001E31FA"/>
    <w:rsid w:val="001E64F6"/>
    <w:rsid w:val="0020123E"/>
    <w:rsid w:val="0020485C"/>
    <w:rsid w:val="002164D0"/>
    <w:rsid w:val="00222BEB"/>
    <w:rsid w:val="00225E60"/>
    <w:rsid w:val="0023202C"/>
    <w:rsid w:val="00236203"/>
    <w:rsid w:val="00237713"/>
    <w:rsid w:val="00245043"/>
    <w:rsid w:val="00252CCF"/>
    <w:rsid w:val="002559D4"/>
    <w:rsid w:val="00257586"/>
    <w:rsid w:val="00257760"/>
    <w:rsid w:val="002617FD"/>
    <w:rsid w:val="00262B50"/>
    <w:rsid w:val="00275107"/>
    <w:rsid w:val="00280DCA"/>
    <w:rsid w:val="00292D36"/>
    <w:rsid w:val="00297281"/>
    <w:rsid w:val="002C54E0"/>
    <w:rsid w:val="002D711A"/>
    <w:rsid w:val="002D7336"/>
    <w:rsid w:val="002E3396"/>
    <w:rsid w:val="0031149C"/>
    <w:rsid w:val="0033064B"/>
    <w:rsid w:val="00332EF6"/>
    <w:rsid w:val="0034121E"/>
    <w:rsid w:val="00357818"/>
    <w:rsid w:val="003618FC"/>
    <w:rsid w:val="0038771C"/>
    <w:rsid w:val="0039405B"/>
    <w:rsid w:val="003A1C92"/>
    <w:rsid w:val="003A52E3"/>
    <w:rsid w:val="003A541A"/>
    <w:rsid w:val="003A6923"/>
    <w:rsid w:val="003B03D2"/>
    <w:rsid w:val="003C2C67"/>
    <w:rsid w:val="003C5BA4"/>
    <w:rsid w:val="003D58DC"/>
    <w:rsid w:val="003E3E26"/>
    <w:rsid w:val="003E43F5"/>
    <w:rsid w:val="003E7B67"/>
    <w:rsid w:val="003F1295"/>
    <w:rsid w:val="003F76FC"/>
    <w:rsid w:val="004002EB"/>
    <w:rsid w:val="00407CC3"/>
    <w:rsid w:val="0041689E"/>
    <w:rsid w:val="00420279"/>
    <w:rsid w:val="00422AB3"/>
    <w:rsid w:val="004236C8"/>
    <w:rsid w:val="00427681"/>
    <w:rsid w:val="00433DB7"/>
    <w:rsid w:val="0043720D"/>
    <w:rsid w:val="00442ADC"/>
    <w:rsid w:val="00453750"/>
    <w:rsid w:val="00456941"/>
    <w:rsid w:val="0046490F"/>
    <w:rsid w:val="004669E3"/>
    <w:rsid w:val="004702EA"/>
    <w:rsid w:val="00482D02"/>
    <w:rsid w:val="004A5B56"/>
    <w:rsid w:val="004A7519"/>
    <w:rsid w:val="004B4A97"/>
    <w:rsid w:val="004C7C43"/>
    <w:rsid w:val="004D2D1D"/>
    <w:rsid w:val="004D3518"/>
    <w:rsid w:val="004D62D6"/>
    <w:rsid w:val="004E1572"/>
    <w:rsid w:val="004F3912"/>
    <w:rsid w:val="00516857"/>
    <w:rsid w:val="00530ACD"/>
    <w:rsid w:val="0053416C"/>
    <w:rsid w:val="00541C2F"/>
    <w:rsid w:val="005469F2"/>
    <w:rsid w:val="00563527"/>
    <w:rsid w:val="005779D6"/>
    <w:rsid w:val="0058124E"/>
    <w:rsid w:val="00584301"/>
    <w:rsid w:val="005855DC"/>
    <w:rsid w:val="00586C99"/>
    <w:rsid w:val="005875A3"/>
    <w:rsid w:val="005A3416"/>
    <w:rsid w:val="005A5921"/>
    <w:rsid w:val="005B27FE"/>
    <w:rsid w:val="005B2988"/>
    <w:rsid w:val="005B78F1"/>
    <w:rsid w:val="005C224D"/>
    <w:rsid w:val="005C3E6D"/>
    <w:rsid w:val="005D49EF"/>
    <w:rsid w:val="005E517B"/>
    <w:rsid w:val="005E742C"/>
    <w:rsid w:val="005F32AE"/>
    <w:rsid w:val="005F459C"/>
    <w:rsid w:val="005F61DF"/>
    <w:rsid w:val="006023F9"/>
    <w:rsid w:val="00610559"/>
    <w:rsid w:val="00624644"/>
    <w:rsid w:val="006332F6"/>
    <w:rsid w:val="006361E7"/>
    <w:rsid w:val="00651352"/>
    <w:rsid w:val="00652625"/>
    <w:rsid w:val="006534B2"/>
    <w:rsid w:val="0065615D"/>
    <w:rsid w:val="00657011"/>
    <w:rsid w:val="006650B5"/>
    <w:rsid w:val="006651B1"/>
    <w:rsid w:val="00665778"/>
    <w:rsid w:val="006941ED"/>
    <w:rsid w:val="00697E64"/>
    <w:rsid w:val="006A5B34"/>
    <w:rsid w:val="006A5F5B"/>
    <w:rsid w:val="006C77A9"/>
    <w:rsid w:val="006E11C4"/>
    <w:rsid w:val="006F6693"/>
    <w:rsid w:val="00702EAA"/>
    <w:rsid w:val="00707FE8"/>
    <w:rsid w:val="00724028"/>
    <w:rsid w:val="00724962"/>
    <w:rsid w:val="00724A0F"/>
    <w:rsid w:val="007320B4"/>
    <w:rsid w:val="00732162"/>
    <w:rsid w:val="007364F8"/>
    <w:rsid w:val="00736732"/>
    <w:rsid w:val="007457C4"/>
    <w:rsid w:val="00750CBE"/>
    <w:rsid w:val="00766B5A"/>
    <w:rsid w:val="007834F2"/>
    <w:rsid w:val="00791020"/>
    <w:rsid w:val="007A5F82"/>
    <w:rsid w:val="007C15BB"/>
    <w:rsid w:val="007F1A4C"/>
    <w:rsid w:val="008012B9"/>
    <w:rsid w:val="008022C3"/>
    <w:rsid w:val="008041E6"/>
    <w:rsid w:val="008065D2"/>
    <w:rsid w:val="0082194C"/>
    <w:rsid w:val="008220C4"/>
    <w:rsid w:val="008222FF"/>
    <w:rsid w:val="008241FF"/>
    <w:rsid w:val="00836244"/>
    <w:rsid w:val="008411E9"/>
    <w:rsid w:val="0084200F"/>
    <w:rsid w:val="00843B2C"/>
    <w:rsid w:val="00853366"/>
    <w:rsid w:val="00853F5B"/>
    <w:rsid w:val="0087521A"/>
    <w:rsid w:val="008948FD"/>
    <w:rsid w:val="008A4900"/>
    <w:rsid w:val="008B6905"/>
    <w:rsid w:val="008D0281"/>
    <w:rsid w:val="008E3C4E"/>
    <w:rsid w:val="008E420A"/>
    <w:rsid w:val="008F6D45"/>
    <w:rsid w:val="00926195"/>
    <w:rsid w:val="009313C9"/>
    <w:rsid w:val="00931F0D"/>
    <w:rsid w:val="00960418"/>
    <w:rsid w:val="009834C0"/>
    <w:rsid w:val="00986AAC"/>
    <w:rsid w:val="009877CC"/>
    <w:rsid w:val="009976ED"/>
    <w:rsid w:val="009A1DA2"/>
    <w:rsid w:val="009A3704"/>
    <w:rsid w:val="009A4739"/>
    <w:rsid w:val="009A674F"/>
    <w:rsid w:val="009A6A31"/>
    <w:rsid w:val="009B199C"/>
    <w:rsid w:val="009B54C8"/>
    <w:rsid w:val="009B61F1"/>
    <w:rsid w:val="009B62E0"/>
    <w:rsid w:val="009C3D88"/>
    <w:rsid w:val="009D1030"/>
    <w:rsid w:val="009E3858"/>
    <w:rsid w:val="009E70DD"/>
    <w:rsid w:val="009F2ED9"/>
    <w:rsid w:val="009F3231"/>
    <w:rsid w:val="009F5C58"/>
    <w:rsid w:val="00A023A0"/>
    <w:rsid w:val="00A1562B"/>
    <w:rsid w:val="00A170F4"/>
    <w:rsid w:val="00A2559E"/>
    <w:rsid w:val="00A25FD9"/>
    <w:rsid w:val="00A3348B"/>
    <w:rsid w:val="00A46BA8"/>
    <w:rsid w:val="00A47634"/>
    <w:rsid w:val="00A527EC"/>
    <w:rsid w:val="00A612FE"/>
    <w:rsid w:val="00A6758A"/>
    <w:rsid w:val="00A73F08"/>
    <w:rsid w:val="00A8670C"/>
    <w:rsid w:val="00AA26B8"/>
    <w:rsid w:val="00AB3FE2"/>
    <w:rsid w:val="00AD3322"/>
    <w:rsid w:val="00AD6B4C"/>
    <w:rsid w:val="00AD7E4E"/>
    <w:rsid w:val="00AE2E70"/>
    <w:rsid w:val="00AF4D58"/>
    <w:rsid w:val="00AF6666"/>
    <w:rsid w:val="00B0097A"/>
    <w:rsid w:val="00B10154"/>
    <w:rsid w:val="00B35053"/>
    <w:rsid w:val="00B5460B"/>
    <w:rsid w:val="00B718FD"/>
    <w:rsid w:val="00B81974"/>
    <w:rsid w:val="00B81B44"/>
    <w:rsid w:val="00B81E09"/>
    <w:rsid w:val="00B9053B"/>
    <w:rsid w:val="00BC3422"/>
    <w:rsid w:val="00BE254F"/>
    <w:rsid w:val="00C015B9"/>
    <w:rsid w:val="00C022F9"/>
    <w:rsid w:val="00C032EA"/>
    <w:rsid w:val="00C06EB5"/>
    <w:rsid w:val="00C1145F"/>
    <w:rsid w:val="00C3211C"/>
    <w:rsid w:val="00C521BD"/>
    <w:rsid w:val="00C637E1"/>
    <w:rsid w:val="00C70D50"/>
    <w:rsid w:val="00C907D7"/>
    <w:rsid w:val="00C92338"/>
    <w:rsid w:val="00C972BA"/>
    <w:rsid w:val="00CA7C3A"/>
    <w:rsid w:val="00CB3D63"/>
    <w:rsid w:val="00CC2AC2"/>
    <w:rsid w:val="00CC2DB2"/>
    <w:rsid w:val="00CD0307"/>
    <w:rsid w:val="00CD3D1B"/>
    <w:rsid w:val="00CF4384"/>
    <w:rsid w:val="00CF7DCA"/>
    <w:rsid w:val="00D211E9"/>
    <w:rsid w:val="00D2312F"/>
    <w:rsid w:val="00D269C1"/>
    <w:rsid w:val="00D4041D"/>
    <w:rsid w:val="00D44953"/>
    <w:rsid w:val="00D52CA3"/>
    <w:rsid w:val="00D542F3"/>
    <w:rsid w:val="00D5644B"/>
    <w:rsid w:val="00D56E25"/>
    <w:rsid w:val="00D718D7"/>
    <w:rsid w:val="00D814B7"/>
    <w:rsid w:val="00D84047"/>
    <w:rsid w:val="00D90688"/>
    <w:rsid w:val="00DA3AAD"/>
    <w:rsid w:val="00DB312B"/>
    <w:rsid w:val="00DB7F7B"/>
    <w:rsid w:val="00DC5654"/>
    <w:rsid w:val="00DC658F"/>
    <w:rsid w:val="00DC784A"/>
    <w:rsid w:val="00DE60CC"/>
    <w:rsid w:val="00E26B32"/>
    <w:rsid w:val="00E407B6"/>
    <w:rsid w:val="00E41EF1"/>
    <w:rsid w:val="00E42942"/>
    <w:rsid w:val="00E468A6"/>
    <w:rsid w:val="00E525C3"/>
    <w:rsid w:val="00E71BDF"/>
    <w:rsid w:val="00E81A72"/>
    <w:rsid w:val="00E83CA7"/>
    <w:rsid w:val="00EA412E"/>
    <w:rsid w:val="00EC171D"/>
    <w:rsid w:val="00EC77BC"/>
    <w:rsid w:val="00ED487E"/>
    <w:rsid w:val="00EE5DCE"/>
    <w:rsid w:val="00EE7A0D"/>
    <w:rsid w:val="00F14C54"/>
    <w:rsid w:val="00F178D8"/>
    <w:rsid w:val="00F17CE1"/>
    <w:rsid w:val="00F2115C"/>
    <w:rsid w:val="00F22ABA"/>
    <w:rsid w:val="00F36B12"/>
    <w:rsid w:val="00F567C8"/>
    <w:rsid w:val="00F57287"/>
    <w:rsid w:val="00F60F9F"/>
    <w:rsid w:val="00F64F08"/>
    <w:rsid w:val="00F734F5"/>
    <w:rsid w:val="00F91287"/>
    <w:rsid w:val="00F966B1"/>
    <w:rsid w:val="00F97D48"/>
    <w:rsid w:val="00FA0311"/>
    <w:rsid w:val="00FB272C"/>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0330C4B6-60DE-4829-ADD2-B2ABC89B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88"/>
    <w:pPr>
      <w:spacing w:before="160" w:after="100"/>
    </w:pPr>
    <w:rPr>
      <w:spacing w:val="2"/>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qFormat/>
    <w:rsid w:val="006361E7"/>
    <w:pPr>
      <w:ind w:left="720"/>
      <w:contextualSpacing/>
    </w:pPr>
  </w:style>
  <w:style w:type="paragraph" w:customStyle="1" w:styleId="Heading1NoNum">
    <w:name w:val="Heading 1 NoNum"/>
    <w:basedOn w:val="Heading1"/>
    <w:next w:val="Normal"/>
    <w:uiPriority w:val="4"/>
    <w:qFormat/>
    <w:rsid w:val="00A8670C"/>
    <w:pPr>
      <w:spacing w:before="200" w:after="80" w:line="240" w:lineRule="auto"/>
    </w:pPr>
    <w:rPr>
      <w:rFonts w:ascii="Calibri" w:eastAsia="Times New Roman" w:hAnsi="Calibri" w:cs="Calibri"/>
      <w:b w:val="0"/>
      <w:bCs w:val="0"/>
      <w:color w:val="4D4D4D"/>
      <w:spacing w:val="0"/>
      <w:sz w:val="30"/>
      <w:szCs w:val="22"/>
      <w:lang w:eastAsia="en-US"/>
    </w:rPr>
  </w:style>
  <w:style w:type="character" w:styleId="CommentReference">
    <w:name w:val="annotation reference"/>
    <w:basedOn w:val="DefaultParagraphFont"/>
    <w:uiPriority w:val="99"/>
    <w:semiHidden/>
    <w:rsid w:val="00407CC3"/>
    <w:rPr>
      <w:sz w:val="16"/>
      <w:szCs w:val="16"/>
    </w:rPr>
  </w:style>
  <w:style w:type="paragraph" w:styleId="CommentText">
    <w:name w:val="annotation text"/>
    <w:basedOn w:val="Normal"/>
    <w:link w:val="CommentTextChar"/>
    <w:uiPriority w:val="99"/>
    <w:semiHidden/>
    <w:rsid w:val="00407CC3"/>
    <w:pPr>
      <w:spacing w:line="240" w:lineRule="auto"/>
    </w:pPr>
  </w:style>
  <w:style w:type="character" w:customStyle="1" w:styleId="CommentTextChar">
    <w:name w:val="Comment Text Char"/>
    <w:basedOn w:val="DefaultParagraphFont"/>
    <w:link w:val="CommentText"/>
    <w:uiPriority w:val="99"/>
    <w:semiHidden/>
    <w:rsid w:val="00407CC3"/>
    <w:rPr>
      <w:spacing w:val="2"/>
    </w:rPr>
  </w:style>
  <w:style w:type="paragraph" w:styleId="CommentSubject">
    <w:name w:val="annotation subject"/>
    <w:basedOn w:val="CommentText"/>
    <w:next w:val="CommentText"/>
    <w:link w:val="CommentSubjectChar"/>
    <w:uiPriority w:val="99"/>
    <w:semiHidden/>
    <w:rsid w:val="00407CC3"/>
    <w:rPr>
      <w:b/>
      <w:bCs/>
    </w:rPr>
  </w:style>
  <w:style w:type="character" w:customStyle="1" w:styleId="CommentSubjectChar">
    <w:name w:val="Comment Subject Char"/>
    <w:basedOn w:val="CommentTextChar"/>
    <w:link w:val="CommentSubject"/>
    <w:uiPriority w:val="99"/>
    <w:semiHidden/>
    <w:rsid w:val="00407CC3"/>
    <w:rPr>
      <w:b/>
      <w:bCs/>
      <w:spacing w:val="2"/>
    </w:rPr>
  </w:style>
  <w:style w:type="paragraph" w:styleId="Revision">
    <w:name w:val="Revision"/>
    <w:hidden/>
    <w:uiPriority w:val="99"/>
    <w:semiHidden/>
    <w:rsid w:val="00407CC3"/>
    <w:pPr>
      <w:spacing w:after="0" w:line="240" w:lineRule="auto"/>
    </w:pPr>
    <w:rPr>
      <w:spacing w:val="2"/>
    </w:rPr>
  </w:style>
  <w:style w:type="table" w:customStyle="1" w:styleId="DTFtexttable1">
    <w:name w:val="DTF text table1"/>
    <w:basedOn w:val="TableGrid"/>
    <w:uiPriority w:val="99"/>
    <w:rsid w:val="008012B9"/>
    <w:pPr>
      <w:spacing w:before="30" w:after="30" w:line="264" w:lineRule="auto"/>
      <w:jc w:val="left"/>
    </w:pP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fa@dtf.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37E4-3B70-499B-99E4-4D74F881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41</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Donna L Kennedy (DTF)</cp:lastModifiedBy>
  <cp:revision>12</cp:revision>
  <cp:lastPrinted>2018-10-07T21:32:00Z</cp:lastPrinted>
  <dcterms:created xsi:type="dcterms:W3CDTF">2018-06-27T03:51:00Z</dcterms:created>
  <dcterms:modified xsi:type="dcterms:W3CDTF">2018-10-23T20:04:00Z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f4da0f29-34ae-4386-a922-4e484a63a5b3</vt:lpwstr>
  </property>
  <property fmtid="{D5CDD505-2E9C-101B-9397-08002B2CF9AE}" pid="3" name="PSPFClassification">
    <vt:lpwstr>Do Not Mark</vt:lpwstr>
  </property>
  <property fmtid="{D5CDD505-2E9C-101B-9397-08002B2CF9AE}" pid="4" name="Classification">
    <vt:lpwstr>Do Not Mark</vt:lpwstr>
  </property>
</Properties>
</file>