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0230" w14:textId="5F4D5391" w:rsidR="002F2B06" w:rsidRPr="0042214E" w:rsidRDefault="002856ED" w:rsidP="00A162C2">
      <w:pPr>
        <w:pStyle w:val="Title"/>
      </w:pPr>
      <w:r w:rsidRPr="0042214E">
        <w:t>Investment Lifecycle and High</w:t>
      </w:r>
      <w:r w:rsidR="00A162C2" w:rsidRPr="0042214E">
        <w:t xml:space="preserve"> </w:t>
      </w:r>
      <w:r w:rsidRPr="0042214E">
        <w:t>Value</w:t>
      </w:r>
      <w:r w:rsidR="00A40AF9" w:rsidRPr="0042214E">
        <w:t xml:space="preserve"> </w:t>
      </w:r>
      <w:r w:rsidRPr="0042214E">
        <w:t>High Risk Guidelines</w:t>
      </w:r>
    </w:p>
    <w:p w14:paraId="51E4A129" w14:textId="76FE5DB7" w:rsidR="00FD1897" w:rsidRPr="0042214E" w:rsidRDefault="007F2BCF" w:rsidP="00845213">
      <w:pPr>
        <w:pStyle w:val="Subtitle"/>
      </w:pPr>
      <w:r w:rsidRPr="0042214E">
        <w:t>Business case</w:t>
      </w:r>
    </w:p>
    <w:p w14:paraId="175E3FE0" w14:textId="794C13C9" w:rsidR="00FF03C1" w:rsidRPr="0042214E" w:rsidRDefault="00FF03C1" w:rsidP="00845213">
      <w:pPr>
        <w:pStyle w:val="TertiaryTitle"/>
      </w:pPr>
      <w:r w:rsidRPr="0042214E">
        <w:t>(</w:t>
      </w:r>
      <w:r w:rsidR="00B675CD" w:rsidRPr="0042214E">
        <w:t xml:space="preserve">FORMERLY </w:t>
      </w:r>
      <w:r w:rsidRPr="0042214E">
        <w:t>Conceptualise and Prove)</w:t>
      </w:r>
    </w:p>
    <w:p w14:paraId="4B0784CD" w14:textId="77777777" w:rsidR="00AF342B" w:rsidRPr="0042214E" w:rsidRDefault="00AF342B" w:rsidP="0034041F"/>
    <w:p w14:paraId="7A7E7D51" w14:textId="77777777" w:rsidR="002856ED" w:rsidRPr="0042214E" w:rsidRDefault="002856ED" w:rsidP="00822D20">
      <w:pPr>
        <w:pStyle w:val="Heading1"/>
        <w:sectPr w:rsidR="002856ED" w:rsidRPr="0042214E" w:rsidSect="00D666F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872" w:right="1411" w:bottom="1440" w:left="1411" w:header="680" w:footer="454" w:gutter="0"/>
          <w:cols w:sep="1" w:space="567"/>
          <w:docGrid w:linePitch="360"/>
        </w:sectPr>
      </w:pPr>
    </w:p>
    <w:p w14:paraId="619A8C40" w14:textId="77777777" w:rsidR="0034041F" w:rsidRPr="0042214E" w:rsidRDefault="0034041F" w:rsidP="002F2B06">
      <w:pPr>
        <w:spacing w:before="0" w:after="0"/>
      </w:pPr>
      <w:r w:rsidRPr="0042214E">
        <w:lastRenderedPageBreak/>
        <w:t>The Secretary</w:t>
      </w:r>
    </w:p>
    <w:p w14:paraId="01036EF6" w14:textId="77777777" w:rsidR="0034041F" w:rsidRPr="0042214E" w:rsidRDefault="0034041F" w:rsidP="002F2B06">
      <w:pPr>
        <w:spacing w:before="0" w:after="0"/>
      </w:pPr>
      <w:r w:rsidRPr="0042214E">
        <w:t>Department of Treasury and Finance</w:t>
      </w:r>
    </w:p>
    <w:p w14:paraId="7BC48292" w14:textId="77777777" w:rsidR="0034041F" w:rsidRPr="0042214E" w:rsidRDefault="0034041F" w:rsidP="002F2B06">
      <w:pPr>
        <w:spacing w:before="0" w:after="0"/>
      </w:pPr>
      <w:r w:rsidRPr="0042214E">
        <w:t>1 Treasury Place</w:t>
      </w:r>
    </w:p>
    <w:p w14:paraId="3CD20584" w14:textId="77777777" w:rsidR="0034041F" w:rsidRPr="0042214E" w:rsidRDefault="0034041F" w:rsidP="002F2B06">
      <w:pPr>
        <w:spacing w:before="0" w:after="0"/>
      </w:pPr>
      <w:r w:rsidRPr="0042214E">
        <w:t>Melbourne Victoria 3002</w:t>
      </w:r>
    </w:p>
    <w:p w14:paraId="602A5C50" w14:textId="77777777" w:rsidR="0034041F" w:rsidRPr="0042214E" w:rsidRDefault="0034041F" w:rsidP="002F2B06">
      <w:pPr>
        <w:spacing w:before="0" w:after="0"/>
      </w:pPr>
      <w:r w:rsidRPr="0042214E">
        <w:t>Australia</w:t>
      </w:r>
    </w:p>
    <w:p w14:paraId="54244E37" w14:textId="1AB9134A" w:rsidR="0034041F" w:rsidRPr="0042214E" w:rsidRDefault="0034041F" w:rsidP="002F2B06">
      <w:pPr>
        <w:spacing w:before="0" w:after="0"/>
      </w:pPr>
      <w:r w:rsidRPr="0042214E">
        <w:t xml:space="preserve">Telephone: +61 3 </w:t>
      </w:r>
      <w:r w:rsidR="002838E8" w:rsidRPr="0042214E">
        <w:t>9651</w:t>
      </w:r>
      <w:r w:rsidR="007C1344" w:rsidRPr="0042214E">
        <w:t xml:space="preserve"> </w:t>
      </w:r>
      <w:r w:rsidR="002838E8" w:rsidRPr="0042214E">
        <w:t>51</w:t>
      </w:r>
      <w:r w:rsidRPr="0042214E">
        <w:t>11</w:t>
      </w:r>
    </w:p>
    <w:p w14:paraId="0FD97611" w14:textId="0166AE0C" w:rsidR="0034041F" w:rsidRPr="0042214E" w:rsidRDefault="0034041F" w:rsidP="002F2B06">
      <w:pPr>
        <w:spacing w:before="0" w:after="0"/>
      </w:pPr>
      <w:r w:rsidRPr="0042214E">
        <w:t xml:space="preserve">Facsimile: +61 3 </w:t>
      </w:r>
      <w:r w:rsidR="002838E8" w:rsidRPr="0042214E">
        <w:t>9651</w:t>
      </w:r>
      <w:r w:rsidR="007C1344" w:rsidRPr="0042214E">
        <w:t xml:space="preserve"> </w:t>
      </w:r>
      <w:r w:rsidR="002838E8" w:rsidRPr="0042214E">
        <w:t>52</w:t>
      </w:r>
      <w:r w:rsidRPr="0042214E">
        <w:t>98</w:t>
      </w:r>
    </w:p>
    <w:p w14:paraId="249314BD" w14:textId="77777777" w:rsidR="0034041F" w:rsidRPr="0042214E" w:rsidRDefault="0034041F" w:rsidP="002F2B06">
      <w:pPr>
        <w:spacing w:before="0" w:after="0"/>
      </w:pPr>
      <w:r w:rsidRPr="0042214E">
        <w:t>www.dtf.vic.gov.au</w:t>
      </w:r>
    </w:p>
    <w:p w14:paraId="398F50BB" w14:textId="77777777" w:rsidR="0034041F" w:rsidRPr="0042214E" w:rsidRDefault="0034041F" w:rsidP="002F2B06">
      <w:pPr>
        <w:spacing w:before="0" w:after="0"/>
      </w:pPr>
    </w:p>
    <w:p w14:paraId="4A18E701" w14:textId="77777777" w:rsidR="0034041F" w:rsidRPr="0042214E" w:rsidRDefault="0034041F" w:rsidP="002F2B06">
      <w:pPr>
        <w:spacing w:before="0" w:after="0"/>
      </w:pPr>
      <w:r w:rsidRPr="0042214E">
        <w:t>Authorised by the Victorian Government</w:t>
      </w:r>
    </w:p>
    <w:p w14:paraId="3862FFBC" w14:textId="082076BD" w:rsidR="0034041F" w:rsidRDefault="0034041F" w:rsidP="002F2B06">
      <w:pPr>
        <w:spacing w:before="0" w:after="0"/>
      </w:pPr>
      <w:r w:rsidRPr="0042214E">
        <w:t>1 Treasury Place, Melbourne, 3002</w:t>
      </w:r>
    </w:p>
    <w:p w14:paraId="6077EFC0" w14:textId="77777777" w:rsidR="00E258F1" w:rsidRPr="0042214E" w:rsidRDefault="00E258F1" w:rsidP="002F2B06">
      <w:pPr>
        <w:spacing w:before="0" w:after="0"/>
      </w:pPr>
    </w:p>
    <w:p w14:paraId="48F99821" w14:textId="29D3C875" w:rsidR="0034041F" w:rsidRPr="003849D6" w:rsidRDefault="00C64461" w:rsidP="002F2B06">
      <w:pPr>
        <w:spacing w:before="0" w:after="0"/>
        <w:rPr>
          <w:rFonts w:ascii="Arial" w:hAnsi="Arial" w:cs="Arial"/>
          <w:bCs/>
          <w:color w:val="000000"/>
        </w:rPr>
      </w:pPr>
      <w:r w:rsidRPr="003849D6">
        <w:rPr>
          <w:rFonts w:ascii="Arial" w:hAnsi="Arial" w:cs="Arial"/>
          <w:bCs/>
          <w:color w:val="000000"/>
        </w:rPr>
        <w:t xml:space="preserve">ISBN </w:t>
      </w:r>
      <w:r w:rsidRPr="003849D6">
        <w:rPr>
          <w:rFonts w:ascii="Arial" w:hAnsi="Arial" w:cs="Arial"/>
          <w:color w:val="000000"/>
        </w:rPr>
        <w:t>978-1-925551-55-6</w:t>
      </w:r>
      <w:r w:rsidRPr="003849D6">
        <w:rPr>
          <w:rFonts w:ascii="Arial" w:hAnsi="Arial" w:cs="Arial"/>
          <w:bCs/>
          <w:color w:val="000000"/>
        </w:rPr>
        <w:t xml:space="preserve"> (pdf/online/word)</w:t>
      </w:r>
    </w:p>
    <w:p w14:paraId="55FE7C0B" w14:textId="77777777" w:rsidR="00C64461" w:rsidRPr="0042214E" w:rsidRDefault="00C64461" w:rsidP="002F2B06">
      <w:pPr>
        <w:spacing w:before="0" w:after="0"/>
      </w:pPr>
    </w:p>
    <w:p w14:paraId="2A4DF2BF" w14:textId="106502B7" w:rsidR="0034041F" w:rsidRPr="0042214E" w:rsidRDefault="002F2B06" w:rsidP="00E76CD5">
      <w:r w:rsidRPr="0042214E">
        <w:t xml:space="preserve">© State of </w:t>
      </w:r>
      <w:r w:rsidRPr="00667D0D">
        <w:t xml:space="preserve">Victoria </w:t>
      </w:r>
      <w:r w:rsidR="007F2BCF" w:rsidRPr="00667D0D">
        <w:t>20</w:t>
      </w:r>
      <w:r w:rsidR="00ED02DA" w:rsidRPr="00667D0D">
        <w:t>2</w:t>
      </w:r>
      <w:r w:rsidR="00443EA9" w:rsidRPr="00667D0D">
        <w:t>3</w:t>
      </w:r>
    </w:p>
    <w:p w14:paraId="0B664B2D" w14:textId="77777777" w:rsidR="0034041F" w:rsidRPr="0042214E" w:rsidRDefault="002F2B06" w:rsidP="00E76CD5">
      <w:r w:rsidRPr="0042214E">
        <w:rPr>
          <w:noProof/>
          <w:lang w:eastAsia="en-US"/>
        </w:rPr>
        <w:drawing>
          <wp:inline distT="0" distB="0" distL="0" distR="0" wp14:anchorId="14EAF3CA" wp14:editId="14973B37">
            <wp:extent cx="1117460" cy="393651"/>
            <wp:effectExtent l="0" t="0" r="6985" b="6985"/>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9">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14:paraId="6E5EC341" w14:textId="77777777" w:rsidR="0034041F" w:rsidRPr="0042214E" w:rsidRDefault="0034041F" w:rsidP="0034041F">
      <w:r w:rsidRPr="0042214E">
        <w:t xml:space="preserve">This work is licensed under a Creative Commons Attribution 3.0 Australia licence. You are free to reuse the work under that licence, on the condition that you credit the State of Victoria as author. The licence does not apply to any images, </w:t>
      </w:r>
      <w:proofErr w:type="gramStart"/>
      <w:r w:rsidRPr="0042214E">
        <w:t>photographs</w:t>
      </w:r>
      <w:proofErr w:type="gramEnd"/>
      <w:r w:rsidRPr="0042214E">
        <w:t xml:space="preserve"> or branding, including the Victorian Coat of Arms, the Victorian Government logo and the Department of Treasury and Finance logo.</w:t>
      </w:r>
    </w:p>
    <w:p w14:paraId="44758083" w14:textId="19A8C302" w:rsidR="0034041F" w:rsidRPr="0042214E" w:rsidRDefault="0034041F" w:rsidP="0034041F">
      <w:r w:rsidRPr="0042214E">
        <w:t>Copyright queries may be directed to IPpolicy@dtf.vic.gov.au</w:t>
      </w:r>
    </w:p>
    <w:p w14:paraId="6ACFEAA5" w14:textId="7AB5B434" w:rsidR="0034041F" w:rsidRPr="0042214E" w:rsidRDefault="0034041F" w:rsidP="0034041F">
      <w:r w:rsidRPr="0042214E">
        <w:t>If you would like to receive this publication in an accessible format</w:t>
      </w:r>
      <w:r w:rsidR="007C1344" w:rsidRPr="0042214E">
        <w:t>,</w:t>
      </w:r>
      <w:r w:rsidRPr="0042214E">
        <w:t xml:space="preserve"> please email information@dtf.vic.gov.au </w:t>
      </w:r>
    </w:p>
    <w:p w14:paraId="4569999A" w14:textId="77777777" w:rsidR="002856ED" w:rsidRPr="0042214E" w:rsidRDefault="0034041F" w:rsidP="0034041F">
      <w:r w:rsidRPr="0042214E">
        <w:t>This document is also available in PDF format at www.dtf.vic.gov.au</w:t>
      </w:r>
    </w:p>
    <w:p w14:paraId="7F3684E1" w14:textId="77777777" w:rsidR="002856ED" w:rsidRPr="0042214E" w:rsidRDefault="002856ED" w:rsidP="00AF3E03">
      <w:pPr>
        <w:pStyle w:val="Heading1"/>
        <w:sectPr w:rsidR="002856ED" w:rsidRPr="0042214E" w:rsidSect="00D666FA">
          <w:headerReference w:type="default" r:id="rId20"/>
          <w:footerReference w:type="even" r:id="rId21"/>
          <w:footerReference w:type="default" r:id="rId22"/>
          <w:pgSz w:w="11906" w:h="16838" w:code="9"/>
          <w:pgMar w:top="1872" w:right="1411" w:bottom="1440" w:left="1411" w:header="680" w:footer="454" w:gutter="0"/>
          <w:cols w:sep="1" w:space="567"/>
          <w:vAlign w:val="bottom"/>
          <w:docGrid w:linePitch="360"/>
        </w:sectPr>
      </w:pPr>
    </w:p>
    <w:p w14:paraId="28911759" w14:textId="7954E9F8" w:rsidR="00FF3B45" w:rsidRPr="0042214E" w:rsidRDefault="008420DB" w:rsidP="00A162C2">
      <w:pPr>
        <w:pStyle w:val="TOCHeading"/>
      </w:pPr>
      <w:r w:rsidRPr="0042214E">
        <w:lastRenderedPageBreak/>
        <w:t>Contents</w:t>
      </w:r>
    </w:p>
    <w:p w14:paraId="7614E71B" w14:textId="21C16C2E" w:rsidR="00D67749" w:rsidRDefault="001807D4">
      <w:pPr>
        <w:pStyle w:val="TOC1"/>
        <w:rPr>
          <w:b w:val="0"/>
          <w:spacing w:val="0"/>
          <w:szCs w:val="22"/>
        </w:rPr>
      </w:pPr>
      <w:r w:rsidRPr="0042214E">
        <w:rPr>
          <w:rFonts w:asciiTheme="majorHAnsi" w:hAnsiTheme="majorHAnsi"/>
          <w:noProof w:val="0"/>
          <w:color w:val="53565A" w:themeColor="text2"/>
          <w:spacing w:val="-2"/>
          <w:sz w:val="24"/>
          <w:szCs w:val="19"/>
        </w:rPr>
        <w:fldChar w:fldCharType="begin"/>
      </w:r>
      <w:r w:rsidRPr="0042214E">
        <w:rPr>
          <w:noProof w:val="0"/>
        </w:rPr>
        <w:instrText xml:space="preserve"> TOC \h \z </w:instrText>
      </w:r>
      <w:r w:rsidR="0042572E" w:rsidRPr="0042214E">
        <w:rPr>
          <w:noProof w:val="0"/>
        </w:rPr>
        <w:instrText>\t " Heading 1</w:instrText>
      </w:r>
      <w:r w:rsidR="00A162C2" w:rsidRPr="0042214E">
        <w:rPr>
          <w:noProof w:val="0"/>
        </w:rPr>
        <w:instrText xml:space="preserve"> numbered</w:instrText>
      </w:r>
      <w:r w:rsidR="0042572E" w:rsidRPr="0042214E">
        <w:rPr>
          <w:noProof w:val="0"/>
        </w:rPr>
        <w:instrText>,1,Heading 1,</w:instrText>
      </w:r>
      <w:r w:rsidR="00A162C2" w:rsidRPr="0042214E">
        <w:rPr>
          <w:noProof w:val="0"/>
        </w:rPr>
        <w:instrText>1</w:instrText>
      </w:r>
      <w:r w:rsidRPr="0042214E">
        <w:rPr>
          <w:noProof w:val="0"/>
        </w:rPr>
        <w:instrText xml:space="preserve">, Heading 2,2,Heading 2 </w:instrText>
      </w:r>
      <w:r w:rsidR="00A162C2" w:rsidRPr="0042214E">
        <w:rPr>
          <w:noProof w:val="0"/>
        </w:rPr>
        <w:instrText>numbered,</w:instrText>
      </w:r>
      <w:r w:rsidRPr="0042214E">
        <w:rPr>
          <w:noProof w:val="0"/>
        </w:rPr>
        <w:instrText>2</w:instrText>
      </w:r>
      <w:r w:rsidR="009A61A0" w:rsidRPr="0042214E">
        <w:rPr>
          <w:noProof w:val="0"/>
        </w:rPr>
        <w:instrText>, Heading 3,3,Heading 3 numbered,3</w:instrText>
      </w:r>
      <w:r w:rsidR="0042572E" w:rsidRPr="0042214E">
        <w:rPr>
          <w:noProof w:val="0"/>
        </w:rPr>
        <w:instrText xml:space="preserve"> </w:instrText>
      </w:r>
      <w:r w:rsidRPr="0042214E">
        <w:rPr>
          <w:noProof w:val="0"/>
        </w:rPr>
        <w:instrText xml:space="preserve"> \* MERGEFORMAT </w:instrText>
      </w:r>
      <w:r w:rsidRPr="0042214E">
        <w:rPr>
          <w:rFonts w:asciiTheme="majorHAnsi" w:hAnsiTheme="majorHAnsi"/>
          <w:noProof w:val="0"/>
          <w:color w:val="53565A" w:themeColor="text2"/>
          <w:spacing w:val="-2"/>
          <w:sz w:val="24"/>
          <w:szCs w:val="19"/>
        </w:rPr>
        <w:fldChar w:fldCharType="separate"/>
      </w:r>
      <w:hyperlink w:anchor="_Toc121415277" w:history="1">
        <w:r w:rsidR="00D67749" w:rsidRPr="00564F43">
          <w:rPr>
            <w:rStyle w:val="Hyperlink"/>
          </w:rPr>
          <w:t>Context</w:t>
        </w:r>
        <w:r w:rsidR="00D67749">
          <w:rPr>
            <w:webHidden/>
          </w:rPr>
          <w:tab/>
        </w:r>
        <w:r w:rsidR="00D67749">
          <w:rPr>
            <w:webHidden/>
          </w:rPr>
          <w:fldChar w:fldCharType="begin"/>
        </w:r>
        <w:r w:rsidR="00D67749">
          <w:rPr>
            <w:webHidden/>
          </w:rPr>
          <w:instrText xml:space="preserve"> PAGEREF _Toc121415277 \h </w:instrText>
        </w:r>
        <w:r w:rsidR="00D67749">
          <w:rPr>
            <w:webHidden/>
          </w:rPr>
        </w:r>
        <w:r w:rsidR="00D67749">
          <w:rPr>
            <w:webHidden/>
          </w:rPr>
          <w:fldChar w:fldCharType="separate"/>
        </w:r>
        <w:r w:rsidR="00295E8F">
          <w:rPr>
            <w:webHidden/>
          </w:rPr>
          <w:t>1</w:t>
        </w:r>
        <w:r w:rsidR="00D67749">
          <w:rPr>
            <w:webHidden/>
          </w:rPr>
          <w:fldChar w:fldCharType="end"/>
        </w:r>
      </w:hyperlink>
    </w:p>
    <w:p w14:paraId="1AF2E21C" w14:textId="4F38D37A" w:rsidR="00D67749" w:rsidRDefault="00BB3C68">
      <w:pPr>
        <w:pStyle w:val="TOC2"/>
        <w:rPr>
          <w:spacing w:val="0"/>
          <w:sz w:val="22"/>
          <w:szCs w:val="22"/>
        </w:rPr>
      </w:pPr>
      <w:hyperlink w:anchor="_Toc121415278" w:history="1">
        <w:r w:rsidR="00D67749" w:rsidRPr="00564F43">
          <w:rPr>
            <w:rStyle w:val="Hyperlink"/>
          </w:rPr>
          <w:t>Purpose of this document</w:t>
        </w:r>
        <w:r w:rsidR="00D67749">
          <w:rPr>
            <w:webHidden/>
          </w:rPr>
          <w:tab/>
        </w:r>
        <w:r w:rsidR="00D67749">
          <w:rPr>
            <w:webHidden/>
          </w:rPr>
          <w:fldChar w:fldCharType="begin"/>
        </w:r>
        <w:r w:rsidR="00D67749">
          <w:rPr>
            <w:webHidden/>
          </w:rPr>
          <w:instrText xml:space="preserve"> PAGEREF _Toc121415278 \h </w:instrText>
        </w:r>
        <w:r w:rsidR="00D67749">
          <w:rPr>
            <w:webHidden/>
          </w:rPr>
        </w:r>
        <w:r w:rsidR="00D67749">
          <w:rPr>
            <w:webHidden/>
          </w:rPr>
          <w:fldChar w:fldCharType="separate"/>
        </w:r>
        <w:r w:rsidR="00295E8F">
          <w:rPr>
            <w:webHidden/>
          </w:rPr>
          <w:t>1</w:t>
        </w:r>
        <w:r w:rsidR="00D67749">
          <w:rPr>
            <w:webHidden/>
          </w:rPr>
          <w:fldChar w:fldCharType="end"/>
        </w:r>
      </w:hyperlink>
    </w:p>
    <w:p w14:paraId="72D903D7" w14:textId="2C091695" w:rsidR="00D67749" w:rsidRDefault="00BB3C68">
      <w:pPr>
        <w:pStyle w:val="TOC2"/>
        <w:rPr>
          <w:spacing w:val="0"/>
          <w:sz w:val="22"/>
          <w:szCs w:val="22"/>
        </w:rPr>
      </w:pPr>
      <w:hyperlink w:anchor="_Toc121415279" w:history="1">
        <w:r w:rsidR="00D67749" w:rsidRPr="00564F43">
          <w:rPr>
            <w:rStyle w:val="Hyperlink"/>
          </w:rPr>
          <w:t>Which investments are HVHR?</w:t>
        </w:r>
        <w:r w:rsidR="00D67749">
          <w:rPr>
            <w:webHidden/>
          </w:rPr>
          <w:tab/>
        </w:r>
        <w:r w:rsidR="00D67749">
          <w:rPr>
            <w:webHidden/>
          </w:rPr>
          <w:fldChar w:fldCharType="begin"/>
        </w:r>
        <w:r w:rsidR="00D67749">
          <w:rPr>
            <w:webHidden/>
          </w:rPr>
          <w:instrText xml:space="preserve"> PAGEREF _Toc121415279 \h </w:instrText>
        </w:r>
        <w:r w:rsidR="00D67749">
          <w:rPr>
            <w:webHidden/>
          </w:rPr>
        </w:r>
        <w:r w:rsidR="00D67749">
          <w:rPr>
            <w:webHidden/>
          </w:rPr>
          <w:fldChar w:fldCharType="separate"/>
        </w:r>
        <w:r w:rsidR="00295E8F">
          <w:rPr>
            <w:webHidden/>
          </w:rPr>
          <w:t>2</w:t>
        </w:r>
        <w:r w:rsidR="00D67749">
          <w:rPr>
            <w:webHidden/>
          </w:rPr>
          <w:fldChar w:fldCharType="end"/>
        </w:r>
      </w:hyperlink>
    </w:p>
    <w:p w14:paraId="0A754DBD" w14:textId="5DCECB64" w:rsidR="00D67749" w:rsidRDefault="00BB3C68">
      <w:pPr>
        <w:pStyle w:val="TOC2"/>
        <w:rPr>
          <w:spacing w:val="0"/>
          <w:sz w:val="22"/>
          <w:szCs w:val="22"/>
        </w:rPr>
      </w:pPr>
      <w:hyperlink w:anchor="_Toc121415280" w:history="1">
        <w:r w:rsidR="00D67749" w:rsidRPr="00564F43">
          <w:rPr>
            <w:rStyle w:val="Hyperlink"/>
          </w:rPr>
          <w:t>The Project Assurance Framework and process</w:t>
        </w:r>
        <w:r w:rsidR="00D67749">
          <w:rPr>
            <w:webHidden/>
          </w:rPr>
          <w:tab/>
        </w:r>
        <w:r w:rsidR="00D67749">
          <w:rPr>
            <w:webHidden/>
          </w:rPr>
          <w:fldChar w:fldCharType="begin"/>
        </w:r>
        <w:r w:rsidR="00D67749">
          <w:rPr>
            <w:webHidden/>
          </w:rPr>
          <w:instrText xml:space="preserve"> PAGEREF _Toc121415280 \h </w:instrText>
        </w:r>
        <w:r w:rsidR="00D67749">
          <w:rPr>
            <w:webHidden/>
          </w:rPr>
        </w:r>
        <w:r w:rsidR="00D67749">
          <w:rPr>
            <w:webHidden/>
          </w:rPr>
          <w:fldChar w:fldCharType="separate"/>
        </w:r>
        <w:r w:rsidR="00295E8F">
          <w:rPr>
            <w:webHidden/>
          </w:rPr>
          <w:t>3</w:t>
        </w:r>
        <w:r w:rsidR="00D67749">
          <w:rPr>
            <w:webHidden/>
          </w:rPr>
          <w:fldChar w:fldCharType="end"/>
        </w:r>
      </w:hyperlink>
    </w:p>
    <w:p w14:paraId="5133FE3C" w14:textId="6063CAF2" w:rsidR="00D67749" w:rsidRDefault="00BB3C68">
      <w:pPr>
        <w:pStyle w:val="TOC2"/>
        <w:rPr>
          <w:spacing w:val="0"/>
          <w:sz w:val="22"/>
          <w:szCs w:val="22"/>
        </w:rPr>
      </w:pPr>
      <w:hyperlink w:anchor="_Toc121415281" w:history="1">
        <w:r w:rsidR="00D67749" w:rsidRPr="00564F43">
          <w:rPr>
            <w:rStyle w:val="Hyperlink"/>
          </w:rPr>
          <w:t>How to use this guideline</w:t>
        </w:r>
        <w:r w:rsidR="00D67749">
          <w:rPr>
            <w:webHidden/>
          </w:rPr>
          <w:tab/>
        </w:r>
        <w:r w:rsidR="00D67749">
          <w:rPr>
            <w:webHidden/>
          </w:rPr>
          <w:fldChar w:fldCharType="begin"/>
        </w:r>
        <w:r w:rsidR="00D67749">
          <w:rPr>
            <w:webHidden/>
          </w:rPr>
          <w:instrText xml:space="preserve"> PAGEREF _Toc121415281 \h </w:instrText>
        </w:r>
        <w:r w:rsidR="00D67749">
          <w:rPr>
            <w:webHidden/>
          </w:rPr>
        </w:r>
        <w:r w:rsidR="00D67749">
          <w:rPr>
            <w:webHidden/>
          </w:rPr>
          <w:fldChar w:fldCharType="separate"/>
        </w:r>
        <w:r w:rsidR="00295E8F">
          <w:rPr>
            <w:webHidden/>
          </w:rPr>
          <w:t>4</w:t>
        </w:r>
        <w:r w:rsidR="00D67749">
          <w:rPr>
            <w:webHidden/>
          </w:rPr>
          <w:fldChar w:fldCharType="end"/>
        </w:r>
      </w:hyperlink>
    </w:p>
    <w:p w14:paraId="52AD34F0" w14:textId="5669252E" w:rsidR="00D67749" w:rsidRDefault="00BB3C68">
      <w:pPr>
        <w:pStyle w:val="TOC2"/>
        <w:rPr>
          <w:spacing w:val="0"/>
          <w:sz w:val="22"/>
          <w:szCs w:val="22"/>
        </w:rPr>
      </w:pPr>
      <w:hyperlink w:anchor="_Toc121415282" w:history="1">
        <w:r w:rsidR="00D67749" w:rsidRPr="00564F43">
          <w:rPr>
            <w:rStyle w:val="Hyperlink"/>
          </w:rPr>
          <w:t>Who should use this guide</w:t>
        </w:r>
        <w:r w:rsidR="00D67749">
          <w:rPr>
            <w:webHidden/>
          </w:rPr>
          <w:tab/>
        </w:r>
        <w:r w:rsidR="00D67749">
          <w:rPr>
            <w:webHidden/>
          </w:rPr>
          <w:fldChar w:fldCharType="begin"/>
        </w:r>
        <w:r w:rsidR="00D67749">
          <w:rPr>
            <w:webHidden/>
          </w:rPr>
          <w:instrText xml:space="preserve"> PAGEREF _Toc121415282 \h </w:instrText>
        </w:r>
        <w:r w:rsidR="00D67749">
          <w:rPr>
            <w:webHidden/>
          </w:rPr>
        </w:r>
        <w:r w:rsidR="00D67749">
          <w:rPr>
            <w:webHidden/>
          </w:rPr>
          <w:fldChar w:fldCharType="separate"/>
        </w:r>
        <w:r w:rsidR="00295E8F">
          <w:rPr>
            <w:webHidden/>
          </w:rPr>
          <w:t>5</w:t>
        </w:r>
        <w:r w:rsidR="00D67749">
          <w:rPr>
            <w:webHidden/>
          </w:rPr>
          <w:fldChar w:fldCharType="end"/>
        </w:r>
      </w:hyperlink>
    </w:p>
    <w:p w14:paraId="59D4BFAA" w14:textId="770FDB79" w:rsidR="00D67749" w:rsidRDefault="00BB3C68">
      <w:pPr>
        <w:pStyle w:val="TOC1"/>
        <w:rPr>
          <w:b w:val="0"/>
          <w:spacing w:val="0"/>
          <w:szCs w:val="22"/>
        </w:rPr>
      </w:pPr>
      <w:hyperlink w:anchor="_Toc121415283" w:history="1">
        <w:r w:rsidR="00D67749" w:rsidRPr="00564F43">
          <w:rPr>
            <w:rStyle w:val="Hyperlink"/>
          </w:rPr>
          <w:t>1.</w:t>
        </w:r>
        <w:r w:rsidR="00D67749">
          <w:rPr>
            <w:b w:val="0"/>
            <w:spacing w:val="0"/>
            <w:szCs w:val="22"/>
          </w:rPr>
          <w:tab/>
        </w:r>
        <w:r w:rsidR="00D67749" w:rsidRPr="00564F43">
          <w:rPr>
            <w:rStyle w:val="Hyperlink"/>
          </w:rPr>
          <w:t>Introduction</w:t>
        </w:r>
        <w:r w:rsidR="00D67749">
          <w:rPr>
            <w:webHidden/>
          </w:rPr>
          <w:tab/>
        </w:r>
        <w:r w:rsidR="00D67749">
          <w:rPr>
            <w:webHidden/>
          </w:rPr>
          <w:fldChar w:fldCharType="begin"/>
        </w:r>
        <w:r w:rsidR="00D67749">
          <w:rPr>
            <w:webHidden/>
          </w:rPr>
          <w:instrText xml:space="preserve"> PAGEREF _Toc121415283 \h </w:instrText>
        </w:r>
        <w:r w:rsidR="00D67749">
          <w:rPr>
            <w:webHidden/>
          </w:rPr>
        </w:r>
        <w:r w:rsidR="00D67749">
          <w:rPr>
            <w:webHidden/>
          </w:rPr>
          <w:fldChar w:fldCharType="separate"/>
        </w:r>
        <w:r w:rsidR="00295E8F">
          <w:rPr>
            <w:webHidden/>
          </w:rPr>
          <w:t>6</w:t>
        </w:r>
        <w:r w:rsidR="00D67749">
          <w:rPr>
            <w:webHidden/>
          </w:rPr>
          <w:fldChar w:fldCharType="end"/>
        </w:r>
      </w:hyperlink>
    </w:p>
    <w:p w14:paraId="51C9CCDA" w14:textId="282613F0" w:rsidR="00D67749" w:rsidRDefault="00BB3C68">
      <w:pPr>
        <w:pStyle w:val="TOC2"/>
        <w:rPr>
          <w:spacing w:val="0"/>
          <w:sz w:val="22"/>
          <w:szCs w:val="22"/>
        </w:rPr>
      </w:pPr>
      <w:hyperlink w:anchor="_Toc121415284" w:history="1">
        <w:r w:rsidR="00D67749" w:rsidRPr="00564F43">
          <w:rPr>
            <w:rStyle w:val="Hyperlink"/>
          </w:rPr>
          <w:t>1.1</w:t>
        </w:r>
        <w:r w:rsidR="00D67749">
          <w:rPr>
            <w:spacing w:val="0"/>
            <w:sz w:val="22"/>
            <w:szCs w:val="22"/>
          </w:rPr>
          <w:tab/>
        </w:r>
        <w:r w:rsidR="00D67749" w:rsidRPr="00564F43">
          <w:rPr>
            <w:rStyle w:val="Hyperlink"/>
          </w:rPr>
          <w:t>The business case stage</w:t>
        </w:r>
        <w:r w:rsidR="00D67749">
          <w:rPr>
            <w:webHidden/>
          </w:rPr>
          <w:tab/>
        </w:r>
        <w:r w:rsidR="00D67749">
          <w:rPr>
            <w:webHidden/>
          </w:rPr>
          <w:fldChar w:fldCharType="begin"/>
        </w:r>
        <w:r w:rsidR="00D67749">
          <w:rPr>
            <w:webHidden/>
          </w:rPr>
          <w:instrText xml:space="preserve"> PAGEREF _Toc121415284 \h </w:instrText>
        </w:r>
        <w:r w:rsidR="00D67749">
          <w:rPr>
            <w:webHidden/>
          </w:rPr>
        </w:r>
        <w:r w:rsidR="00D67749">
          <w:rPr>
            <w:webHidden/>
          </w:rPr>
          <w:fldChar w:fldCharType="separate"/>
        </w:r>
        <w:r w:rsidR="00295E8F">
          <w:rPr>
            <w:webHidden/>
          </w:rPr>
          <w:t>6</w:t>
        </w:r>
        <w:r w:rsidR="00D67749">
          <w:rPr>
            <w:webHidden/>
          </w:rPr>
          <w:fldChar w:fldCharType="end"/>
        </w:r>
      </w:hyperlink>
    </w:p>
    <w:p w14:paraId="45C496D8" w14:textId="0809A9BF" w:rsidR="00D67749" w:rsidRDefault="00BB3C68">
      <w:pPr>
        <w:pStyle w:val="TOC2"/>
        <w:rPr>
          <w:spacing w:val="0"/>
          <w:sz w:val="22"/>
          <w:szCs w:val="22"/>
        </w:rPr>
      </w:pPr>
      <w:hyperlink w:anchor="_Toc121415285" w:history="1">
        <w:r w:rsidR="00D67749" w:rsidRPr="00564F43">
          <w:rPr>
            <w:rStyle w:val="Hyperlink"/>
          </w:rPr>
          <w:t>1.2</w:t>
        </w:r>
        <w:r w:rsidR="00D67749">
          <w:rPr>
            <w:spacing w:val="0"/>
            <w:sz w:val="22"/>
            <w:szCs w:val="22"/>
          </w:rPr>
          <w:tab/>
        </w:r>
        <w:r w:rsidR="00D67749" w:rsidRPr="00564F43">
          <w:rPr>
            <w:rStyle w:val="Hyperlink"/>
          </w:rPr>
          <w:t>Building the business case</w:t>
        </w:r>
        <w:r w:rsidR="00D67749">
          <w:rPr>
            <w:webHidden/>
          </w:rPr>
          <w:tab/>
        </w:r>
        <w:r w:rsidR="00D67749">
          <w:rPr>
            <w:webHidden/>
          </w:rPr>
          <w:fldChar w:fldCharType="begin"/>
        </w:r>
        <w:r w:rsidR="00D67749">
          <w:rPr>
            <w:webHidden/>
          </w:rPr>
          <w:instrText xml:space="preserve"> PAGEREF _Toc121415285 \h </w:instrText>
        </w:r>
        <w:r w:rsidR="00D67749">
          <w:rPr>
            <w:webHidden/>
          </w:rPr>
        </w:r>
        <w:r w:rsidR="00D67749">
          <w:rPr>
            <w:webHidden/>
          </w:rPr>
          <w:fldChar w:fldCharType="separate"/>
        </w:r>
        <w:r w:rsidR="00295E8F">
          <w:rPr>
            <w:webHidden/>
          </w:rPr>
          <w:t>6</w:t>
        </w:r>
        <w:r w:rsidR="00D67749">
          <w:rPr>
            <w:webHidden/>
          </w:rPr>
          <w:fldChar w:fldCharType="end"/>
        </w:r>
      </w:hyperlink>
    </w:p>
    <w:p w14:paraId="21DBB988" w14:textId="24EAFD1F" w:rsidR="00D67749" w:rsidRDefault="00BB3C68">
      <w:pPr>
        <w:pStyle w:val="TOC3"/>
        <w:rPr>
          <w:spacing w:val="0"/>
          <w:sz w:val="22"/>
          <w:szCs w:val="22"/>
        </w:rPr>
      </w:pPr>
      <w:hyperlink w:anchor="_Toc121415286" w:history="1">
        <w:r w:rsidR="00D67749" w:rsidRPr="00564F43">
          <w:rPr>
            <w:rStyle w:val="Hyperlink"/>
          </w:rPr>
          <w:t>1.2.1</w:t>
        </w:r>
        <w:r w:rsidR="00D67749">
          <w:rPr>
            <w:spacing w:val="0"/>
            <w:sz w:val="22"/>
            <w:szCs w:val="22"/>
          </w:rPr>
          <w:tab/>
        </w:r>
        <w:r w:rsidR="00D67749" w:rsidRPr="00564F43">
          <w:rPr>
            <w:rStyle w:val="Hyperlink"/>
          </w:rPr>
          <w:t>Creating the business case – length and style?</w:t>
        </w:r>
        <w:r w:rsidR="00D67749">
          <w:rPr>
            <w:webHidden/>
          </w:rPr>
          <w:tab/>
        </w:r>
        <w:r w:rsidR="00D67749">
          <w:rPr>
            <w:webHidden/>
          </w:rPr>
          <w:fldChar w:fldCharType="begin"/>
        </w:r>
        <w:r w:rsidR="00D67749">
          <w:rPr>
            <w:webHidden/>
          </w:rPr>
          <w:instrText xml:space="preserve"> PAGEREF _Toc121415286 \h </w:instrText>
        </w:r>
        <w:r w:rsidR="00D67749">
          <w:rPr>
            <w:webHidden/>
          </w:rPr>
        </w:r>
        <w:r w:rsidR="00D67749">
          <w:rPr>
            <w:webHidden/>
          </w:rPr>
          <w:fldChar w:fldCharType="separate"/>
        </w:r>
        <w:r w:rsidR="00295E8F">
          <w:rPr>
            <w:webHidden/>
          </w:rPr>
          <w:t>6</w:t>
        </w:r>
        <w:r w:rsidR="00D67749">
          <w:rPr>
            <w:webHidden/>
          </w:rPr>
          <w:fldChar w:fldCharType="end"/>
        </w:r>
      </w:hyperlink>
    </w:p>
    <w:p w14:paraId="056960D0" w14:textId="42A9E07C" w:rsidR="00D67749" w:rsidRDefault="00BB3C68">
      <w:pPr>
        <w:pStyle w:val="TOC3"/>
        <w:rPr>
          <w:spacing w:val="0"/>
          <w:sz w:val="22"/>
          <w:szCs w:val="22"/>
        </w:rPr>
      </w:pPr>
      <w:hyperlink w:anchor="_Toc121415287" w:history="1">
        <w:r w:rsidR="00D67749" w:rsidRPr="00564F43">
          <w:rPr>
            <w:rStyle w:val="Hyperlink"/>
          </w:rPr>
          <w:t>1.2.2</w:t>
        </w:r>
        <w:r w:rsidR="00D67749">
          <w:rPr>
            <w:spacing w:val="0"/>
            <w:sz w:val="22"/>
            <w:szCs w:val="22"/>
          </w:rPr>
          <w:tab/>
        </w:r>
        <w:r w:rsidR="00D67749" w:rsidRPr="00564F43">
          <w:rPr>
            <w:rStyle w:val="Hyperlink"/>
          </w:rPr>
          <w:t>The two sections of a business case</w:t>
        </w:r>
        <w:r w:rsidR="00D67749">
          <w:rPr>
            <w:webHidden/>
          </w:rPr>
          <w:tab/>
        </w:r>
        <w:r w:rsidR="00D67749">
          <w:rPr>
            <w:webHidden/>
          </w:rPr>
          <w:fldChar w:fldCharType="begin"/>
        </w:r>
        <w:r w:rsidR="00D67749">
          <w:rPr>
            <w:webHidden/>
          </w:rPr>
          <w:instrText xml:space="preserve"> PAGEREF _Toc121415287 \h </w:instrText>
        </w:r>
        <w:r w:rsidR="00D67749">
          <w:rPr>
            <w:webHidden/>
          </w:rPr>
        </w:r>
        <w:r w:rsidR="00D67749">
          <w:rPr>
            <w:webHidden/>
          </w:rPr>
          <w:fldChar w:fldCharType="separate"/>
        </w:r>
        <w:r w:rsidR="00295E8F">
          <w:rPr>
            <w:webHidden/>
          </w:rPr>
          <w:t>7</w:t>
        </w:r>
        <w:r w:rsidR="00D67749">
          <w:rPr>
            <w:webHidden/>
          </w:rPr>
          <w:fldChar w:fldCharType="end"/>
        </w:r>
      </w:hyperlink>
    </w:p>
    <w:p w14:paraId="36B3CD33" w14:textId="7FF9BFCA" w:rsidR="00D67749" w:rsidRDefault="00BB3C68">
      <w:pPr>
        <w:pStyle w:val="TOC3"/>
        <w:rPr>
          <w:spacing w:val="0"/>
          <w:sz w:val="22"/>
          <w:szCs w:val="22"/>
        </w:rPr>
      </w:pPr>
      <w:hyperlink w:anchor="_Toc121415288" w:history="1">
        <w:r w:rsidR="00D67749" w:rsidRPr="00564F43">
          <w:rPr>
            <w:rStyle w:val="Hyperlink"/>
          </w:rPr>
          <w:t>1.2.3</w:t>
        </w:r>
        <w:r w:rsidR="00D67749">
          <w:rPr>
            <w:spacing w:val="0"/>
            <w:sz w:val="22"/>
            <w:szCs w:val="22"/>
          </w:rPr>
          <w:tab/>
        </w:r>
        <w:r w:rsidR="00D67749" w:rsidRPr="00564F43">
          <w:rPr>
            <w:rStyle w:val="Hyperlink"/>
          </w:rPr>
          <w:t>Types of business cases</w:t>
        </w:r>
        <w:r w:rsidR="00D67749">
          <w:rPr>
            <w:webHidden/>
          </w:rPr>
          <w:tab/>
        </w:r>
        <w:r w:rsidR="00D67749">
          <w:rPr>
            <w:webHidden/>
          </w:rPr>
          <w:fldChar w:fldCharType="begin"/>
        </w:r>
        <w:r w:rsidR="00D67749">
          <w:rPr>
            <w:webHidden/>
          </w:rPr>
          <w:instrText xml:space="preserve"> PAGEREF _Toc121415288 \h </w:instrText>
        </w:r>
        <w:r w:rsidR="00D67749">
          <w:rPr>
            <w:webHidden/>
          </w:rPr>
        </w:r>
        <w:r w:rsidR="00D67749">
          <w:rPr>
            <w:webHidden/>
          </w:rPr>
          <w:fldChar w:fldCharType="separate"/>
        </w:r>
        <w:r w:rsidR="00295E8F">
          <w:rPr>
            <w:webHidden/>
          </w:rPr>
          <w:t>8</w:t>
        </w:r>
        <w:r w:rsidR="00D67749">
          <w:rPr>
            <w:webHidden/>
          </w:rPr>
          <w:fldChar w:fldCharType="end"/>
        </w:r>
      </w:hyperlink>
    </w:p>
    <w:p w14:paraId="2AD3FBDD" w14:textId="4604FF4A" w:rsidR="00D67749" w:rsidRDefault="00BB3C68">
      <w:pPr>
        <w:pStyle w:val="TOC2"/>
        <w:rPr>
          <w:spacing w:val="0"/>
          <w:sz w:val="22"/>
          <w:szCs w:val="22"/>
        </w:rPr>
      </w:pPr>
      <w:hyperlink w:anchor="_Toc121415289" w:history="1">
        <w:r w:rsidR="00D67749" w:rsidRPr="00564F43">
          <w:rPr>
            <w:rStyle w:val="Hyperlink"/>
          </w:rPr>
          <w:t>1.3</w:t>
        </w:r>
        <w:r w:rsidR="00D67749">
          <w:rPr>
            <w:spacing w:val="0"/>
            <w:sz w:val="22"/>
            <w:szCs w:val="22"/>
          </w:rPr>
          <w:tab/>
        </w:r>
        <w:r w:rsidR="00D67749" w:rsidRPr="00564F43">
          <w:rPr>
            <w:rStyle w:val="Hyperlink"/>
          </w:rPr>
          <w:t>Whether to prepare a submission for a program or an individual investment?</w:t>
        </w:r>
        <w:r w:rsidR="00D67749">
          <w:rPr>
            <w:webHidden/>
          </w:rPr>
          <w:tab/>
        </w:r>
        <w:r w:rsidR="00D67749">
          <w:rPr>
            <w:webHidden/>
          </w:rPr>
          <w:fldChar w:fldCharType="begin"/>
        </w:r>
        <w:r w:rsidR="00D67749">
          <w:rPr>
            <w:webHidden/>
          </w:rPr>
          <w:instrText xml:space="preserve"> PAGEREF _Toc121415289 \h </w:instrText>
        </w:r>
        <w:r w:rsidR="00D67749">
          <w:rPr>
            <w:webHidden/>
          </w:rPr>
        </w:r>
        <w:r w:rsidR="00D67749">
          <w:rPr>
            <w:webHidden/>
          </w:rPr>
          <w:fldChar w:fldCharType="separate"/>
        </w:r>
        <w:r w:rsidR="00295E8F">
          <w:rPr>
            <w:webHidden/>
          </w:rPr>
          <w:t>9</w:t>
        </w:r>
        <w:r w:rsidR="00D67749">
          <w:rPr>
            <w:webHidden/>
          </w:rPr>
          <w:fldChar w:fldCharType="end"/>
        </w:r>
      </w:hyperlink>
    </w:p>
    <w:p w14:paraId="21721B10" w14:textId="6A53E144" w:rsidR="00D67749" w:rsidRDefault="00BB3C68">
      <w:pPr>
        <w:pStyle w:val="TOC2"/>
        <w:rPr>
          <w:spacing w:val="0"/>
          <w:sz w:val="22"/>
          <w:szCs w:val="22"/>
        </w:rPr>
      </w:pPr>
      <w:hyperlink w:anchor="_Toc121415290" w:history="1">
        <w:r w:rsidR="00D67749" w:rsidRPr="00564F43">
          <w:rPr>
            <w:rStyle w:val="Hyperlink"/>
          </w:rPr>
          <w:t>1.4</w:t>
        </w:r>
        <w:r w:rsidR="00D67749">
          <w:rPr>
            <w:spacing w:val="0"/>
            <w:sz w:val="22"/>
            <w:szCs w:val="22"/>
          </w:rPr>
          <w:tab/>
        </w:r>
        <w:r w:rsidR="00D67749" w:rsidRPr="00564F43">
          <w:rPr>
            <w:rStyle w:val="Hyperlink"/>
          </w:rPr>
          <w:t>Accuracy of estimates in the business case</w:t>
        </w:r>
        <w:r w:rsidR="00D67749">
          <w:rPr>
            <w:webHidden/>
          </w:rPr>
          <w:tab/>
        </w:r>
        <w:r w:rsidR="00D67749">
          <w:rPr>
            <w:webHidden/>
          </w:rPr>
          <w:fldChar w:fldCharType="begin"/>
        </w:r>
        <w:r w:rsidR="00D67749">
          <w:rPr>
            <w:webHidden/>
          </w:rPr>
          <w:instrText xml:space="preserve"> PAGEREF _Toc121415290 \h </w:instrText>
        </w:r>
        <w:r w:rsidR="00D67749">
          <w:rPr>
            <w:webHidden/>
          </w:rPr>
        </w:r>
        <w:r w:rsidR="00D67749">
          <w:rPr>
            <w:webHidden/>
          </w:rPr>
          <w:fldChar w:fldCharType="separate"/>
        </w:r>
        <w:r w:rsidR="00295E8F">
          <w:rPr>
            <w:webHidden/>
          </w:rPr>
          <w:t>10</w:t>
        </w:r>
        <w:r w:rsidR="00D67749">
          <w:rPr>
            <w:webHidden/>
          </w:rPr>
          <w:fldChar w:fldCharType="end"/>
        </w:r>
      </w:hyperlink>
    </w:p>
    <w:p w14:paraId="3184FD1F" w14:textId="2A645E16" w:rsidR="00D67749" w:rsidRDefault="00BB3C68">
      <w:pPr>
        <w:pStyle w:val="TOC2"/>
        <w:rPr>
          <w:spacing w:val="0"/>
          <w:sz w:val="22"/>
          <w:szCs w:val="22"/>
        </w:rPr>
      </w:pPr>
      <w:hyperlink w:anchor="_Toc121415291" w:history="1">
        <w:r w:rsidR="00D67749" w:rsidRPr="00564F43">
          <w:rPr>
            <w:rStyle w:val="Hyperlink"/>
          </w:rPr>
          <w:t>1.5</w:t>
        </w:r>
        <w:r w:rsidR="00D67749">
          <w:rPr>
            <w:spacing w:val="0"/>
            <w:sz w:val="22"/>
            <w:szCs w:val="22"/>
          </w:rPr>
          <w:tab/>
        </w:r>
        <w:r w:rsidR="00D67749" w:rsidRPr="00564F43">
          <w:rPr>
            <w:rStyle w:val="Hyperlink"/>
          </w:rPr>
          <w:t>Gateway review at the business case stage</w:t>
        </w:r>
        <w:r w:rsidR="00D67749">
          <w:rPr>
            <w:webHidden/>
          </w:rPr>
          <w:tab/>
        </w:r>
        <w:r w:rsidR="00D67749">
          <w:rPr>
            <w:webHidden/>
          </w:rPr>
          <w:fldChar w:fldCharType="begin"/>
        </w:r>
        <w:r w:rsidR="00D67749">
          <w:rPr>
            <w:webHidden/>
          </w:rPr>
          <w:instrText xml:space="preserve"> PAGEREF _Toc121415291 \h </w:instrText>
        </w:r>
        <w:r w:rsidR="00D67749">
          <w:rPr>
            <w:webHidden/>
          </w:rPr>
        </w:r>
        <w:r w:rsidR="00D67749">
          <w:rPr>
            <w:webHidden/>
          </w:rPr>
          <w:fldChar w:fldCharType="separate"/>
        </w:r>
        <w:r w:rsidR="00295E8F">
          <w:rPr>
            <w:webHidden/>
          </w:rPr>
          <w:t>12</w:t>
        </w:r>
        <w:r w:rsidR="00D67749">
          <w:rPr>
            <w:webHidden/>
          </w:rPr>
          <w:fldChar w:fldCharType="end"/>
        </w:r>
      </w:hyperlink>
    </w:p>
    <w:p w14:paraId="55EF4C9A" w14:textId="572F7968" w:rsidR="00D67749" w:rsidRDefault="00BB3C68">
      <w:pPr>
        <w:pStyle w:val="TOC2"/>
        <w:rPr>
          <w:spacing w:val="0"/>
          <w:sz w:val="22"/>
          <w:szCs w:val="22"/>
        </w:rPr>
      </w:pPr>
      <w:hyperlink w:anchor="_Toc121415292" w:history="1">
        <w:r w:rsidR="00D67749" w:rsidRPr="00564F43">
          <w:rPr>
            <w:rStyle w:val="Hyperlink"/>
          </w:rPr>
          <w:t>1.6</w:t>
        </w:r>
        <w:r w:rsidR="00D67749">
          <w:rPr>
            <w:spacing w:val="0"/>
            <w:sz w:val="22"/>
            <w:szCs w:val="22"/>
          </w:rPr>
          <w:tab/>
        </w:r>
        <w:r w:rsidR="00D67749" w:rsidRPr="00564F43">
          <w:rPr>
            <w:rStyle w:val="Hyperlink"/>
          </w:rPr>
          <w:t>HVHR deliverability assessment</w:t>
        </w:r>
        <w:r w:rsidR="00D67749">
          <w:rPr>
            <w:webHidden/>
          </w:rPr>
          <w:tab/>
        </w:r>
        <w:r w:rsidR="00D67749">
          <w:rPr>
            <w:webHidden/>
          </w:rPr>
          <w:fldChar w:fldCharType="begin"/>
        </w:r>
        <w:r w:rsidR="00D67749">
          <w:rPr>
            <w:webHidden/>
          </w:rPr>
          <w:instrText xml:space="preserve"> PAGEREF _Toc121415292 \h </w:instrText>
        </w:r>
        <w:r w:rsidR="00D67749">
          <w:rPr>
            <w:webHidden/>
          </w:rPr>
        </w:r>
        <w:r w:rsidR="00D67749">
          <w:rPr>
            <w:webHidden/>
          </w:rPr>
          <w:fldChar w:fldCharType="separate"/>
        </w:r>
        <w:r w:rsidR="00295E8F">
          <w:rPr>
            <w:webHidden/>
          </w:rPr>
          <w:t>12</w:t>
        </w:r>
        <w:r w:rsidR="00D67749">
          <w:rPr>
            <w:webHidden/>
          </w:rPr>
          <w:fldChar w:fldCharType="end"/>
        </w:r>
      </w:hyperlink>
    </w:p>
    <w:p w14:paraId="585A8E94" w14:textId="76B300BB" w:rsidR="00D67749" w:rsidRDefault="00BB3C68">
      <w:pPr>
        <w:pStyle w:val="TOC2"/>
        <w:rPr>
          <w:spacing w:val="0"/>
          <w:sz w:val="22"/>
          <w:szCs w:val="22"/>
        </w:rPr>
      </w:pPr>
      <w:hyperlink w:anchor="_Toc121415293" w:history="1">
        <w:r w:rsidR="00D67749" w:rsidRPr="00564F43">
          <w:rPr>
            <w:rStyle w:val="Hyperlink"/>
          </w:rPr>
          <w:t>1.7</w:t>
        </w:r>
        <w:r w:rsidR="00D67749">
          <w:rPr>
            <w:spacing w:val="0"/>
            <w:sz w:val="22"/>
            <w:szCs w:val="22"/>
          </w:rPr>
          <w:tab/>
        </w:r>
        <w:r w:rsidR="00D67749" w:rsidRPr="00564F43">
          <w:rPr>
            <w:rStyle w:val="Hyperlink"/>
          </w:rPr>
          <w:t>Managing uncertainty</w:t>
        </w:r>
        <w:r w:rsidR="00D67749">
          <w:rPr>
            <w:webHidden/>
          </w:rPr>
          <w:tab/>
        </w:r>
        <w:r w:rsidR="00D67749">
          <w:rPr>
            <w:webHidden/>
          </w:rPr>
          <w:fldChar w:fldCharType="begin"/>
        </w:r>
        <w:r w:rsidR="00D67749">
          <w:rPr>
            <w:webHidden/>
          </w:rPr>
          <w:instrText xml:space="preserve"> PAGEREF _Toc121415293 \h </w:instrText>
        </w:r>
        <w:r w:rsidR="00D67749">
          <w:rPr>
            <w:webHidden/>
          </w:rPr>
        </w:r>
        <w:r w:rsidR="00D67749">
          <w:rPr>
            <w:webHidden/>
          </w:rPr>
          <w:fldChar w:fldCharType="separate"/>
        </w:r>
        <w:r w:rsidR="00295E8F">
          <w:rPr>
            <w:webHidden/>
          </w:rPr>
          <w:t>13</w:t>
        </w:r>
        <w:r w:rsidR="00D67749">
          <w:rPr>
            <w:webHidden/>
          </w:rPr>
          <w:fldChar w:fldCharType="end"/>
        </w:r>
      </w:hyperlink>
    </w:p>
    <w:p w14:paraId="251CAD6B" w14:textId="665D416F" w:rsidR="00D67749" w:rsidRDefault="00BB3C68">
      <w:pPr>
        <w:pStyle w:val="TOC3"/>
        <w:rPr>
          <w:spacing w:val="0"/>
          <w:sz w:val="22"/>
          <w:szCs w:val="22"/>
        </w:rPr>
      </w:pPr>
      <w:hyperlink w:anchor="_Toc121415294" w:history="1">
        <w:r w:rsidR="00D67749" w:rsidRPr="00564F43">
          <w:rPr>
            <w:rStyle w:val="Hyperlink"/>
          </w:rPr>
          <w:t>1.7.1</w:t>
        </w:r>
        <w:r w:rsidR="00D67749">
          <w:rPr>
            <w:spacing w:val="0"/>
            <w:sz w:val="22"/>
            <w:szCs w:val="22"/>
          </w:rPr>
          <w:tab/>
        </w:r>
        <w:r w:rsidR="00D67749" w:rsidRPr="00564F43">
          <w:rPr>
            <w:rStyle w:val="Hyperlink"/>
          </w:rPr>
          <w:t>Real options</w:t>
        </w:r>
        <w:r w:rsidR="00D67749">
          <w:rPr>
            <w:webHidden/>
          </w:rPr>
          <w:tab/>
        </w:r>
        <w:r w:rsidR="00D67749">
          <w:rPr>
            <w:webHidden/>
          </w:rPr>
          <w:fldChar w:fldCharType="begin"/>
        </w:r>
        <w:r w:rsidR="00D67749">
          <w:rPr>
            <w:webHidden/>
          </w:rPr>
          <w:instrText xml:space="preserve"> PAGEREF _Toc121415294 \h </w:instrText>
        </w:r>
        <w:r w:rsidR="00D67749">
          <w:rPr>
            <w:webHidden/>
          </w:rPr>
        </w:r>
        <w:r w:rsidR="00D67749">
          <w:rPr>
            <w:webHidden/>
          </w:rPr>
          <w:fldChar w:fldCharType="separate"/>
        </w:r>
        <w:r w:rsidR="00295E8F">
          <w:rPr>
            <w:webHidden/>
          </w:rPr>
          <w:t>15</w:t>
        </w:r>
        <w:r w:rsidR="00D67749">
          <w:rPr>
            <w:webHidden/>
          </w:rPr>
          <w:fldChar w:fldCharType="end"/>
        </w:r>
      </w:hyperlink>
    </w:p>
    <w:p w14:paraId="583599B1" w14:textId="0CF8CB56" w:rsidR="00D67749" w:rsidRDefault="00BB3C68">
      <w:pPr>
        <w:pStyle w:val="TOC2"/>
        <w:rPr>
          <w:spacing w:val="0"/>
          <w:sz w:val="22"/>
          <w:szCs w:val="22"/>
        </w:rPr>
      </w:pPr>
      <w:hyperlink w:anchor="_Toc121415295" w:history="1">
        <w:r w:rsidR="00D67749" w:rsidRPr="00564F43">
          <w:rPr>
            <w:rStyle w:val="Hyperlink"/>
          </w:rPr>
          <w:t>1.8</w:t>
        </w:r>
        <w:r w:rsidR="00D67749">
          <w:rPr>
            <w:spacing w:val="0"/>
            <w:sz w:val="22"/>
            <w:szCs w:val="22"/>
          </w:rPr>
          <w:tab/>
        </w:r>
        <w:r w:rsidR="00D67749" w:rsidRPr="00564F43">
          <w:rPr>
            <w:rStyle w:val="Hyperlink"/>
          </w:rPr>
          <w:t>Considering and complying with relevant government policies</w:t>
        </w:r>
        <w:r w:rsidR="00D67749">
          <w:rPr>
            <w:webHidden/>
          </w:rPr>
          <w:tab/>
        </w:r>
        <w:r w:rsidR="00D67749">
          <w:rPr>
            <w:webHidden/>
          </w:rPr>
          <w:fldChar w:fldCharType="begin"/>
        </w:r>
        <w:r w:rsidR="00D67749">
          <w:rPr>
            <w:webHidden/>
          </w:rPr>
          <w:instrText xml:space="preserve"> PAGEREF _Toc121415295 \h </w:instrText>
        </w:r>
        <w:r w:rsidR="00D67749">
          <w:rPr>
            <w:webHidden/>
          </w:rPr>
        </w:r>
        <w:r w:rsidR="00D67749">
          <w:rPr>
            <w:webHidden/>
          </w:rPr>
          <w:fldChar w:fldCharType="separate"/>
        </w:r>
        <w:r w:rsidR="00295E8F">
          <w:rPr>
            <w:webHidden/>
          </w:rPr>
          <w:t>15</w:t>
        </w:r>
        <w:r w:rsidR="00D67749">
          <w:rPr>
            <w:webHidden/>
          </w:rPr>
          <w:fldChar w:fldCharType="end"/>
        </w:r>
      </w:hyperlink>
    </w:p>
    <w:p w14:paraId="1B560181" w14:textId="14DC83C4" w:rsidR="00D67749" w:rsidRDefault="00BB3C68">
      <w:pPr>
        <w:pStyle w:val="TOC3"/>
        <w:rPr>
          <w:spacing w:val="0"/>
          <w:sz w:val="22"/>
          <w:szCs w:val="22"/>
        </w:rPr>
      </w:pPr>
      <w:hyperlink w:anchor="_Toc121415296" w:history="1">
        <w:r w:rsidR="00D67749" w:rsidRPr="00564F43">
          <w:rPr>
            <w:rStyle w:val="Hyperlink"/>
          </w:rPr>
          <w:t>1.8.1</w:t>
        </w:r>
        <w:r w:rsidR="00D67749">
          <w:rPr>
            <w:spacing w:val="0"/>
            <w:sz w:val="22"/>
            <w:szCs w:val="22"/>
          </w:rPr>
          <w:tab/>
        </w:r>
        <w:r w:rsidR="00D67749" w:rsidRPr="00564F43">
          <w:rPr>
            <w:rStyle w:val="Hyperlink"/>
          </w:rPr>
          <w:t>Value Creation and Capture Framework</w:t>
        </w:r>
        <w:r w:rsidR="00D67749">
          <w:rPr>
            <w:webHidden/>
          </w:rPr>
          <w:tab/>
        </w:r>
        <w:r w:rsidR="00D67749">
          <w:rPr>
            <w:webHidden/>
          </w:rPr>
          <w:fldChar w:fldCharType="begin"/>
        </w:r>
        <w:r w:rsidR="00D67749">
          <w:rPr>
            <w:webHidden/>
          </w:rPr>
          <w:instrText xml:space="preserve"> PAGEREF _Toc121415296 \h </w:instrText>
        </w:r>
        <w:r w:rsidR="00D67749">
          <w:rPr>
            <w:webHidden/>
          </w:rPr>
        </w:r>
        <w:r w:rsidR="00D67749">
          <w:rPr>
            <w:webHidden/>
          </w:rPr>
          <w:fldChar w:fldCharType="separate"/>
        </w:r>
        <w:r w:rsidR="00295E8F">
          <w:rPr>
            <w:webHidden/>
          </w:rPr>
          <w:t>15</w:t>
        </w:r>
        <w:r w:rsidR="00D67749">
          <w:rPr>
            <w:webHidden/>
          </w:rPr>
          <w:fldChar w:fldCharType="end"/>
        </w:r>
      </w:hyperlink>
    </w:p>
    <w:p w14:paraId="4D848269" w14:textId="23E196B4" w:rsidR="00D67749" w:rsidRDefault="00BB3C68">
      <w:pPr>
        <w:pStyle w:val="TOC3"/>
      </w:pPr>
      <w:hyperlink w:anchor="_Toc121415297" w:history="1">
        <w:r w:rsidR="00D67749" w:rsidRPr="00564F43">
          <w:rPr>
            <w:rStyle w:val="Hyperlink"/>
          </w:rPr>
          <w:t>1.8.2</w:t>
        </w:r>
        <w:r w:rsidR="00D67749">
          <w:rPr>
            <w:spacing w:val="0"/>
            <w:sz w:val="22"/>
            <w:szCs w:val="22"/>
          </w:rPr>
          <w:tab/>
        </w:r>
        <w:r w:rsidR="00D67749" w:rsidRPr="00564F43">
          <w:rPr>
            <w:rStyle w:val="Hyperlink"/>
            <w:i/>
          </w:rPr>
          <w:t>Climate Change Act 2017</w:t>
        </w:r>
        <w:r w:rsidR="00D67749" w:rsidRPr="00564F43">
          <w:rPr>
            <w:rStyle w:val="Hyperlink"/>
          </w:rPr>
          <w:t xml:space="preserve"> and related climate change initiatives</w:t>
        </w:r>
        <w:r w:rsidR="00D67749">
          <w:rPr>
            <w:webHidden/>
          </w:rPr>
          <w:tab/>
        </w:r>
        <w:r w:rsidR="00D67749">
          <w:rPr>
            <w:webHidden/>
          </w:rPr>
          <w:fldChar w:fldCharType="begin"/>
        </w:r>
        <w:r w:rsidR="00D67749">
          <w:rPr>
            <w:webHidden/>
          </w:rPr>
          <w:instrText xml:space="preserve"> PAGEREF _Toc121415297 \h </w:instrText>
        </w:r>
        <w:r w:rsidR="00D67749">
          <w:rPr>
            <w:webHidden/>
          </w:rPr>
        </w:r>
        <w:r w:rsidR="00D67749">
          <w:rPr>
            <w:webHidden/>
          </w:rPr>
          <w:fldChar w:fldCharType="separate"/>
        </w:r>
        <w:r w:rsidR="00295E8F">
          <w:rPr>
            <w:webHidden/>
          </w:rPr>
          <w:t>17</w:t>
        </w:r>
        <w:r w:rsidR="00D67749">
          <w:rPr>
            <w:webHidden/>
          </w:rPr>
          <w:fldChar w:fldCharType="end"/>
        </w:r>
      </w:hyperlink>
    </w:p>
    <w:p w14:paraId="205F38BB" w14:textId="5E0475E8" w:rsidR="00DE0110" w:rsidRPr="00DE0110" w:rsidRDefault="00BB3C68" w:rsidP="00DE0110">
      <w:pPr>
        <w:pStyle w:val="TOC3"/>
        <w:rPr>
          <w:spacing w:val="0"/>
          <w:sz w:val="22"/>
          <w:szCs w:val="22"/>
        </w:rPr>
      </w:pPr>
      <w:hyperlink w:anchor="_Toc121415297" w:history="1">
        <w:r w:rsidR="00DE0110" w:rsidRPr="00564F43">
          <w:rPr>
            <w:rStyle w:val="Hyperlink"/>
          </w:rPr>
          <w:t>1.8.</w:t>
        </w:r>
        <w:r w:rsidR="0074166D">
          <w:rPr>
            <w:rStyle w:val="Hyperlink"/>
          </w:rPr>
          <w:t>3</w:t>
        </w:r>
        <w:r w:rsidR="00DE0110">
          <w:rPr>
            <w:spacing w:val="0"/>
            <w:sz w:val="22"/>
            <w:szCs w:val="22"/>
          </w:rPr>
          <w:tab/>
        </w:r>
        <w:r w:rsidR="00DE0110" w:rsidRPr="00DE0110">
          <w:rPr>
            <w:rStyle w:val="Hyperlink"/>
            <w:iCs/>
          </w:rPr>
          <w:t>Overview section</w:t>
        </w:r>
        <w:r w:rsidR="00DE0110">
          <w:rPr>
            <w:webHidden/>
          </w:rPr>
          <w:tab/>
        </w:r>
        <w:r w:rsidR="00DE0110">
          <w:rPr>
            <w:webHidden/>
          </w:rPr>
          <w:fldChar w:fldCharType="begin"/>
        </w:r>
        <w:r w:rsidR="00DE0110">
          <w:rPr>
            <w:webHidden/>
          </w:rPr>
          <w:instrText xml:space="preserve"> PAGEREF _Toc121415297 \h </w:instrText>
        </w:r>
        <w:r w:rsidR="00DE0110">
          <w:rPr>
            <w:webHidden/>
          </w:rPr>
        </w:r>
        <w:r w:rsidR="00DE0110">
          <w:rPr>
            <w:webHidden/>
          </w:rPr>
          <w:fldChar w:fldCharType="separate"/>
        </w:r>
        <w:r w:rsidR="00DE0110">
          <w:rPr>
            <w:webHidden/>
          </w:rPr>
          <w:t>17</w:t>
        </w:r>
        <w:r w:rsidR="00DE0110">
          <w:rPr>
            <w:webHidden/>
          </w:rPr>
          <w:fldChar w:fldCharType="end"/>
        </w:r>
      </w:hyperlink>
    </w:p>
    <w:p w14:paraId="6F8BDA19" w14:textId="1849A6EF" w:rsidR="00D67749" w:rsidRDefault="00BB3C68">
      <w:pPr>
        <w:pStyle w:val="TOC1"/>
        <w:rPr>
          <w:b w:val="0"/>
          <w:spacing w:val="0"/>
          <w:szCs w:val="22"/>
        </w:rPr>
      </w:pPr>
      <w:hyperlink w:anchor="_Toc121415298" w:history="1">
        <w:r w:rsidR="00D67749" w:rsidRPr="00564F43">
          <w:rPr>
            <w:rStyle w:val="Hyperlink"/>
          </w:rPr>
          <w:t>2.</w:t>
        </w:r>
        <w:r w:rsidR="00D67749">
          <w:rPr>
            <w:b w:val="0"/>
            <w:spacing w:val="0"/>
            <w:szCs w:val="22"/>
          </w:rPr>
          <w:tab/>
        </w:r>
        <w:r w:rsidR="00D67749" w:rsidRPr="00564F43">
          <w:rPr>
            <w:rStyle w:val="Hyperlink"/>
          </w:rPr>
          <w:t>What is the investment case?</w:t>
        </w:r>
        <w:r w:rsidR="00D67749">
          <w:rPr>
            <w:webHidden/>
          </w:rPr>
          <w:tab/>
        </w:r>
        <w:r w:rsidR="00D67749">
          <w:rPr>
            <w:webHidden/>
          </w:rPr>
          <w:fldChar w:fldCharType="begin"/>
        </w:r>
        <w:r w:rsidR="00D67749">
          <w:rPr>
            <w:webHidden/>
          </w:rPr>
          <w:instrText xml:space="preserve"> PAGEREF _Toc121415298 \h </w:instrText>
        </w:r>
        <w:r w:rsidR="00D67749">
          <w:rPr>
            <w:webHidden/>
          </w:rPr>
        </w:r>
        <w:r w:rsidR="00D67749">
          <w:rPr>
            <w:webHidden/>
          </w:rPr>
          <w:fldChar w:fldCharType="separate"/>
        </w:r>
        <w:r w:rsidR="00295E8F">
          <w:rPr>
            <w:webHidden/>
          </w:rPr>
          <w:t>18</w:t>
        </w:r>
        <w:r w:rsidR="00D67749">
          <w:rPr>
            <w:webHidden/>
          </w:rPr>
          <w:fldChar w:fldCharType="end"/>
        </w:r>
      </w:hyperlink>
    </w:p>
    <w:p w14:paraId="633AD6C2" w14:textId="7A4A2A4C" w:rsidR="00D67749" w:rsidRDefault="00BB3C68">
      <w:pPr>
        <w:pStyle w:val="TOC2"/>
        <w:rPr>
          <w:spacing w:val="0"/>
          <w:sz w:val="22"/>
          <w:szCs w:val="22"/>
        </w:rPr>
      </w:pPr>
      <w:hyperlink w:anchor="_Toc121415299" w:history="1">
        <w:r w:rsidR="00D67749" w:rsidRPr="00564F43">
          <w:rPr>
            <w:rStyle w:val="Hyperlink"/>
          </w:rPr>
          <w:t>2.1</w:t>
        </w:r>
        <w:r w:rsidR="00D67749">
          <w:rPr>
            <w:spacing w:val="0"/>
            <w:sz w:val="22"/>
            <w:szCs w:val="22"/>
          </w:rPr>
          <w:tab/>
        </w:r>
        <w:r w:rsidR="00D67749" w:rsidRPr="00564F43">
          <w:rPr>
            <w:rStyle w:val="Hyperlink"/>
          </w:rPr>
          <w:t>How long</w:t>
        </w:r>
        <w:r w:rsidR="00D67749" w:rsidRPr="00564F43">
          <w:rPr>
            <w:rStyle w:val="Hyperlink"/>
          </w:rPr>
          <w:noBreakHyphen/>
          <w:t>term planning relates to this stage</w:t>
        </w:r>
        <w:r w:rsidR="00D67749">
          <w:rPr>
            <w:webHidden/>
          </w:rPr>
          <w:tab/>
        </w:r>
        <w:r w:rsidR="00D67749">
          <w:rPr>
            <w:webHidden/>
          </w:rPr>
          <w:fldChar w:fldCharType="begin"/>
        </w:r>
        <w:r w:rsidR="00D67749">
          <w:rPr>
            <w:webHidden/>
          </w:rPr>
          <w:instrText xml:space="preserve"> PAGEREF _Toc121415299 \h </w:instrText>
        </w:r>
        <w:r w:rsidR="00D67749">
          <w:rPr>
            <w:webHidden/>
          </w:rPr>
        </w:r>
        <w:r w:rsidR="00D67749">
          <w:rPr>
            <w:webHidden/>
          </w:rPr>
          <w:fldChar w:fldCharType="separate"/>
        </w:r>
        <w:r w:rsidR="00295E8F">
          <w:rPr>
            <w:webHidden/>
          </w:rPr>
          <w:t>19</w:t>
        </w:r>
        <w:r w:rsidR="00D67749">
          <w:rPr>
            <w:webHidden/>
          </w:rPr>
          <w:fldChar w:fldCharType="end"/>
        </w:r>
      </w:hyperlink>
    </w:p>
    <w:p w14:paraId="634DBD0C" w14:textId="2C2237E2" w:rsidR="00D67749" w:rsidRDefault="00BB3C68">
      <w:pPr>
        <w:pStyle w:val="TOC2"/>
        <w:rPr>
          <w:spacing w:val="0"/>
          <w:sz w:val="22"/>
          <w:szCs w:val="22"/>
        </w:rPr>
      </w:pPr>
      <w:hyperlink w:anchor="_Toc121415300" w:history="1">
        <w:r w:rsidR="00D67749" w:rsidRPr="00564F43">
          <w:rPr>
            <w:rStyle w:val="Hyperlink"/>
          </w:rPr>
          <w:t>2.2</w:t>
        </w:r>
        <w:r w:rsidR="00D67749">
          <w:rPr>
            <w:spacing w:val="0"/>
            <w:sz w:val="22"/>
            <w:szCs w:val="22"/>
          </w:rPr>
          <w:tab/>
        </w:r>
        <w:r w:rsidR="00D67749" w:rsidRPr="00564F43">
          <w:rPr>
            <w:rStyle w:val="Hyperlink"/>
          </w:rPr>
          <w:t>Supporting material for the investment case</w:t>
        </w:r>
        <w:r w:rsidR="00D67749">
          <w:rPr>
            <w:webHidden/>
          </w:rPr>
          <w:tab/>
        </w:r>
        <w:r w:rsidR="00D67749">
          <w:rPr>
            <w:webHidden/>
          </w:rPr>
          <w:fldChar w:fldCharType="begin"/>
        </w:r>
        <w:r w:rsidR="00D67749">
          <w:rPr>
            <w:webHidden/>
          </w:rPr>
          <w:instrText xml:space="preserve"> PAGEREF _Toc121415300 \h </w:instrText>
        </w:r>
        <w:r w:rsidR="00D67749">
          <w:rPr>
            <w:webHidden/>
          </w:rPr>
        </w:r>
        <w:r w:rsidR="00D67749">
          <w:rPr>
            <w:webHidden/>
          </w:rPr>
          <w:fldChar w:fldCharType="separate"/>
        </w:r>
        <w:r w:rsidR="00295E8F">
          <w:rPr>
            <w:webHidden/>
          </w:rPr>
          <w:t>20</w:t>
        </w:r>
        <w:r w:rsidR="00D67749">
          <w:rPr>
            <w:webHidden/>
          </w:rPr>
          <w:fldChar w:fldCharType="end"/>
        </w:r>
      </w:hyperlink>
    </w:p>
    <w:p w14:paraId="385A56C4" w14:textId="57BB338C" w:rsidR="00D67749" w:rsidRDefault="00BB3C68">
      <w:pPr>
        <w:pStyle w:val="TOC3"/>
        <w:rPr>
          <w:spacing w:val="0"/>
          <w:sz w:val="22"/>
          <w:szCs w:val="22"/>
        </w:rPr>
      </w:pPr>
      <w:hyperlink w:anchor="_Toc121415301" w:history="1">
        <w:r w:rsidR="00D67749" w:rsidRPr="00564F43">
          <w:rPr>
            <w:rStyle w:val="Hyperlink"/>
          </w:rPr>
          <w:t>2.2.1</w:t>
        </w:r>
        <w:r w:rsidR="00D67749">
          <w:rPr>
            <w:spacing w:val="0"/>
            <w:sz w:val="22"/>
            <w:szCs w:val="22"/>
          </w:rPr>
          <w:tab/>
        </w:r>
        <w:r w:rsidR="00D67749" w:rsidRPr="00564F43">
          <w:rPr>
            <w:rStyle w:val="Hyperlink"/>
          </w:rPr>
          <w:t>The Investment Management Standard</w:t>
        </w:r>
        <w:r w:rsidR="00D67749">
          <w:rPr>
            <w:webHidden/>
          </w:rPr>
          <w:tab/>
        </w:r>
        <w:r w:rsidR="00D67749">
          <w:rPr>
            <w:webHidden/>
          </w:rPr>
          <w:fldChar w:fldCharType="begin"/>
        </w:r>
        <w:r w:rsidR="00D67749">
          <w:rPr>
            <w:webHidden/>
          </w:rPr>
          <w:instrText xml:space="preserve"> PAGEREF _Toc121415301 \h </w:instrText>
        </w:r>
        <w:r w:rsidR="00D67749">
          <w:rPr>
            <w:webHidden/>
          </w:rPr>
        </w:r>
        <w:r w:rsidR="00D67749">
          <w:rPr>
            <w:webHidden/>
          </w:rPr>
          <w:fldChar w:fldCharType="separate"/>
        </w:r>
        <w:r w:rsidR="00295E8F">
          <w:rPr>
            <w:webHidden/>
          </w:rPr>
          <w:t>20</w:t>
        </w:r>
        <w:r w:rsidR="00D67749">
          <w:rPr>
            <w:webHidden/>
          </w:rPr>
          <w:fldChar w:fldCharType="end"/>
        </w:r>
      </w:hyperlink>
    </w:p>
    <w:p w14:paraId="7CBF7C22" w14:textId="220CB6DD" w:rsidR="00D67749" w:rsidRDefault="00BB3C68">
      <w:pPr>
        <w:pStyle w:val="TOC3"/>
        <w:rPr>
          <w:spacing w:val="0"/>
          <w:sz w:val="22"/>
          <w:szCs w:val="22"/>
        </w:rPr>
      </w:pPr>
      <w:hyperlink w:anchor="_Toc121415302" w:history="1">
        <w:r w:rsidR="00D67749" w:rsidRPr="00564F43">
          <w:rPr>
            <w:rStyle w:val="Hyperlink"/>
          </w:rPr>
          <w:t>2.2.2</w:t>
        </w:r>
        <w:r w:rsidR="00D67749">
          <w:rPr>
            <w:spacing w:val="0"/>
            <w:sz w:val="22"/>
            <w:szCs w:val="22"/>
          </w:rPr>
          <w:tab/>
        </w:r>
        <w:r w:rsidR="00D67749" w:rsidRPr="00564F43">
          <w:rPr>
            <w:rStyle w:val="Hyperlink"/>
          </w:rPr>
          <w:t>Business case outputs from the IMS</w:t>
        </w:r>
        <w:r w:rsidR="00D67749">
          <w:rPr>
            <w:webHidden/>
          </w:rPr>
          <w:tab/>
        </w:r>
        <w:r w:rsidR="00D67749">
          <w:rPr>
            <w:webHidden/>
          </w:rPr>
          <w:fldChar w:fldCharType="begin"/>
        </w:r>
        <w:r w:rsidR="00D67749">
          <w:rPr>
            <w:webHidden/>
          </w:rPr>
          <w:instrText xml:space="preserve"> PAGEREF _Toc121415302 \h </w:instrText>
        </w:r>
        <w:r w:rsidR="00D67749">
          <w:rPr>
            <w:webHidden/>
          </w:rPr>
        </w:r>
        <w:r w:rsidR="00D67749">
          <w:rPr>
            <w:webHidden/>
          </w:rPr>
          <w:fldChar w:fldCharType="separate"/>
        </w:r>
        <w:r w:rsidR="00295E8F">
          <w:rPr>
            <w:webHidden/>
          </w:rPr>
          <w:t>21</w:t>
        </w:r>
        <w:r w:rsidR="00D67749">
          <w:rPr>
            <w:webHidden/>
          </w:rPr>
          <w:fldChar w:fldCharType="end"/>
        </w:r>
      </w:hyperlink>
    </w:p>
    <w:p w14:paraId="590A29DF" w14:textId="305EBB50" w:rsidR="00D67749" w:rsidRDefault="00BB3C68">
      <w:pPr>
        <w:pStyle w:val="TOC3"/>
        <w:rPr>
          <w:spacing w:val="0"/>
          <w:sz w:val="22"/>
          <w:szCs w:val="22"/>
        </w:rPr>
      </w:pPr>
      <w:hyperlink w:anchor="_Toc121415303" w:history="1">
        <w:r w:rsidR="00D67749" w:rsidRPr="00564F43">
          <w:rPr>
            <w:rStyle w:val="Hyperlink"/>
          </w:rPr>
          <w:t>2.2.3</w:t>
        </w:r>
        <w:r w:rsidR="00D67749">
          <w:rPr>
            <w:spacing w:val="0"/>
            <w:sz w:val="22"/>
            <w:szCs w:val="22"/>
          </w:rPr>
          <w:tab/>
        </w:r>
        <w:r w:rsidR="00D67749" w:rsidRPr="00564F43">
          <w:rPr>
            <w:rStyle w:val="Hyperlink"/>
          </w:rPr>
          <w:t>Involving stakeholders</w:t>
        </w:r>
        <w:r w:rsidR="00D67749">
          <w:rPr>
            <w:webHidden/>
          </w:rPr>
          <w:tab/>
        </w:r>
        <w:r w:rsidR="00D67749">
          <w:rPr>
            <w:webHidden/>
          </w:rPr>
          <w:fldChar w:fldCharType="begin"/>
        </w:r>
        <w:r w:rsidR="00D67749">
          <w:rPr>
            <w:webHidden/>
          </w:rPr>
          <w:instrText xml:space="preserve"> PAGEREF _Toc121415303 \h </w:instrText>
        </w:r>
        <w:r w:rsidR="00D67749">
          <w:rPr>
            <w:webHidden/>
          </w:rPr>
        </w:r>
        <w:r w:rsidR="00D67749">
          <w:rPr>
            <w:webHidden/>
          </w:rPr>
          <w:fldChar w:fldCharType="separate"/>
        </w:r>
        <w:r w:rsidR="00295E8F">
          <w:rPr>
            <w:webHidden/>
          </w:rPr>
          <w:t>21</w:t>
        </w:r>
        <w:r w:rsidR="00D67749">
          <w:rPr>
            <w:webHidden/>
          </w:rPr>
          <w:fldChar w:fldCharType="end"/>
        </w:r>
      </w:hyperlink>
    </w:p>
    <w:p w14:paraId="75F54439" w14:textId="135795DC" w:rsidR="00D67749" w:rsidRDefault="00BB3C68">
      <w:pPr>
        <w:pStyle w:val="TOC3"/>
        <w:rPr>
          <w:spacing w:val="0"/>
          <w:sz w:val="22"/>
          <w:szCs w:val="22"/>
        </w:rPr>
      </w:pPr>
      <w:hyperlink w:anchor="_Toc121415304" w:history="1">
        <w:r w:rsidR="00D67749" w:rsidRPr="00564F43">
          <w:rPr>
            <w:rStyle w:val="Hyperlink"/>
          </w:rPr>
          <w:t>2.2.4</w:t>
        </w:r>
        <w:r w:rsidR="00D67749">
          <w:rPr>
            <w:spacing w:val="0"/>
            <w:sz w:val="22"/>
            <w:szCs w:val="22"/>
          </w:rPr>
          <w:tab/>
        </w:r>
        <w:r w:rsidR="00D67749" w:rsidRPr="00564F43">
          <w:rPr>
            <w:rStyle w:val="Hyperlink"/>
          </w:rPr>
          <w:t>The Investment Logic Map (ILM)</w:t>
        </w:r>
        <w:r w:rsidR="00D67749">
          <w:rPr>
            <w:webHidden/>
          </w:rPr>
          <w:tab/>
        </w:r>
        <w:r w:rsidR="00D67749">
          <w:rPr>
            <w:webHidden/>
          </w:rPr>
          <w:fldChar w:fldCharType="begin"/>
        </w:r>
        <w:r w:rsidR="00D67749">
          <w:rPr>
            <w:webHidden/>
          </w:rPr>
          <w:instrText xml:space="preserve"> PAGEREF _Toc121415304 \h </w:instrText>
        </w:r>
        <w:r w:rsidR="00D67749">
          <w:rPr>
            <w:webHidden/>
          </w:rPr>
        </w:r>
        <w:r w:rsidR="00D67749">
          <w:rPr>
            <w:webHidden/>
          </w:rPr>
          <w:fldChar w:fldCharType="separate"/>
        </w:r>
        <w:r w:rsidR="00295E8F">
          <w:rPr>
            <w:webHidden/>
          </w:rPr>
          <w:t>21</w:t>
        </w:r>
        <w:r w:rsidR="00D67749">
          <w:rPr>
            <w:webHidden/>
          </w:rPr>
          <w:fldChar w:fldCharType="end"/>
        </w:r>
      </w:hyperlink>
    </w:p>
    <w:p w14:paraId="5D473458" w14:textId="464491F1" w:rsidR="00D67749" w:rsidRDefault="00BB3C68">
      <w:pPr>
        <w:pStyle w:val="TOC2"/>
        <w:rPr>
          <w:spacing w:val="0"/>
          <w:sz w:val="22"/>
          <w:szCs w:val="22"/>
        </w:rPr>
      </w:pPr>
      <w:hyperlink w:anchor="_Toc121415305" w:history="1">
        <w:r w:rsidR="00D67749" w:rsidRPr="00564F43">
          <w:rPr>
            <w:rStyle w:val="Hyperlink"/>
          </w:rPr>
          <w:t>2.3</w:t>
        </w:r>
        <w:r w:rsidR="00D67749">
          <w:rPr>
            <w:spacing w:val="0"/>
            <w:sz w:val="22"/>
            <w:szCs w:val="22"/>
          </w:rPr>
          <w:tab/>
        </w:r>
        <w:r w:rsidR="00D67749" w:rsidRPr="00564F43">
          <w:rPr>
            <w:rStyle w:val="Hyperlink"/>
          </w:rPr>
          <w:t>Step 1: Understanding the problem</w:t>
        </w:r>
        <w:r w:rsidR="00D67749">
          <w:rPr>
            <w:webHidden/>
          </w:rPr>
          <w:tab/>
        </w:r>
        <w:r w:rsidR="00D67749">
          <w:rPr>
            <w:webHidden/>
          </w:rPr>
          <w:fldChar w:fldCharType="begin"/>
        </w:r>
        <w:r w:rsidR="00D67749">
          <w:rPr>
            <w:webHidden/>
          </w:rPr>
          <w:instrText xml:space="preserve"> PAGEREF _Toc121415305 \h </w:instrText>
        </w:r>
        <w:r w:rsidR="00D67749">
          <w:rPr>
            <w:webHidden/>
          </w:rPr>
        </w:r>
        <w:r w:rsidR="00D67749">
          <w:rPr>
            <w:webHidden/>
          </w:rPr>
          <w:fldChar w:fldCharType="separate"/>
        </w:r>
        <w:r w:rsidR="00295E8F">
          <w:rPr>
            <w:webHidden/>
          </w:rPr>
          <w:t>22</w:t>
        </w:r>
        <w:r w:rsidR="00D67749">
          <w:rPr>
            <w:webHidden/>
          </w:rPr>
          <w:fldChar w:fldCharType="end"/>
        </w:r>
      </w:hyperlink>
    </w:p>
    <w:p w14:paraId="0FAFF4B4" w14:textId="3A868118" w:rsidR="00D67749" w:rsidRDefault="00BB3C68">
      <w:pPr>
        <w:pStyle w:val="TOC2"/>
        <w:rPr>
          <w:spacing w:val="0"/>
          <w:sz w:val="22"/>
          <w:szCs w:val="22"/>
        </w:rPr>
      </w:pPr>
      <w:hyperlink w:anchor="_Toc121415306" w:history="1">
        <w:r w:rsidR="00D67749" w:rsidRPr="00564F43">
          <w:rPr>
            <w:rStyle w:val="Hyperlink"/>
          </w:rPr>
          <w:t>2.4</w:t>
        </w:r>
        <w:r w:rsidR="00D67749">
          <w:rPr>
            <w:spacing w:val="0"/>
            <w:sz w:val="22"/>
            <w:szCs w:val="22"/>
          </w:rPr>
          <w:tab/>
        </w:r>
        <w:r w:rsidR="00D67749" w:rsidRPr="00564F43">
          <w:rPr>
            <w:rStyle w:val="Hyperlink"/>
          </w:rPr>
          <w:t>Step 2: Case for change (benefits)</w:t>
        </w:r>
        <w:r w:rsidR="00D67749">
          <w:rPr>
            <w:webHidden/>
          </w:rPr>
          <w:tab/>
        </w:r>
        <w:r w:rsidR="00D67749">
          <w:rPr>
            <w:webHidden/>
          </w:rPr>
          <w:fldChar w:fldCharType="begin"/>
        </w:r>
        <w:r w:rsidR="00D67749">
          <w:rPr>
            <w:webHidden/>
          </w:rPr>
          <w:instrText xml:space="preserve"> PAGEREF _Toc121415306 \h </w:instrText>
        </w:r>
        <w:r w:rsidR="00D67749">
          <w:rPr>
            <w:webHidden/>
          </w:rPr>
        </w:r>
        <w:r w:rsidR="00D67749">
          <w:rPr>
            <w:webHidden/>
          </w:rPr>
          <w:fldChar w:fldCharType="separate"/>
        </w:r>
        <w:r w:rsidR="00295E8F">
          <w:rPr>
            <w:webHidden/>
          </w:rPr>
          <w:t>24</w:t>
        </w:r>
        <w:r w:rsidR="00D67749">
          <w:rPr>
            <w:webHidden/>
          </w:rPr>
          <w:fldChar w:fldCharType="end"/>
        </w:r>
      </w:hyperlink>
    </w:p>
    <w:p w14:paraId="6C4B63F8" w14:textId="623BC2F9" w:rsidR="00D67749" w:rsidRDefault="00BB3C68">
      <w:pPr>
        <w:pStyle w:val="TOC2"/>
        <w:rPr>
          <w:spacing w:val="0"/>
          <w:sz w:val="22"/>
          <w:szCs w:val="22"/>
        </w:rPr>
      </w:pPr>
      <w:hyperlink w:anchor="_Toc121415307" w:history="1">
        <w:r w:rsidR="00D67749" w:rsidRPr="00564F43">
          <w:rPr>
            <w:rStyle w:val="Hyperlink"/>
          </w:rPr>
          <w:t>2.5</w:t>
        </w:r>
        <w:r w:rsidR="00D67749">
          <w:rPr>
            <w:spacing w:val="0"/>
            <w:sz w:val="22"/>
            <w:szCs w:val="22"/>
          </w:rPr>
          <w:tab/>
        </w:r>
        <w:r w:rsidR="00D67749" w:rsidRPr="00564F43">
          <w:rPr>
            <w:rStyle w:val="Hyperlink"/>
          </w:rPr>
          <w:t>Step 3: Response option development</w:t>
        </w:r>
        <w:r w:rsidR="00D67749">
          <w:rPr>
            <w:webHidden/>
          </w:rPr>
          <w:tab/>
        </w:r>
        <w:r w:rsidR="00D67749">
          <w:rPr>
            <w:webHidden/>
          </w:rPr>
          <w:fldChar w:fldCharType="begin"/>
        </w:r>
        <w:r w:rsidR="00D67749">
          <w:rPr>
            <w:webHidden/>
          </w:rPr>
          <w:instrText xml:space="preserve"> PAGEREF _Toc121415307 \h </w:instrText>
        </w:r>
        <w:r w:rsidR="00D67749">
          <w:rPr>
            <w:webHidden/>
          </w:rPr>
        </w:r>
        <w:r w:rsidR="00D67749">
          <w:rPr>
            <w:webHidden/>
          </w:rPr>
          <w:fldChar w:fldCharType="separate"/>
        </w:r>
        <w:r w:rsidR="00295E8F">
          <w:rPr>
            <w:webHidden/>
          </w:rPr>
          <w:t>25</w:t>
        </w:r>
        <w:r w:rsidR="00D67749">
          <w:rPr>
            <w:webHidden/>
          </w:rPr>
          <w:fldChar w:fldCharType="end"/>
        </w:r>
      </w:hyperlink>
    </w:p>
    <w:p w14:paraId="23472558" w14:textId="6BA469ED" w:rsidR="00D67749" w:rsidRDefault="00BB3C68">
      <w:pPr>
        <w:pStyle w:val="TOC3"/>
        <w:rPr>
          <w:spacing w:val="0"/>
          <w:sz w:val="22"/>
          <w:szCs w:val="22"/>
        </w:rPr>
      </w:pPr>
      <w:hyperlink w:anchor="_Toc121415308" w:history="1">
        <w:r w:rsidR="00D67749" w:rsidRPr="00564F43">
          <w:rPr>
            <w:rStyle w:val="Hyperlink"/>
          </w:rPr>
          <w:t>2.5.1</w:t>
        </w:r>
        <w:r w:rsidR="00D67749">
          <w:rPr>
            <w:spacing w:val="0"/>
            <w:sz w:val="22"/>
            <w:szCs w:val="22"/>
          </w:rPr>
          <w:tab/>
        </w:r>
        <w:r w:rsidR="00D67749" w:rsidRPr="00564F43">
          <w:rPr>
            <w:rStyle w:val="Hyperlink"/>
          </w:rPr>
          <w:t>Defining the base case – the first response option</w:t>
        </w:r>
        <w:r w:rsidR="00D67749">
          <w:rPr>
            <w:webHidden/>
          </w:rPr>
          <w:tab/>
        </w:r>
        <w:r w:rsidR="00D67749">
          <w:rPr>
            <w:webHidden/>
          </w:rPr>
          <w:fldChar w:fldCharType="begin"/>
        </w:r>
        <w:r w:rsidR="00D67749">
          <w:rPr>
            <w:webHidden/>
          </w:rPr>
          <w:instrText xml:space="preserve"> PAGEREF _Toc121415308 \h </w:instrText>
        </w:r>
        <w:r w:rsidR="00D67749">
          <w:rPr>
            <w:webHidden/>
          </w:rPr>
        </w:r>
        <w:r w:rsidR="00D67749">
          <w:rPr>
            <w:webHidden/>
          </w:rPr>
          <w:fldChar w:fldCharType="separate"/>
        </w:r>
        <w:r w:rsidR="00295E8F">
          <w:rPr>
            <w:webHidden/>
          </w:rPr>
          <w:t>27</w:t>
        </w:r>
        <w:r w:rsidR="00D67749">
          <w:rPr>
            <w:webHidden/>
          </w:rPr>
          <w:fldChar w:fldCharType="end"/>
        </w:r>
      </w:hyperlink>
    </w:p>
    <w:p w14:paraId="7B706B5F" w14:textId="69314012" w:rsidR="00D67749" w:rsidRDefault="00BB3C68">
      <w:pPr>
        <w:pStyle w:val="TOC2"/>
        <w:rPr>
          <w:spacing w:val="0"/>
          <w:sz w:val="22"/>
          <w:szCs w:val="22"/>
        </w:rPr>
      </w:pPr>
      <w:hyperlink w:anchor="_Toc121415309" w:history="1">
        <w:r w:rsidR="00D67749" w:rsidRPr="00564F43">
          <w:rPr>
            <w:rStyle w:val="Hyperlink"/>
          </w:rPr>
          <w:t>2.6</w:t>
        </w:r>
        <w:r w:rsidR="00D67749">
          <w:rPr>
            <w:spacing w:val="0"/>
            <w:sz w:val="22"/>
            <w:szCs w:val="22"/>
          </w:rPr>
          <w:tab/>
        </w:r>
        <w:r w:rsidR="00D67749" w:rsidRPr="00564F43">
          <w:rPr>
            <w:rStyle w:val="Hyperlink"/>
          </w:rPr>
          <w:t>Step 4: Project options assessment</w:t>
        </w:r>
        <w:r w:rsidR="00D67749">
          <w:rPr>
            <w:webHidden/>
          </w:rPr>
          <w:tab/>
        </w:r>
        <w:r w:rsidR="00D67749">
          <w:rPr>
            <w:webHidden/>
          </w:rPr>
          <w:fldChar w:fldCharType="begin"/>
        </w:r>
        <w:r w:rsidR="00D67749">
          <w:rPr>
            <w:webHidden/>
          </w:rPr>
          <w:instrText xml:space="preserve"> PAGEREF _Toc121415309 \h </w:instrText>
        </w:r>
        <w:r w:rsidR="00D67749">
          <w:rPr>
            <w:webHidden/>
          </w:rPr>
        </w:r>
        <w:r w:rsidR="00D67749">
          <w:rPr>
            <w:webHidden/>
          </w:rPr>
          <w:fldChar w:fldCharType="separate"/>
        </w:r>
        <w:r w:rsidR="00295E8F">
          <w:rPr>
            <w:webHidden/>
          </w:rPr>
          <w:t>27</w:t>
        </w:r>
        <w:r w:rsidR="00D67749">
          <w:rPr>
            <w:webHidden/>
          </w:rPr>
          <w:fldChar w:fldCharType="end"/>
        </w:r>
      </w:hyperlink>
    </w:p>
    <w:p w14:paraId="22D40384" w14:textId="72FB90D4" w:rsidR="00D67749" w:rsidRDefault="00BB3C68">
      <w:pPr>
        <w:pStyle w:val="TOC3"/>
        <w:rPr>
          <w:spacing w:val="0"/>
          <w:sz w:val="22"/>
          <w:szCs w:val="22"/>
        </w:rPr>
      </w:pPr>
      <w:hyperlink w:anchor="_Toc121415310" w:history="1">
        <w:r w:rsidR="00D67749" w:rsidRPr="00564F43">
          <w:rPr>
            <w:rStyle w:val="Hyperlink"/>
          </w:rPr>
          <w:t>2.6.1</w:t>
        </w:r>
        <w:r w:rsidR="00D67749">
          <w:rPr>
            <w:spacing w:val="0"/>
            <w:sz w:val="22"/>
            <w:szCs w:val="22"/>
          </w:rPr>
          <w:tab/>
        </w:r>
        <w:r w:rsidR="00D67749" w:rsidRPr="00564F43">
          <w:rPr>
            <w:rStyle w:val="Hyperlink"/>
          </w:rPr>
          <w:t>Choosing project options</w:t>
        </w:r>
        <w:r w:rsidR="00D67749">
          <w:rPr>
            <w:webHidden/>
          </w:rPr>
          <w:tab/>
        </w:r>
        <w:r w:rsidR="00D67749">
          <w:rPr>
            <w:webHidden/>
          </w:rPr>
          <w:fldChar w:fldCharType="begin"/>
        </w:r>
        <w:r w:rsidR="00D67749">
          <w:rPr>
            <w:webHidden/>
          </w:rPr>
          <w:instrText xml:space="preserve"> PAGEREF _Toc121415310 \h </w:instrText>
        </w:r>
        <w:r w:rsidR="00D67749">
          <w:rPr>
            <w:webHidden/>
          </w:rPr>
        </w:r>
        <w:r w:rsidR="00D67749">
          <w:rPr>
            <w:webHidden/>
          </w:rPr>
          <w:fldChar w:fldCharType="separate"/>
        </w:r>
        <w:r w:rsidR="00295E8F">
          <w:rPr>
            <w:webHidden/>
          </w:rPr>
          <w:t>27</w:t>
        </w:r>
        <w:r w:rsidR="00D67749">
          <w:rPr>
            <w:webHidden/>
          </w:rPr>
          <w:fldChar w:fldCharType="end"/>
        </w:r>
      </w:hyperlink>
    </w:p>
    <w:p w14:paraId="3A9796ED" w14:textId="1011BB07" w:rsidR="00D67749" w:rsidRDefault="00BB3C68">
      <w:pPr>
        <w:pStyle w:val="TOC3"/>
        <w:rPr>
          <w:spacing w:val="0"/>
          <w:sz w:val="22"/>
          <w:szCs w:val="22"/>
        </w:rPr>
      </w:pPr>
      <w:hyperlink w:anchor="_Toc121415311" w:history="1">
        <w:r w:rsidR="00D67749" w:rsidRPr="00564F43">
          <w:rPr>
            <w:rStyle w:val="Hyperlink"/>
          </w:rPr>
          <w:t>2.6.2</w:t>
        </w:r>
        <w:r w:rsidR="00D67749">
          <w:rPr>
            <w:spacing w:val="0"/>
            <w:sz w:val="22"/>
            <w:szCs w:val="22"/>
          </w:rPr>
          <w:tab/>
        </w:r>
        <w:r w:rsidR="00D67749" w:rsidRPr="00564F43">
          <w:rPr>
            <w:rStyle w:val="Hyperlink"/>
          </w:rPr>
          <w:t>Describing project options considered</w:t>
        </w:r>
        <w:r w:rsidR="00D67749">
          <w:rPr>
            <w:webHidden/>
          </w:rPr>
          <w:tab/>
        </w:r>
        <w:r w:rsidR="00D67749">
          <w:rPr>
            <w:webHidden/>
          </w:rPr>
          <w:fldChar w:fldCharType="begin"/>
        </w:r>
        <w:r w:rsidR="00D67749">
          <w:rPr>
            <w:webHidden/>
          </w:rPr>
          <w:instrText xml:space="preserve"> PAGEREF _Toc121415311 \h </w:instrText>
        </w:r>
        <w:r w:rsidR="00D67749">
          <w:rPr>
            <w:webHidden/>
          </w:rPr>
        </w:r>
        <w:r w:rsidR="00D67749">
          <w:rPr>
            <w:webHidden/>
          </w:rPr>
          <w:fldChar w:fldCharType="separate"/>
        </w:r>
        <w:r w:rsidR="00295E8F">
          <w:rPr>
            <w:webHidden/>
          </w:rPr>
          <w:t>29</w:t>
        </w:r>
        <w:r w:rsidR="00D67749">
          <w:rPr>
            <w:webHidden/>
          </w:rPr>
          <w:fldChar w:fldCharType="end"/>
        </w:r>
      </w:hyperlink>
    </w:p>
    <w:p w14:paraId="6485CFDF" w14:textId="355BAF69" w:rsidR="00D67749" w:rsidRDefault="00BB3C68">
      <w:pPr>
        <w:pStyle w:val="TOC3"/>
        <w:rPr>
          <w:spacing w:val="0"/>
          <w:sz w:val="22"/>
          <w:szCs w:val="22"/>
        </w:rPr>
      </w:pPr>
      <w:hyperlink w:anchor="_Toc121415312" w:history="1">
        <w:r w:rsidR="00D67749" w:rsidRPr="00564F43">
          <w:rPr>
            <w:rStyle w:val="Hyperlink"/>
          </w:rPr>
          <w:t>2.6.3</w:t>
        </w:r>
        <w:r w:rsidR="00D67749">
          <w:rPr>
            <w:spacing w:val="0"/>
            <w:sz w:val="22"/>
            <w:szCs w:val="22"/>
          </w:rPr>
          <w:tab/>
        </w:r>
        <w:r w:rsidR="00D67749" w:rsidRPr="00564F43">
          <w:rPr>
            <w:rStyle w:val="Hyperlink"/>
          </w:rPr>
          <w:t>Understanding impacts and opportunities of options</w:t>
        </w:r>
        <w:r w:rsidR="00D67749">
          <w:rPr>
            <w:webHidden/>
          </w:rPr>
          <w:tab/>
        </w:r>
        <w:r w:rsidR="00D67749">
          <w:rPr>
            <w:webHidden/>
          </w:rPr>
          <w:fldChar w:fldCharType="begin"/>
        </w:r>
        <w:r w:rsidR="00D67749">
          <w:rPr>
            <w:webHidden/>
          </w:rPr>
          <w:instrText xml:space="preserve"> PAGEREF _Toc121415312 \h </w:instrText>
        </w:r>
        <w:r w:rsidR="00D67749">
          <w:rPr>
            <w:webHidden/>
          </w:rPr>
        </w:r>
        <w:r w:rsidR="00D67749">
          <w:rPr>
            <w:webHidden/>
          </w:rPr>
          <w:fldChar w:fldCharType="separate"/>
        </w:r>
        <w:r w:rsidR="00295E8F">
          <w:rPr>
            <w:webHidden/>
          </w:rPr>
          <w:t>30</w:t>
        </w:r>
        <w:r w:rsidR="00D67749">
          <w:rPr>
            <w:webHidden/>
          </w:rPr>
          <w:fldChar w:fldCharType="end"/>
        </w:r>
      </w:hyperlink>
    </w:p>
    <w:p w14:paraId="7C848CAD" w14:textId="55E29FBF" w:rsidR="00D67749" w:rsidRDefault="00BB3C68">
      <w:pPr>
        <w:pStyle w:val="TOC3"/>
        <w:rPr>
          <w:spacing w:val="0"/>
          <w:sz w:val="22"/>
          <w:szCs w:val="22"/>
        </w:rPr>
      </w:pPr>
      <w:hyperlink w:anchor="_Toc121415313" w:history="1">
        <w:r w:rsidR="00D67749" w:rsidRPr="00564F43">
          <w:rPr>
            <w:rStyle w:val="Hyperlink"/>
          </w:rPr>
          <w:t>2.6.4</w:t>
        </w:r>
        <w:r w:rsidR="00D67749">
          <w:rPr>
            <w:spacing w:val="0"/>
            <w:sz w:val="22"/>
            <w:szCs w:val="22"/>
          </w:rPr>
          <w:tab/>
        </w:r>
        <w:r w:rsidR="00D67749" w:rsidRPr="00564F43">
          <w:rPr>
            <w:rStyle w:val="Hyperlink"/>
          </w:rPr>
          <w:t>Stakeholder impacts</w:t>
        </w:r>
        <w:r w:rsidR="00D67749">
          <w:rPr>
            <w:webHidden/>
          </w:rPr>
          <w:tab/>
        </w:r>
        <w:r w:rsidR="00D67749">
          <w:rPr>
            <w:webHidden/>
          </w:rPr>
          <w:fldChar w:fldCharType="begin"/>
        </w:r>
        <w:r w:rsidR="00D67749">
          <w:rPr>
            <w:webHidden/>
          </w:rPr>
          <w:instrText xml:space="preserve"> PAGEREF _Toc121415313 \h </w:instrText>
        </w:r>
        <w:r w:rsidR="00D67749">
          <w:rPr>
            <w:webHidden/>
          </w:rPr>
        </w:r>
        <w:r w:rsidR="00D67749">
          <w:rPr>
            <w:webHidden/>
          </w:rPr>
          <w:fldChar w:fldCharType="separate"/>
        </w:r>
        <w:r w:rsidR="00295E8F">
          <w:rPr>
            <w:webHidden/>
          </w:rPr>
          <w:t>30</w:t>
        </w:r>
        <w:r w:rsidR="00D67749">
          <w:rPr>
            <w:webHidden/>
          </w:rPr>
          <w:fldChar w:fldCharType="end"/>
        </w:r>
      </w:hyperlink>
    </w:p>
    <w:p w14:paraId="0415D3EB" w14:textId="04484263" w:rsidR="00D67749" w:rsidRDefault="00BB3C68">
      <w:pPr>
        <w:pStyle w:val="TOC3"/>
        <w:rPr>
          <w:spacing w:val="0"/>
          <w:sz w:val="22"/>
          <w:szCs w:val="22"/>
        </w:rPr>
      </w:pPr>
      <w:hyperlink w:anchor="_Toc121415314" w:history="1">
        <w:r w:rsidR="00D67749" w:rsidRPr="00564F43">
          <w:rPr>
            <w:rStyle w:val="Hyperlink"/>
          </w:rPr>
          <w:t>2.6.5</w:t>
        </w:r>
        <w:r w:rsidR="00D67749">
          <w:rPr>
            <w:spacing w:val="0"/>
            <w:sz w:val="22"/>
            <w:szCs w:val="22"/>
          </w:rPr>
          <w:tab/>
        </w:r>
        <w:r w:rsidR="00D67749" w:rsidRPr="00564F43">
          <w:rPr>
            <w:rStyle w:val="Hyperlink"/>
          </w:rPr>
          <w:t>Social impacts</w:t>
        </w:r>
        <w:r w:rsidR="00D67749">
          <w:rPr>
            <w:webHidden/>
          </w:rPr>
          <w:tab/>
        </w:r>
        <w:r w:rsidR="00D67749">
          <w:rPr>
            <w:webHidden/>
          </w:rPr>
          <w:fldChar w:fldCharType="begin"/>
        </w:r>
        <w:r w:rsidR="00D67749">
          <w:rPr>
            <w:webHidden/>
          </w:rPr>
          <w:instrText xml:space="preserve"> PAGEREF _Toc121415314 \h </w:instrText>
        </w:r>
        <w:r w:rsidR="00D67749">
          <w:rPr>
            <w:webHidden/>
          </w:rPr>
        </w:r>
        <w:r w:rsidR="00D67749">
          <w:rPr>
            <w:webHidden/>
          </w:rPr>
          <w:fldChar w:fldCharType="separate"/>
        </w:r>
        <w:r w:rsidR="00295E8F">
          <w:rPr>
            <w:webHidden/>
          </w:rPr>
          <w:t>31</w:t>
        </w:r>
        <w:r w:rsidR="00D67749">
          <w:rPr>
            <w:webHidden/>
          </w:rPr>
          <w:fldChar w:fldCharType="end"/>
        </w:r>
      </w:hyperlink>
    </w:p>
    <w:p w14:paraId="546F96A4" w14:textId="7EBF0E26" w:rsidR="00D67749" w:rsidRDefault="00BB3C68">
      <w:pPr>
        <w:pStyle w:val="TOC3"/>
        <w:rPr>
          <w:spacing w:val="0"/>
          <w:sz w:val="22"/>
          <w:szCs w:val="22"/>
        </w:rPr>
      </w:pPr>
      <w:hyperlink w:anchor="_Toc121415315" w:history="1">
        <w:r w:rsidR="00D67749" w:rsidRPr="00564F43">
          <w:rPr>
            <w:rStyle w:val="Hyperlink"/>
          </w:rPr>
          <w:t>2.6.6</w:t>
        </w:r>
        <w:r w:rsidR="00D67749">
          <w:rPr>
            <w:spacing w:val="0"/>
            <w:sz w:val="22"/>
            <w:szCs w:val="22"/>
          </w:rPr>
          <w:tab/>
        </w:r>
        <w:r w:rsidR="00D67749" w:rsidRPr="00564F43">
          <w:rPr>
            <w:rStyle w:val="Hyperlink"/>
          </w:rPr>
          <w:t>Environmental impacts</w:t>
        </w:r>
        <w:r w:rsidR="00D67749">
          <w:rPr>
            <w:webHidden/>
          </w:rPr>
          <w:tab/>
        </w:r>
        <w:r w:rsidR="00D67749">
          <w:rPr>
            <w:webHidden/>
          </w:rPr>
          <w:fldChar w:fldCharType="begin"/>
        </w:r>
        <w:r w:rsidR="00D67749">
          <w:rPr>
            <w:webHidden/>
          </w:rPr>
          <w:instrText xml:space="preserve"> PAGEREF _Toc121415315 \h </w:instrText>
        </w:r>
        <w:r w:rsidR="00D67749">
          <w:rPr>
            <w:webHidden/>
          </w:rPr>
        </w:r>
        <w:r w:rsidR="00D67749">
          <w:rPr>
            <w:webHidden/>
          </w:rPr>
          <w:fldChar w:fldCharType="separate"/>
        </w:r>
        <w:r w:rsidR="00295E8F">
          <w:rPr>
            <w:webHidden/>
          </w:rPr>
          <w:t>31</w:t>
        </w:r>
        <w:r w:rsidR="00D67749">
          <w:rPr>
            <w:webHidden/>
          </w:rPr>
          <w:fldChar w:fldCharType="end"/>
        </w:r>
      </w:hyperlink>
    </w:p>
    <w:p w14:paraId="57F2FB3A" w14:textId="3AD543E3" w:rsidR="00D67749" w:rsidRDefault="00BB3C68">
      <w:pPr>
        <w:pStyle w:val="TOC3"/>
        <w:rPr>
          <w:spacing w:val="0"/>
          <w:sz w:val="22"/>
          <w:szCs w:val="22"/>
        </w:rPr>
      </w:pPr>
      <w:hyperlink w:anchor="_Toc121415316" w:history="1">
        <w:r w:rsidR="00D67749" w:rsidRPr="00564F43">
          <w:rPr>
            <w:rStyle w:val="Hyperlink"/>
          </w:rPr>
          <w:t>2.6.7</w:t>
        </w:r>
        <w:r w:rsidR="00D67749">
          <w:rPr>
            <w:spacing w:val="0"/>
            <w:sz w:val="22"/>
            <w:szCs w:val="22"/>
          </w:rPr>
          <w:tab/>
        </w:r>
        <w:r w:rsidR="00D67749" w:rsidRPr="00564F43">
          <w:rPr>
            <w:rStyle w:val="Hyperlink"/>
          </w:rPr>
          <w:t>Financial modelling</w:t>
        </w:r>
        <w:r w:rsidR="00D67749">
          <w:rPr>
            <w:webHidden/>
          </w:rPr>
          <w:tab/>
        </w:r>
        <w:r w:rsidR="00D67749">
          <w:rPr>
            <w:webHidden/>
          </w:rPr>
          <w:fldChar w:fldCharType="begin"/>
        </w:r>
        <w:r w:rsidR="00D67749">
          <w:rPr>
            <w:webHidden/>
          </w:rPr>
          <w:instrText xml:space="preserve"> PAGEREF _Toc121415316 \h </w:instrText>
        </w:r>
        <w:r w:rsidR="00D67749">
          <w:rPr>
            <w:webHidden/>
          </w:rPr>
        </w:r>
        <w:r w:rsidR="00D67749">
          <w:rPr>
            <w:webHidden/>
          </w:rPr>
          <w:fldChar w:fldCharType="separate"/>
        </w:r>
        <w:r w:rsidR="00295E8F">
          <w:rPr>
            <w:webHidden/>
          </w:rPr>
          <w:t>32</w:t>
        </w:r>
        <w:r w:rsidR="00D67749">
          <w:rPr>
            <w:webHidden/>
          </w:rPr>
          <w:fldChar w:fldCharType="end"/>
        </w:r>
      </w:hyperlink>
    </w:p>
    <w:p w14:paraId="1F9CBE42" w14:textId="111B7897" w:rsidR="00D67749" w:rsidRDefault="00BB3C68">
      <w:pPr>
        <w:pStyle w:val="TOC3"/>
        <w:rPr>
          <w:spacing w:val="0"/>
          <w:sz w:val="22"/>
          <w:szCs w:val="22"/>
        </w:rPr>
      </w:pPr>
      <w:hyperlink w:anchor="_Toc121415317" w:history="1">
        <w:r w:rsidR="00D67749" w:rsidRPr="00564F43">
          <w:rPr>
            <w:rStyle w:val="Hyperlink"/>
          </w:rPr>
          <w:t>2.6.8</w:t>
        </w:r>
        <w:r w:rsidR="00D67749">
          <w:rPr>
            <w:spacing w:val="0"/>
            <w:sz w:val="22"/>
            <w:szCs w:val="22"/>
          </w:rPr>
          <w:tab/>
        </w:r>
        <w:r w:rsidR="00D67749" w:rsidRPr="00564F43">
          <w:rPr>
            <w:rStyle w:val="Hyperlink"/>
          </w:rPr>
          <w:t>Economic impacts</w:t>
        </w:r>
        <w:r w:rsidR="00D67749">
          <w:rPr>
            <w:webHidden/>
          </w:rPr>
          <w:tab/>
        </w:r>
        <w:r w:rsidR="00D67749">
          <w:rPr>
            <w:webHidden/>
          </w:rPr>
          <w:fldChar w:fldCharType="begin"/>
        </w:r>
        <w:r w:rsidR="00D67749">
          <w:rPr>
            <w:webHidden/>
          </w:rPr>
          <w:instrText xml:space="preserve"> PAGEREF _Toc121415317 \h </w:instrText>
        </w:r>
        <w:r w:rsidR="00D67749">
          <w:rPr>
            <w:webHidden/>
          </w:rPr>
        </w:r>
        <w:r w:rsidR="00D67749">
          <w:rPr>
            <w:webHidden/>
          </w:rPr>
          <w:fldChar w:fldCharType="separate"/>
        </w:r>
        <w:r w:rsidR="00295E8F">
          <w:rPr>
            <w:webHidden/>
          </w:rPr>
          <w:t>35</w:t>
        </w:r>
        <w:r w:rsidR="00D67749">
          <w:rPr>
            <w:webHidden/>
          </w:rPr>
          <w:fldChar w:fldCharType="end"/>
        </w:r>
      </w:hyperlink>
    </w:p>
    <w:p w14:paraId="5B3BA9D0" w14:textId="76D7A4C9" w:rsidR="00D67749" w:rsidRDefault="00BB3C68">
      <w:pPr>
        <w:pStyle w:val="TOC3"/>
        <w:rPr>
          <w:spacing w:val="0"/>
          <w:sz w:val="22"/>
          <w:szCs w:val="22"/>
        </w:rPr>
      </w:pPr>
      <w:hyperlink w:anchor="_Toc121415318" w:history="1">
        <w:r w:rsidR="00D67749" w:rsidRPr="00564F43">
          <w:rPr>
            <w:rStyle w:val="Hyperlink"/>
          </w:rPr>
          <w:t>2.6.9</w:t>
        </w:r>
        <w:r w:rsidR="00D67749">
          <w:rPr>
            <w:spacing w:val="0"/>
            <w:sz w:val="22"/>
            <w:szCs w:val="22"/>
          </w:rPr>
          <w:tab/>
        </w:r>
        <w:r w:rsidR="00D67749" w:rsidRPr="00564F43">
          <w:rPr>
            <w:rStyle w:val="Hyperlink"/>
          </w:rPr>
          <w:t>Economic analysis</w:t>
        </w:r>
        <w:r w:rsidR="00D67749">
          <w:rPr>
            <w:webHidden/>
          </w:rPr>
          <w:tab/>
        </w:r>
        <w:r w:rsidR="00D67749">
          <w:rPr>
            <w:webHidden/>
          </w:rPr>
          <w:fldChar w:fldCharType="begin"/>
        </w:r>
        <w:r w:rsidR="00D67749">
          <w:rPr>
            <w:webHidden/>
          </w:rPr>
          <w:instrText xml:space="preserve"> PAGEREF _Toc121415318 \h </w:instrText>
        </w:r>
        <w:r w:rsidR="00D67749">
          <w:rPr>
            <w:webHidden/>
          </w:rPr>
        </w:r>
        <w:r w:rsidR="00D67749">
          <w:rPr>
            <w:webHidden/>
          </w:rPr>
          <w:fldChar w:fldCharType="separate"/>
        </w:r>
        <w:r w:rsidR="00295E8F">
          <w:rPr>
            <w:webHidden/>
          </w:rPr>
          <w:t>35</w:t>
        </w:r>
        <w:r w:rsidR="00D67749">
          <w:rPr>
            <w:webHidden/>
          </w:rPr>
          <w:fldChar w:fldCharType="end"/>
        </w:r>
      </w:hyperlink>
    </w:p>
    <w:p w14:paraId="1AEE877A" w14:textId="3D8FBC8B" w:rsidR="00D67749" w:rsidRDefault="00BB3C68">
      <w:pPr>
        <w:pStyle w:val="TOC3"/>
        <w:rPr>
          <w:spacing w:val="0"/>
          <w:sz w:val="22"/>
          <w:szCs w:val="22"/>
        </w:rPr>
      </w:pPr>
      <w:hyperlink w:anchor="_Toc121415319" w:history="1">
        <w:r w:rsidR="00D67749" w:rsidRPr="00564F43">
          <w:rPr>
            <w:rStyle w:val="Hyperlink"/>
          </w:rPr>
          <w:t>2.6.10</w:t>
        </w:r>
        <w:r w:rsidR="00D67749">
          <w:rPr>
            <w:spacing w:val="0"/>
            <w:sz w:val="22"/>
            <w:szCs w:val="22"/>
          </w:rPr>
          <w:tab/>
        </w:r>
        <w:r w:rsidR="00D67749" w:rsidRPr="00564F43">
          <w:rPr>
            <w:rStyle w:val="Hyperlink"/>
          </w:rPr>
          <w:t>Risk assessment in response options assessment</w:t>
        </w:r>
        <w:r w:rsidR="00D67749">
          <w:rPr>
            <w:webHidden/>
          </w:rPr>
          <w:tab/>
        </w:r>
        <w:r w:rsidR="00D67749">
          <w:rPr>
            <w:webHidden/>
          </w:rPr>
          <w:fldChar w:fldCharType="begin"/>
        </w:r>
        <w:r w:rsidR="00D67749">
          <w:rPr>
            <w:webHidden/>
          </w:rPr>
          <w:instrText xml:space="preserve"> PAGEREF _Toc121415319 \h </w:instrText>
        </w:r>
        <w:r w:rsidR="00D67749">
          <w:rPr>
            <w:webHidden/>
          </w:rPr>
        </w:r>
        <w:r w:rsidR="00D67749">
          <w:rPr>
            <w:webHidden/>
          </w:rPr>
          <w:fldChar w:fldCharType="separate"/>
        </w:r>
        <w:r w:rsidR="00295E8F">
          <w:rPr>
            <w:webHidden/>
          </w:rPr>
          <w:t>39</w:t>
        </w:r>
        <w:r w:rsidR="00D67749">
          <w:rPr>
            <w:webHidden/>
          </w:rPr>
          <w:fldChar w:fldCharType="end"/>
        </w:r>
      </w:hyperlink>
    </w:p>
    <w:p w14:paraId="4BD010E9" w14:textId="2DDEE645" w:rsidR="00D67749" w:rsidRDefault="00BB3C68">
      <w:pPr>
        <w:pStyle w:val="TOC3"/>
        <w:rPr>
          <w:spacing w:val="0"/>
          <w:sz w:val="22"/>
          <w:szCs w:val="22"/>
        </w:rPr>
      </w:pPr>
      <w:hyperlink w:anchor="_Toc121415320" w:history="1">
        <w:r w:rsidR="00D67749" w:rsidRPr="00564F43">
          <w:rPr>
            <w:rStyle w:val="Hyperlink"/>
          </w:rPr>
          <w:t>2.6.11</w:t>
        </w:r>
        <w:r w:rsidR="00D67749">
          <w:rPr>
            <w:spacing w:val="0"/>
            <w:sz w:val="22"/>
            <w:szCs w:val="22"/>
          </w:rPr>
          <w:tab/>
        </w:r>
        <w:r w:rsidR="00D67749" w:rsidRPr="00564F43">
          <w:rPr>
            <w:rStyle w:val="Hyperlink"/>
          </w:rPr>
          <w:t>Options analysis and uncertainty</w:t>
        </w:r>
        <w:r w:rsidR="00D67749">
          <w:rPr>
            <w:webHidden/>
          </w:rPr>
          <w:tab/>
        </w:r>
        <w:r w:rsidR="00D67749">
          <w:rPr>
            <w:webHidden/>
          </w:rPr>
          <w:fldChar w:fldCharType="begin"/>
        </w:r>
        <w:r w:rsidR="00D67749">
          <w:rPr>
            <w:webHidden/>
          </w:rPr>
          <w:instrText xml:space="preserve"> PAGEREF _Toc121415320 \h </w:instrText>
        </w:r>
        <w:r w:rsidR="00D67749">
          <w:rPr>
            <w:webHidden/>
          </w:rPr>
        </w:r>
        <w:r w:rsidR="00D67749">
          <w:rPr>
            <w:webHidden/>
          </w:rPr>
          <w:fldChar w:fldCharType="separate"/>
        </w:r>
        <w:r w:rsidR="00295E8F">
          <w:rPr>
            <w:webHidden/>
          </w:rPr>
          <w:t>40</w:t>
        </w:r>
        <w:r w:rsidR="00D67749">
          <w:rPr>
            <w:webHidden/>
          </w:rPr>
          <w:fldChar w:fldCharType="end"/>
        </w:r>
      </w:hyperlink>
    </w:p>
    <w:p w14:paraId="0825A053" w14:textId="0E64E04C" w:rsidR="00D67749" w:rsidRDefault="00BB3C68">
      <w:pPr>
        <w:pStyle w:val="TOC3"/>
        <w:rPr>
          <w:spacing w:val="0"/>
          <w:sz w:val="22"/>
          <w:szCs w:val="22"/>
        </w:rPr>
      </w:pPr>
      <w:hyperlink w:anchor="_Toc121415321" w:history="1">
        <w:r w:rsidR="00D67749" w:rsidRPr="00564F43">
          <w:rPr>
            <w:rStyle w:val="Hyperlink"/>
          </w:rPr>
          <w:t>2.6.12</w:t>
        </w:r>
        <w:r w:rsidR="00D67749">
          <w:rPr>
            <w:spacing w:val="0"/>
            <w:sz w:val="22"/>
            <w:szCs w:val="22"/>
          </w:rPr>
          <w:tab/>
        </w:r>
        <w:r w:rsidR="00D67749" w:rsidRPr="00564F43">
          <w:rPr>
            <w:rStyle w:val="Hyperlink"/>
          </w:rPr>
          <w:t>Integrated analysis</w:t>
        </w:r>
        <w:r w:rsidR="00D67749">
          <w:rPr>
            <w:webHidden/>
          </w:rPr>
          <w:tab/>
        </w:r>
        <w:r w:rsidR="00D67749">
          <w:rPr>
            <w:webHidden/>
          </w:rPr>
          <w:fldChar w:fldCharType="begin"/>
        </w:r>
        <w:r w:rsidR="00D67749">
          <w:rPr>
            <w:webHidden/>
          </w:rPr>
          <w:instrText xml:space="preserve"> PAGEREF _Toc121415321 \h </w:instrText>
        </w:r>
        <w:r w:rsidR="00D67749">
          <w:rPr>
            <w:webHidden/>
          </w:rPr>
        </w:r>
        <w:r w:rsidR="00D67749">
          <w:rPr>
            <w:webHidden/>
          </w:rPr>
          <w:fldChar w:fldCharType="separate"/>
        </w:r>
        <w:r w:rsidR="00295E8F">
          <w:rPr>
            <w:webHidden/>
          </w:rPr>
          <w:t>42</w:t>
        </w:r>
        <w:r w:rsidR="00D67749">
          <w:rPr>
            <w:webHidden/>
          </w:rPr>
          <w:fldChar w:fldCharType="end"/>
        </w:r>
      </w:hyperlink>
    </w:p>
    <w:p w14:paraId="26845649" w14:textId="6DCE2D27" w:rsidR="00D67749" w:rsidRDefault="00BB3C68">
      <w:pPr>
        <w:pStyle w:val="TOC3"/>
        <w:rPr>
          <w:spacing w:val="0"/>
          <w:sz w:val="22"/>
          <w:szCs w:val="22"/>
        </w:rPr>
      </w:pPr>
      <w:hyperlink w:anchor="_Toc121415322" w:history="1">
        <w:r w:rsidR="00D67749" w:rsidRPr="00564F43">
          <w:rPr>
            <w:rStyle w:val="Hyperlink"/>
          </w:rPr>
          <w:t>2.6.13</w:t>
        </w:r>
        <w:r w:rsidR="00D67749">
          <w:rPr>
            <w:spacing w:val="0"/>
            <w:sz w:val="22"/>
            <w:szCs w:val="22"/>
          </w:rPr>
          <w:tab/>
        </w:r>
        <w:r w:rsidR="00D67749" w:rsidRPr="00564F43">
          <w:rPr>
            <w:rStyle w:val="Hyperlink"/>
          </w:rPr>
          <w:t>Detailed economic evaluation of the project solution</w:t>
        </w:r>
        <w:r w:rsidR="00D67749">
          <w:rPr>
            <w:webHidden/>
          </w:rPr>
          <w:tab/>
        </w:r>
        <w:r w:rsidR="00D67749">
          <w:rPr>
            <w:webHidden/>
          </w:rPr>
          <w:fldChar w:fldCharType="begin"/>
        </w:r>
        <w:r w:rsidR="00D67749">
          <w:rPr>
            <w:webHidden/>
          </w:rPr>
          <w:instrText xml:space="preserve"> PAGEREF _Toc121415322 \h </w:instrText>
        </w:r>
        <w:r w:rsidR="00D67749">
          <w:rPr>
            <w:webHidden/>
          </w:rPr>
        </w:r>
        <w:r w:rsidR="00D67749">
          <w:rPr>
            <w:webHidden/>
          </w:rPr>
          <w:fldChar w:fldCharType="separate"/>
        </w:r>
        <w:r w:rsidR="00295E8F">
          <w:rPr>
            <w:webHidden/>
          </w:rPr>
          <w:t>51</w:t>
        </w:r>
        <w:r w:rsidR="00D67749">
          <w:rPr>
            <w:webHidden/>
          </w:rPr>
          <w:fldChar w:fldCharType="end"/>
        </w:r>
      </w:hyperlink>
    </w:p>
    <w:p w14:paraId="3DEF08F5" w14:textId="3AD3A13A" w:rsidR="00D67749" w:rsidRDefault="00BB3C68">
      <w:pPr>
        <w:pStyle w:val="TOC1"/>
        <w:rPr>
          <w:b w:val="0"/>
          <w:spacing w:val="0"/>
          <w:szCs w:val="22"/>
        </w:rPr>
      </w:pPr>
      <w:hyperlink w:anchor="_Toc121415323" w:history="1">
        <w:r w:rsidR="00D67749" w:rsidRPr="00564F43">
          <w:rPr>
            <w:rStyle w:val="Hyperlink"/>
          </w:rPr>
          <w:t>3.</w:t>
        </w:r>
        <w:r w:rsidR="00D67749">
          <w:rPr>
            <w:b w:val="0"/>
            <w:spacing w:val="0"/>
            <w:szCs w:val="22"/>
          </w:rPr>
          <w:tab/>
        </w:r>
        <w:r w:rsidR="00D67749" w:rsidRPr="00564F43">
          <w:rPr>
            <w:rStyle w:val="Hyperlink"/>
          </w:rPr>
          <w:t>What is a delivery case?</w:t>
        </w:r>
        <w:r w:rsidR="00D67749">
          <w:rPr>
            <w:webHidden/>
          </w:rPr>
          <w:tab/>
        </w:r>
        <w:r w:rsidR="00D67749">
          <w:rPr>
            <w:webHidden/>
          </w:rPr>
          <w:fldChar w:fldCharType="begin"/>
        </w:r>
        <w:r w:rsidR="00D67749">
          <w:rPr>
            <w:webHidden/>
          </w:rPr>
          <w:instrText xml:space="preserve"> PAGEREF _Toc121415323 \h </w:instrText>
        </w:r>
        <w:r w:rsidR="00D67749">
          <w:rPr>
            <w:webHidden/>
          </w:rPr>
        </w:r>
        <w:r w:rsidR="00D67749">
          <w:rPr>
            <w:webHidden/>
          </w:rPr>
          <w:fldChar w:fldCharType="separate"/>
        </w:r>
        <w:r w:rsidR="00295E8F">
          <w:rPr>
            <w:webHidden/>
          </w:rPr>
          <w:t>51</w:t>
        </w:r>
        <w:r w:rsidR="00D67749">
          <w:rPr>
            <w:webHidden/>
          </w:rPr>
          <w:fldChar w:fldCharType="end"/>
        </w:r>
      </w:hyperlink>
    </w:p>
    <w:p w14:paraId="16378210" w14:textId="308572D4" w:rsidR="00D67749" w:rsidRDefault="00BB3C68">
      <w:pPr>
        <w:pStyle w:val="TOC2"/>
        <w:rPr>
          <w:spacing w:val="0"/>
          <w:sz w:val="22"/>
          <w:szCs w:val="22"/>
        </w:rPr>
      </w:pPr>
      <w:hyperlink w:anchor="_Toc121415324" w:history="1">
        <w:r w:rsidR="00D67749" w:rsidRPr="00564F43">
          <w:rPr>
            <w:rStyle w:val="Hyperlink"/>
          </w:rPr>
          <w:t>3.1</w:t>
        </w:r>
        <w:r w:rsidR="00D67749">
          <w:rPr>
            <w:spacing w:val="0"/>
            <w:sz w:val="22"/>
            <w:szCs w:val="22"/>
          </w:rPr>
          <w:tab/>
        </w:r>
        <w:r w:rsidR="00D67749" w:rsidRPr="00564F43">
          <w:rPr>
            <w:rStyle w:val="Hyperlink"/>
          </w:rPr>
          <w:t>How long</w:t>
        </w:r>
        <w:r w:rsidR="00D67749" w:rsidRPr="00564F43">
          <w:rPr>
            <w:rStyle w:val="Hyperlink"/>
          </w:rPr>
          <w:noBreakHyphen/>
          <w:t>term planning relates to this stage</w:t>
        </w:r>
        <w:r w:rsidR="00D67749">
          <w:rPr>
            <w:webHidden/>
          </w:rPr>
          <w:tab/>
        </w:r>
        <w:r w:rsidR="00D67749">
          <w:rPr>
            <w:webHidden/>
          </w:rPr>
          <w:fldChar w:fldCharType="begin"/>
        </w:r>
        <w:r w:rsidR="00D67749">
          <w:rPr>
            <w:webHidden/>
          </w:rPr>
          <w:instrText xml:space="preserve"> PAGEREF _Toc121415324 \h </w:instrText>
        </w:r>
        <w:r w:rsidR="00D67749">
          <w:rPr>
            <w:webHidden/>
          </w:rPr>
        </w:r>
        <w:r w:rsidR="00D67749">
          <w:rPr>
            <w:webHidden/>
          </w:rPr>
          <w:fldChar w:fldCharType="separate"/>
        </w:r>
        <w:r w:rsidR="00295E8F">
          <w:rPr>
            <w:webHidden/>
          </w:rPr>
          <w:t>52</w:t>
        </w:r>
        <w:r w:rsidR="00D67749">
          <w:rPr>
            <w:webHidden/>
          </w:rPr>
          <w:fldChar w:fldCharType="end"/>
        </w:r>
      </w:hyperlink>
    </w:p>
    <w:p w14:paraId="6A85583B" w14:textId="432F891B" w:rsidR="00D67749" w:rsidRDefault="00BB3C68">
      <w:pPr>
        <w:pStyle w:val="TOC2"/>
        <w:rPr>
          <w:spacing w:val="0"/>
          <w:sz w:val="22"/>
          <w:szCs w:val="22"/>
        </w:rPr>
      </w:pPr>
      <w:hyperlink w:anchor="_Toc121415325" w:history="1">
        <w:r w:rsidR="00D67749" w:rsidRPr="00564F43">
          <w:rPr>
            <w:rStyle w:val="Hyperlink"/>
          </w:rPr>
          <w:t>3.2</w:t>
        </w:r>
        <w:r w:rsidR="00D67749">
          <w:rPr>
            <w:spacing w:val="0"/>
            <w:sz w:val="22"/>
            <w:szCs w:val="22"/>
          </w:rPr>
          <w:tab/>
        </w:r>
        <w:r w:rsidR="00D67749" w:rsidRPr="00564F43">
          <w:rPr>
            <w:rStyle w:val="Hyperlink"/>
          </w:rPr>
          <w:t>Supporting material for the delivery case</w:t>
        </w:r>
        <w:r w:rsidR="00D67749">
          <w:rPr>
            <w:webHidden/>
          </w:rPr>
          <w:tab/>
        </w:r>
        <w:r w:rsidR="00D67749">
          <w:rPr>
            <w:webHidden/>
          </w:rPr>
          <w:fldChar w:fldCharType="begin"/>
        </w:r>
        <w:r w:rsidR="00D67749">
          <w:rPr>
            <w:webHidden/>
          </w:rPr>
          <w:instrText xml:space="preserve"> PAGEREF _Toc121415325 \h </w:instrText>
        </w:r>
        <w:r w:rsidR="00D67749">
          <w:rPr>
            <w:webHidden/>
          </w:rPr>
        </w:r>
        <w:r w:rsidR="00D67749">
          <w:rPr>
            <w:webHidden/>
          </w:rPr>
          <w:fldChar w:fldCharType="separate"/>
        </w:r>
        <w:r w:rsidR="00295E8F">
          <w:rPr>
            <w:webHidden/>
          </w:rPr>
          <w:t>53</w:t>
        </w:r>
        <w:r w:rsidR="00D67749">
          <w:rPr>
            <w:webHidden/>
          </w:rPr>
          <w:fldChar w:fldCharType="end"/>
        </w:r>
      </w:hyperlink>
    </w:p>
    <w:p w14:paraId="1896C706" w14:textId="009C210B" w:rsidR="00D67749" w:rsidRDefault="00BB3C68">
      <w:pPr>
        <w:pStyle w:val="TOC3"/>
        <w:rPr>
          <w:spacing w:val="0"/>
          <w:sz w:val="22"/>
          <w:szCs w:val="22"/>
        </w:rPr>
      </w:pPr>
      <w:hyperlink w:anchor="_Toc121415326" w:history="1">
        <w:r w:rsidR="00D67749" w:rsidRPr="00564F43">
          <w:rPr>
            <w:rStyle w:val="Hyperlink"/>
          </w:rPr>
          <w:t>3.2.1</w:t>
        </w:r>
        <w:r w:rsidR="00D67749">
          <w:rPr>
            <w:spacing w:val="0"/>
            <w:sz w:val="22"/>
            <w:szCs w:val="22"/>
          </w:rPr>
          <w:tab/>
        </w:r>
        <w:r w:rsidR="00D67749" w:rsidRPr="00564F43">
          <w:rPr>
            <w:rStyle w:val="Hyperlink"/>
          </w:rPr>
          <w:t>Carrying out research in the delivery case stage</w:t>
        </w:r>
        <w:r w:rsidR="00D67749">
          <w:rPr>
            <w:webHidden/>
          </w:rPr>
          <w:tab/>
        </w:r>
        <w:r w:rsidR="00D67749">
          <w:rPr>
            <w:webHidden/>
          </w:rPr>
          <w:fldChar w:fldCharType="begin"/>
        </w:r>
        <w:r w:rsidR="00D67749">
          <w:rPr>
            <w:webHidden/>
          </w:rPr>
          <w:instrText xml:space="preserve"> PAGEREF _Toc121415326 \h </w:instrText>
        </w:r>
        <w:r w:rsidR="00D67749">
          <w:rPr>
            <w:webHidden/>
          </w:rPr>
        </w:r>
        <w:r w:rsidR="00D67749">
          <w:rPr>
            <w:webHidden/>
          </w:rPr>
          <w:fldChar w:fldCharType="separate"/>
        </w:r>
        <w:r w:rsidR="00295E8F">
          <w:rPr>
            <w:webHidden/>
          </w:rPr>
          <w:t>53</w:t>
        </w:r>
        <w:r w:rsidR="00D67749">
          <w:rPr>
            <w:webHidden/>
          </w:rPr>
          <w:fldChar w:fldCharType="end"/>
        </w:r>
      </w:hyperlink>
    </w:p>
    <w:p w14:paraId="6B5DE0C2" w14:textId="6D8F9C5D" w:rsidR="00D67749" w:rsidRDefault="00BB3C68">
      <w:pPr>
        <w:pStyle w:val="TOC3"/>
        <w:rPr>
          <w:spacing w:val="0"/>
          <w:sz w:val="22"/>
          <w:szCs w:val="22"/>
        </w:rPr>
      </w:pPr>
      <w:hyperlink w:anchor="_Toc121415327" w:history="1">
        <w:r w:rsidR="00D67749" w:rsidRPr="00564F43">
          <w:rPr>
            <w:rStyle w:val="Hyperlink"/>
          </w:rPr>
          <w:t>3.2.2</w:t>
        </w:r>
        <w:r w:rsidR="00D67749">
          <w:rPr>
            <w:spacing w:val="0"/>
            <w:sz w:val="22"/>
            <w:szCs w:val="22"/>
          </w:rPr>
          <w:tab/>
        </w:r>
        <w:r w:rsidR="00D67749" w:rsidRPr="00564F43">
          <w:rPr>
            <w:rStyle w:val="Hyperlink"/>
          </w:rPr>
          <w:t>Choosing stakeholders to help build the delivery case</w:t>
        </w:r>
        <w:r w:rsidR="00D67749">
          <w:rPr>
            <w:webHidden/>
          </w:rPr>
          <w:tab/>
        </w:r>
        <w:r w:rsidR="00D67749">
          <w:rPr>
            <w:webHidden/>
          </w:rPr>
          <w:fldChar w:fldCharType="begin"/>
        </w:r>
        <w:r w:rsidR="00D67749">
          <w:rPr>
            <w:webHidden/>
          </w:rPr>
          <w:instrText xml:space="preserve"> PAGEREF _Toc121415327 \h </w:instrText>
        </w:r>
        <w:r w:rsidR="00D67749">
          <w:rPr>
            <w:webHidden/>
          </w:rPr>
        </w:r>
        <w:r w:rsidR="00D67749">
          <w:rPr>
            <w:webHidden/>
          </w:rPr>
          <w:fldChar w:fldCharType="separate"/>
        </w:r>
        <w:r w:rsidR="00295E8F">
          <w:rPr>
            <w:webHidden/>
          </w:rPr>
          <w:t>53</w:t>
        </w:r>
        <w:r w:rsidR="00D67749">
          <w:rPr>
            <w:webHidden/>
          </w:rPr>
          <w:fldChar w:fldCharType="end"/>
        </w:r>
      </w:hyperlink>
    </w:p>
    <w:p w14:paraId="0B84596E" w14:textId="5ECF9864" w:rsidR="00D67749" w:rsidRDefault="00BB3C68">
      <w:pPr>
        <w:pStyle w:val="TOC3"/>
        <w:rPr>
          <w:spacing w:val="0"/>
          <w:sz w:val="22"/>
          <w:szCs w:val="22"/>
        </w:rPr>
      </w:pPr>
      <w:hyperlink w:anchor="_Toc121415328" w:history="1">
        <w:r w:rsidR="00D67749" w:rsidRPr="00564F43">
          <w:rPr>
            <w:rStyle w:val="Hyperlink"/>
          </w:rPr>
          <w:t>3.2.3</w:t>
        </w:r>
        <w:r w:rsidR="00D67749">
          <w:rPr>
            <w:spacing w:val="0"/>
            <w:sz w:val="22"/>
            <w:szCs w:val="22"/>
          </w:rPr>
          <w:tab/>
        </w:r>
        <w:r w:rsidR="00D67749" w:rsidRPr="00564F43">
          <w:rPr>
            <w:rStyle w:val="Hyperlink"/>
          </w:rPr>
          <w:t>Prove the deliverability</w:t>
        </w:r>
        <w:r w:rsidR="00D67749">
          <w:rPr>
            <w:webHidden/>
          </w:rPr>
          <w:tab/>
        </w:r>
        <w:r w:rsidR="00D67749">
          <w:rPr>
            <w:webHidden/>
          </w:rPr>
          <w:fldChar w:fldCharType="begin"/>
        </w:r>
        <w:r w:rsidR="00D67749">
          <w:rPr>
            <w:webHidden/>
          </w:rPr>
          <w:instrText xml:space="preserve"> PAGEREF _Toc121415328 \h </w:instrText>
        </w:r>
        <w:r w:rsidR="00D67749">
          <w:rPr>
            <w:webHidden/>
          </w:rPr>
        </w:r>
        <w:r w:rsidR="00D67749">
          <w:rPr>
            <w:webHidden/>
          </w:rPr>
          <w:fldChar w:fldCharType="separate"/>
        </w:r>
        <w:r w:rsidR="00295E8F">
          <w:rPr>
            <w:webHidden/>
          </w:rPr>
          <w:t>54</w:t>
        </w:r>
        <w:r w:rsidR="00D67749">
          <w:rPr>
            <w:webHidden/>
          </w:rPr>
          <w:fldChar w:fldCharType="end"/>
        </w:r>
      </w:hyperlink>
    </w:p>
    <w:p w14:paraId="6F679A9D" w14:textId="33B9E751" w:rsidR="00D67749" w:rsidRDefault="00BB3C68">
      <w:pPr>
        <w:pStyle w:val="TOC2"/>
        <w:rPr>
          <w:spacing w:val="0"/>
          <w:sz w:val="22"/>
          <w:szCs w:val="22"/>
        </w:rPr>
      </w:pPr>
      <w:hyperlink w:anchor="_Toc121415329" w:history="1">
        <w:r w:rsidR="00D67749" w:rsidRPr="00564F43">
          <w:rPr>
            <w:rStyle w:val="Hyperlink"/>
          </w:rPr>
          <w:t>3.3</w:t>
        </w:r>
        <w:r w:rsidR="00D67749">
          <w:rPr>
            <w:spacing w:val="0"/>
            <w:sz w:val="22"/>
            <w:szCs w:val="22"/>
          </w:rPr>
          <w:tab/>
        </w:r>
        <w:r w:rsidR="00D67749" w:rsidRPr="00564F43">
          <w:rPr>
            <w:rStyle w:val="Hyperlink"/>
          </w:rPr>
          <w:t>Step 5: The project solution</w:t>
        </w:r>
        <w:r w:rsidR="00D67749">
          <w:rPr>
            <w:webHidden/>
          </w:rPr>
          <w:tab/>
        </w:r>
        <w:r w:rsidR="00D67749">
          <w:rPr>
            <w:webHidden/>
          </w:rPr>
          <w:fldChar w:fldCharType="begin"/>
        </w:r>
        <w:r w:rsidR="00D67749">
          <w:rPr>
            <w:webHidden/>
          </w:rPr>
          <w:instrText xml:space="preserve"> PAGEREF _Toc121415329 \h </w:instrText>
        </w:r>
        <w:r w:rsidR="00D67749">
          <w:rPr>
            <w:webHidden/>
          </w:rPr>
        </w:r>
        <w:r w:rsidR="00D67749">
          <w:rPr>
            <w:webHidden/>
          </w:rPr>
          <w:fldChar w:fldCharType="separate"/>
        </w:r>
        <w:r w:rsidR="00295E8F">
          <w:rPr>
            <w:webHidden/>
          </w:rPr>
          <w:t>54</w:t>
        </w:r>
        <w:r w:rsidR="00D67749">
          <w:rPr>
            <w:webHidden/>
          </w:rPr>
          <w:fldChar w:fldCharType="end"/>
        </w:r>
      </w:hyperlink>
    </w:p>
    <w:p w14:paraId="74A36813" w14:textId="5E8DA69F" w:rsidR="00D67749" w:rsidRDefault="00BB3C68">
      <w:pPr>
        <w:pStyle w:val="TOC3"/>
        <w:rPr>
          <w:spacing w:val="0"/>
          <w:sz w:val="22"/>
          <w:szCs w:val="22"/>
        </w:rPr>
      </w:pPr>
      <w:hyperlink w:anchor="_Toc121415330" w:history="1">
        <w:r w:rsidR="00D67749" w:rsidRPr="00564F43">
          <w:rPr>
            <w:rStyle w:val="Hyperlink"/>
          </w:rPr>
          <w:t>3.3.1</w:t>
        </w:r>
        <w:r w:rsidR="00D67749">
          <w:rPr>
            <w:spacing w:val="0"/>
            <w:sz w:val="22"/>
            <w:szCs w:val="22"/>
          </w:rPr>
          <w:tab/>
        </w:r>
        <w:r w:rsidR="00D67749" w:rsidRPr="00564F43">
          <w:rPr>
            <w:rStyle w:val="Hyperlink"/>
          </w:rPr>
          <w:t>Public interest test</w:t>
        </w:r>
        <w:r w:rsidR="00D67749">
          <w:rPr>
            <w:webHidden/>
          </w:rPr>
          <w:tab/>
        </w:r>
        <w:r w:rsidR="00D67749">
          <w:rPr>
            <w:webHidden/>
          </w:rPr>
          <w:fldChar w:fldCharType="begin"/>
        </w:r>
        <w:r w:rsidR="00D67749">
          <w:rPr>
            <w:webHidden/>
          </w:rPr>
          <w:instrText xml:space="preserve"> PAGEREF _Toc121415330 \h </w:instrText>
        </w:r>
        <w:r w:rsidR="00D67749">
          <w:rPr>
            <w:webHidden/>
          </w:rPr>
        </w:r>
        <w:r w:rsidR="00D67749">
          <w:rPr>
            <w:webHidden/>
          </w:rPr>
          <w:fldChar w:fldCharType="separate"/>
        </w:r>
        <w:r w:rsidR="00295E8F">
          <w:rPr>
            <w:webHidden/>
          </w:rPr>
          <w:t>55</w:t>
        </w:r>
        <w:r w:rsidR="00D67749">
          <w:rPr>
            <w:webHidden/>
          </w:rPr>
          <w:fldChar w:fldCharType="end"/>
        </w:r>
      </w:hyperlink>
    </w:p>
    <w:p w14:paraId="3BDCA899" w14:textId="18F1DAAF" w:rsidR="00D67749" w:rsidRDefault="00BB3C68">
      <w:pPr>
        <w:pStyle w:val="TOC3"/>
        <w:rPr>
          <w:spacing w:val="0"/>
          <w:sz w:val="22"/>
          <w:szCs w:val="22"/>
        </w:rPr>
      </w:pPr>
      <w:hyperlink w:anchor="_Toc121415331" w:history="1">
        <w:r w:rsidR="00D67749" w:rsidRPr="00564F43">
          <w:rPr>
            <w:rStyle w:val="Hyperlink"/>
          </w:rPr>
          <w:t>3.3.2</w:t>
        </w:r>
        <w:r w:rsidR="00D67749">
          <w:rPr>
            <w:spacing w:val="0"/>
            <w:sz w:val="22"/>
            <w:szCs w:val="22"/>
          </w:rPr>
          <w:tab/>
        </w:r>
        <w:r w:rsidR="00D67749" w:rsidRPr="00564F43">
          <w:rPr>
            <w:rStyle w:val="Hyperlink"/>
          </w:rPr>
          <w:t>Lessons learnt/project insights</w:t>
        </w:r>
        <w:r w:rsidR="00D67749">
          <w:rPr>
            <w:webHidden/>
          </w:rPr>
          <w:tab/>
        </w:r>
        <w:r w:rsidR="00D67749">
          <w:rPr>
            <w:webHidden/>
          </w:rPr>
          <w:fldChar w:fldCharType="begin"/>
        </w:r>
        <w:r w:rsidR="00D67749">
          <w:rPr>
            <w:webHidden/>
          </w:rPr>
          <w:instrText xml:space="preserve"> PAGEREF _Toc121415331 \h </w:instrText>
        </w:r>
        <w:r w:rsidR="00D67749">
          <w:rPr>
            <w:webHidden/>
          </w:rPr>
        </w:r>
        <w:r w:rsidR="00D67749">
          <w:rPr>
            <w:webHidden/>
          </w:rPr>
          <w:fldChar w:fldCharType="separate"/>
        </w:r>
        <w:r w:rsidR="00295E8F">
          <w:rPr>
            <w:webHidden/>
          </w:rPr>
          <w:t>56</w:t>
        </w:r>
        <w:r w:rsidR="00D67749">
          <w:rPr>
            <w:webHidden/>
          </w:rPr>
          <w:fldChar w:fldCharType="end"/>
        </w:r>
      </w:hyperlink>
    </w:p>
    <w:p w14:paraId="1B3CCDA0" w14:textId="08739031" w:rsidR="00D67749" w:rsidRDefault="00BB3C68">
      <w:pPr>
        <w:pStyle w:val="TOC3"/>
        <w:rPr>
          <w:spacing w:val="0"/>
          <w:sz w:val="22"/>
          <w:szCs w:val="22"/>
        </w:rPr>
      </w:pPr>
      <w:hyperlink w:anchor="_Toc121415332" w:history="1">
        <w:r w:rsidR="00D67749" w:rsidRPr="00564F43">
          <w:rPr>
            <w:rStyle w:val="Hyperlink"/>
          </w:rPr>
          <w:t>3.3.3</w:t>
        </w:r>
        <w:r w:rsidR="00D67749">
          <w:rPr>
            <w:spacing w:val="0"/>
            <w:sz w:val="22"/>
            <w:szCs w:val="22"/>
          </w:rPr>
          <w:tab/>
        </w:r>
        <w:r w:rsidR="00D67749" w:rsidRPr="00564F43">
          <w:rPr>
            <w:rStyle w:val="Hyperlink"/>
          </w:rPr>
          <w:t>Project Development and Due Diligence</w:t>
        </w:r>
        <w:r w:rsidR="00D67749">
          <w:rPr>
            <w:webHidden/>
          </w:rPr>
          <w:tab/>
        </w:r>
        <w:r w:rsidR="00D67749">
          <w:rPr>
            <w:webHidden/>
          </w:rPr>
          <w:fldChar w:fldCharType="begin"/>
        </w:r>
        <w:r w:rsidR="00D67749">
          <w:rPr>
            <w:webHidden/>
          </w:rPr>
          <w:instrText xml:space="preserve"> PAGEREF _Toc121415332 \h </w:instrText>
        </w:r>
        <w:r w:rsidR="00D67749">
          <w:rPr>
            <w:webHidden/>
          </w:rPr>
        </w:r>
        <w:r w:rsidR="00D67749">
          <w:rPr>
            <w:webHidden/>
          </w:rPr>
          <w:fldChar w:fldCharType="separate"/>
        </w:r>
        <w:r w:rsidR="00295E8F">
          <w:rPr>
            <w:webHidden/>
          </w:rPr>
          <w:t>57</w:t>
        </w:r>
        <w:r w:rsidR="00D67749">
          <w:rPr>
            <w:webHidden/>
          </w:rPr>
          <w:fldChar w:fldCharType="end"/>
        </w:r>
      </w:hyperlink>
    </w:p>
    <w:p w14:paraId="06A93704" w14:textId="50BCB111" w:rsidR="00D67749" w:rsidRDefault="00BB3C68">
      <w:pPr>
        <w:pStyle w:val="TOC2"/>
        <w:rPr>
          <w:spacing w:val="0"/>
          <w:sz w:val="22"/>
          <w:szCs w:val="22"/>
        </w:rPr>
      </w:pPr>
      <w:hyperlink w:anchor="_Toc121415333" w:history="1">
        <w:r w:rsidR="00D67749" w:rsidRPr="00564F43">
          <w:rPr>
            <w:rStyle w:val="Hyperlink"/>
          </w:rPr>
          <w:t>3.4</w:t>
        </w:r>
        <w:r w:rsidR="00D67749">
          <w:rPr>
            <w:spacing w:val="0"/>
            <w:sz w:val="22"/>
            <w:szCs w:val="22"/>
          </w:rPr>
          <w:tab/>
        </w:r>
        <w:r w:rsidR="00D67749" w:rsidRPr="00564F43">
          <w:rPr>
            <w:rStyle w:val="Hyperlink"/>
          </w:rPr>
          <w:t>Step 6: Commercial and procurement</w:t>
        </w:r>
        <w:r w:rsidR="00D67749">
          <w:rPr>
            <w:webHidden/>
          </w:rPr>
          <w:tab/>
        </w:r>
        <w:r w:rsidR="00D67749">
          <w:rPr>
            <w:webHidden/>
          </w:rPr>
          <w:fldChar w:fldCharType="begin"/>
        </w:r>
        <w:r w:rsidR="00D67749">
          <w:rPr>
            <w:webHidden/>
          </w:rPr>
          <w:instrText xml:space="preserve"> PAGEREF _Toc121415333 \h </w:instrText>
        </w:r>
        <w:r w:rsidR="00D67749">
          <w:rPr>
            <w:webHidden/>
          </w:rPr>
        </w:r>
        <w:r w:rsidR="00D67749">
          <w:rPr>
            <w:webHidden/>
          </w:rPr>
          <w:fldChar w:fldCharType="separate"/>
        </w:r>
        <w:r w:rsidR="00295E8F">
          <w:rPr>
            <w:webHidden/>
          </w:rPr>
          <w:t>57</w:t>
        </w:r>
        <w:r w:rsidR="00D67749">
          <w:rPr>
            <w:webHidden/>
          </w:rPr>
          <w:fldChar w:fldCharType="end"/>
        </w:r>
      </w:hyperlink>
    </w:p>
    <w:p w14:paraId="24B0374C" w14:textId="79E57A66" w:rsidR="00D67749" w:rsidRDefault="00BB3C68">
      <w:pPr>
        <w:pStyle w:val="TOC3"/>
        <w:rPr>
          <w:spacing w:val="0"/>
          <w:sz w:val="22"/>
          <w:szCs w:val="22"/>
        </w:rPr>
      </w:pPr>
      <w:hyperlink w:anchor="_Toc121415334" w:history="1">
        <w:r w:rsidR="00D67749" w:rsidRPr="00564F43">
          <w:rPr>
            <w:rStyle w:val="Hyperlink"/>
          </w:rPr>
          <w:t>3.4.1</w:t>
        </w:r>
        <w:r w:rsidR="00D67749">
          <w:rPr>
            <w:spacing w:val="0"/>
            <w:sz w:val="22"/>
            <w:szCs w:val="22"/>
          </w:rPr>
          <w:tab/>
        </w:r>
        <w:r w:rsidR="00D67749" w:rsidRPr="00564F43">
          <w:rPr>
            <w:rStyle w:val="Hyperlink"/>
          </w:rPr>
          <w:t>Procurement strategy</w:t>
        </w:r>
        <w:r w:rsidR="00D67749">
          <w:rPr>
            <w:webHidden/>
          </w:rPr>
          <w:tab/>
        </w:r>
        <w:r w:rsidR="00D67749">
          <w:rPr>
            <w:webHidden/>
          </w:rPr>
          <w:fldChar w:fldCharType="begin"/>
        </w:r>
        <w:r w:rsidR="00D67749">
          <w:rPr>
            <w:webHidden/>
          </w:rPr>
          <w:instrText xml:space="preserve"> PAGEREF _Toc121415334 \h </w:instrText>
        </w:r>
        <w:r w:rsidR="00D67749">
          <w:rPr>
            <w:webHidden/>
          </w:rPr>
        </w:r>
        <w:r w:rsidR="00D67749">
          <w:rPr>
            <w:webHidden/>
          </w:rPr>
          <w:fldChar w:fldCharType="separate"/>
        </w:r>
        <w:r w:rsidR="00295E8F">
          <w:rPr>
            <w:webHidden/>
          </w:rPr>
          <w:t>57</w:t>
        </w:r>
        <w:r w:rsidR="00D67749">
          <w:rPr>
            <w:webHidden/>
          </w:rPr>
          <w:fldChar w:fldCharType="end"/>
        </w:r>
      </w:hyperlink>
    </w:p>
    <w:p w14:paraId="174623D9" w14:textId="4CAE8D84" w:rsidR="00D67749" w:rsidRDefault="00BB3C68">
      <w:pPr>
        <w:pStyle w:val="TOC2"/>
        <w:rPr>
          <w:spacing w:val="0"/>
          <w:sz w:val="22"/>
          <w:szCs w:val="22"/>
        </w:rPr>
      </w:pPr>
      <w:hyperlink w:anchor="_Toc121415335" w:history="1">
        <w:r w:rsidR="00D67749" w:rsidRPr="00564F43">
          <w:rPr>
            <w:rStyle w:val="Hyperlink"/>
          </w:rPr>
          <w:t>3.5</w:t>
        </w:r>
        <w:r w:rsidR="00D67749">
          <w:rPr>
            <w:spacing w:val="0"/>
            <w:sz w:val="22"/>
            <w:szCs w:val="22"/>
          </w:rPr>
          <w:tab/>
        </w:r>
        <w:r w:rsidR="00D67749" w:rsidRPr="00564F43">
          <w:rPr>
            <w:rStyle w:val="Hyperlink"/>
          </w:rPr>
          <w:t>Step 7: Planning, environment, land, heritage and culture</w:t>
        </w:r>
        <w:r w:rsidR="00D67749">
          <w:rPr>
            <w:webHidden/>
          </w:rPr>
          <w:tab/>
        </w:r>
        <w:r w:rsidR="00D67749">
          <w:rPr>
            <w:webHidden/>
          </w:rPr>
          <w:fldChar w:fldCharType="begin"/>
        </w:r>
        <w:r w:rsidR="00D67749">
          <w:rPr>
            <w:webHidden/>
          </w:rPr>
          <w:instrText xml:space="preserve"> PAGEREF _Toc121415335 \h </w:instrText>
        </w:r>
        <w:r w:rsidR="00D67749">
          <w:rPr>
            <w:webHidden/>
          </w:rPr>
        </w:r>
        <w:r w:rsidR="00D67749">
          <w:rPr>
            <w:webHidden/>
          </w:rPr>
          <w:fldChar w:fldCharType="separate"/>
        </w:r>
        <w:r w:rsidR="00295E8F">
          <w:rPr>
            <w:webHidden/>
          </w:rPr>
          <w:t>63</w:t>
        </w:r>
        <w:r w:rsidR="00D67749">
          <w:rPr>
            <w:webHidden/>
          </w:rPr>
          <w:fldChar w:fldCharType="end"/>
        </w:r>
      </w:hyperlink>
    </w:p>
    <w:p w14:paraId="78D9E903" w14:textId="16CECFDE" w:rsidR="00D67749" w:rsidRDefault="00BB3C68">
      <w:pPr>
        <w:pStyle w:val="TOC2"/>
        <w:rPr>
          <w:spacing w:val="0"/>
          <w:sz w:val="22"/>
          <w:szCs w:val="22"/>
        </w:rPr>
      </w:pPr>
      <w:hyperlink w:anchor="_Toc121415336" w:history="1">
        <w:r w:rsidR="00D67749" w:rsidRPr="00564F43">
          <w:rPr>
            <w:rStyle w:val="Hyperlink"/>
          </w:rPr>
          <w:t>3.6</w:t>
        </w:r>
        <w:r w:rsidR="00D67749">
          <w:rPr>
            <w:spacing w:val="0"/>
            <w:sz w:val="22"/>
            <w:szCs w:val="22"/>
          </w:rPr>
          <w:tab/>
        </w:r>
        <w:r w:rsidR="00D67749" w:rsidRPr="00564F43">
          <w:rPr>
            <w:rStyle w:val="Hyperlink"/>
          </w:rPr>
          <w:t>Step 8: Project schedule</w:t>
        </w:r>
        <w:r w:rsidR="00D67749">
          <w:rPr>
            <w:webHidden/>
          </w:rPr>
          <w:tab/>
        </w:r>
        <w:r w:rsidR="00D67749">
          <w:rPr>
            <w:webHidden/>
          </w:rPr>
          <w:fldChar w:fldCharType="begin"/>
        </w:r>
        <w:r w:rsidR="00D67749">
          <w:rPr>
            <w:webHidden/>
          </w:rPr>
          <w:instrText xml:space="preserve"> PAGEREF _Toc121415336 \h </w:instrText>
        </w:r>
        <w:r w:rsidR="00D67749">
          <w:rPr>
            <w:webHidden/>
          </w:rPr>
        </w:r>
        <w:r w:rsidR="00D67749">
          <w:rPr>
            <w:webHidden/>
          </w:rPr>
          <w:fldChar w:fldCharType="separate"/>
        </w:r>
        <w:r w:rsidR="00295E8F">
          <w:rPr>
            <w:webHidden/>
          </w:rPr>
          <w:t>64</w:t>
        </w:r>
        <w:r w:rsidR="00D67749">
          <w:rPr>
            <w:webHidden/>
          </w:rPr>
          <w:fldChar w:fldCharType="end"/>
        </w:r>
      </w:hyperlink>
    </w:p>
    <w:p w14:paraId="5ACD063C" w14:textId="54808B0A" w:rsidR="00D67749" w:rsidRDefault="00BB3C68">
      <w:pPr>
        <w:pStyle w:val="TOC2"/>
        <w:rPr>
          <w:spacing w:val="0"/>
          <w:sz w:val="22"/>
          <w:szCs w:val="22"/>
        </w:rPr>
      </w:pPr>
      <w:hyperlink w:anchor="_Toc121415337" w:history="1">
        <w:r w:rsidR="00D67749" w:rsidRPr="00564F43">
          <w:rPr>
            <w:rStyle w:val="Hyperlink"/>
          </w:rPr>
          <w:t>3.7</w:t>
        </w:r>
        <w:r w:rsidR="00D67749">
          <w:rPr>
            <w:spacing w:val="0"/>
            <w:sz w:val="22"/>
            <w:szCs w:val="22"/>
          </w:rPr>
          <w:tab/>
        </w:r>
        <w:r w:rsidR="00D67749" w:rsidRPr="00564F43">
          <w:rPr>
            <w:rStyle w:val="Hyperlink"/>
          </w:rPr>
          <w:t>Step 9: Project budget</w:t>
        </w:r>
        <w:r w:rsidR="00D67749">
          <w:rPr>
            <w:webHidden/>
          </w:rPr>
          <w:tab/>
        </w:r>
        <w:r w:rsidR="00D67749">
          <w:rPr>
            <w:webHidden/>
          </w:rPr>
          <w:fldChar w:fldCharType="begin"/>
        </w:r>
        <w:r w:rsidR="00D67749">
          <w:rPr>
            <w:webHidden/>
          </w:rPr>
          <w:instrText xml:space="preserve"> PAGEREF _Toc121415337 \h </w:instrText>
        </w:r>
        <w:r w:rsidR="00D67749">
          <w:rPr>
            <w:webHidden/>
          </w:rPr>
        </w:r>
        <w:r w:rsidR="00D67749">
          <w:rPr>
            <w:webHidden/>
          </w:rPr>
          <w:fldChar w:fldCharType="separate"/>
        </w:r>
        <w:r w:rsidR="00295E8F">
          <w:rPr>
            <w:webHidden/>
          </w:rPr>
          <w:t>64</w:t>
        </w:r>
        <w:r w:rsidR="00D67749">
          <w:rPr>
            <w:webHidden/>
          </w:rPr>
          <w:fldChar w:fldCharType="end"/>
        </w:r>
      </w:hyperlink>
    </w:p>
    <w:p w14:paraId="0675063D" w14:textId="06705C1D" w:rsidR="00D67749" w:rsidRDefault="00BB3C68">
      <w:pPr>
        <w:pStyle w:val="TOC3"/>
        <w:rPr>
          <w:spacing w:val="0"/>
          <w:sz w:val="22"/>
          <w:szCs w:val="22"/>
        </w:rPr>
      </w:pPr>
      <w:hyperlink w:anchor="_Toc121415338" w:history="1">
        <w:r w:rsidR="00D67749" w:rsidRPr="00564F43">
          <w:rPr>
            <w:rStyle w:val="Hyperlink"/>
          </w:rPr>
          <w:t>3.7.1</w:t>
        </w:r>
        <w:r w:rsidR="00D67749">
          <w:rPr>
            <w:spacing w:val="0"/>
            <w:sz w:val="22"/>
            <w:szCs w:val="22"/>
          </w:rPr>
          <w:tab/>
        </w:r>
        <w:r w:rsidR="00D67749" w:rsidRPr="00564F43">
          <w:rPr>
            <w:rStyle w:val="Hyperlink"/>
          </w:rPr>
          <w:t>Project Owner costs</w:t>
        </w:r>
        <w:r w:rsidR="00D67749">
          <w:rPr>
            <w:webHidden/>
          </w:rPr>
          <w:tab/>
        </w:r>
        <w:r w:rsidR="00D67749">
          <w:rPr>
            <w:webHidden/>
          </w:rPr>
          <w:fldChar w:fldCharType="begin"/>
        </w:r>
        <w:r w:rsidR="00D67749">
          <w:rPr>
            <w:webHidden/>
          </w:rPr>
          <w:instrText xml:space="preserve"> PAGEREF _Toc121415338 \h </w:instrText>
        </w:r>
        <w:r w:rsidR="00D67749">
          <w:rPr>
            <w:webHidden/>
          </w:rPr>
        </w:r>
        <w:r w:rsidR="00D67749">
          <w:rPr>
            <w:webHidden/>
          </w:rPr>
          <w:fldChar w:fldCharType="separate"/>
        </w:r>
        <w:r w:rsidR="00295E8F">
          <w:rPr>
            <w:webHidden/>
          </w:rPr>
          <w:t>66</w:t>
        </w:r>
        <w:r w:rsidR="00D67749">
          <w:rPr>
            <w:webHidden/>
          </w:rPr>
          <w:fldChar w:fldCharType="end"/>
        </w:r>
      </w:hyperlink>
    </w:p>
    <w:p w14:paraId="527D0EDA" w14:textId="1EBA964C" w:rsidR="00D67749" w:rsidRDefault="00BB3C68">
      <w:pPr>
        <w:pStyle w:val="TOC3"/>
        <w:rPr>
          <w:spacing w:val="0"/>
          <w:sz w:val="22"/>
          <w:szCs w:val="22"/>
        </w:rPr>
      </w:pPr>
      <w:hyperlink w:anchor="_Toc121415339" w:history="1">
        <w:r w:rsidR="00D67749" w:rsidRPr="00564F43">
          <w:rPr>
            <w:rStyle w:val="Hyperlink"/>
          </w:rPr>
          <w:t>3.7.2</w:t>
        </w:r>
        <w:r w:rsidR="00D67749">
          <w:rPr>
            <w:spacing w:val="0"/>
            <w:sz w:val="22"/>
            <w:szCs w:val="22"/>
          </w:rPr>
          <w:tab/>
        </w:r>
        <w:r w:rsidR="00D67749" w:rsidRPr="00564F43">
          <w:rPr>
            <w:rStyle w:val="Hyperlink"/>
          </w:rPr>
          <w:t>Cost Category Definitions</w:t>
        </w:r>
        <w:r w:rsidR="00D67749">
          <w:rPr>
            <w:webHidden/>
          </w:rPr>
          <w:tab/>
        </w:r>
        <w:r w:rsidR="00D67749">
          <w:rPr>
            <w:webHidden/>
          </w:rPr>
          <w:fldChar w:fldCharType="begin"/>
        </w:r>
        <w:r w:rsidR="00D67749">
          <w:rPr>
            <w:webHidden/>
          </w:rPr>
          <w:instrText xml:space="preserve"> PAGEREF _Toc121415339 \h </w:instrText>
        </w:r>
        <w:r w:rsidR="00D67749">
          <w:rPr>
            <w:webHidden/>
          </w:rPr>
        </w:r>
        <w:r w:rsidR="00D67749">
          <w:rPr>
            <w:webHidden/>
          </w:rPr>
          <w:fldChar w:fldCharType="separate"/>
        </w:r>
        <w:r w:rsidR="00295E8F">
          <w:rPr>
            <w:webHidden/>
          </w:rPr>
          <w:t>66</w:t>
        </w:r>
        <w:r w:rsidR="00D67749">
          <w:rPr>
            <w:webHidden/>
          </w:rPr>
          <w:fldChar w:fldCharType="end"/>
        </w:r>
      </w:hyperlink>
    </w:p>
    <w:p w14:paraId="22AF9FFB" w14:textId="550495CC" w:rsidR="00D67749" w:rsidRDefault="00BB3C68">
      <w:pPr>
        <w:pStyle w:val="TOC3"/>
        <w:rPr>
          <w:spacing w:val="0"/>
          <w:sz w:val="22"/>
          <w:szCs w:val="22"/>
        </w:rPr>
      </w:pPr>
      <w:hyperlink w:anchor="_Toc121415340" w:history="1">
        <w:r w:rsidR="00D67749" w:rsidRPr="00564F43">
          <w:rPr>
            <w:rStyle w:val="Hyperlink"/>
          </w:rPr>
          <w:t>3.7.3</w:t>
        </w:r>
        <w:r w:rsidR="00D67749">
          <w:rPr>
            <w:spacing w:val="0"/>
            <w:sz w:val="22"/>
            <w:szCs w:val="22"/>
          </w:rPr>
          <w:tab/>
        </w:r>
        <w:r w:rsidR="00D67749" w:rsidRPr="00564F43">
          <w:rPr>
            <w:rStyle w:val="Hyperlink"/>
          </w:rPr>
          <w:t>Continuous improvement of project owner costs</w:t>
        </w:r>
        <w:r w:rsidR="00D67749">
          <w:rPr>
            <w:webHidden/>
          </w:rPr>
          <w:tab/>
        </w:r>
        <w:r w:rsidR="00D67749">
          <w:rPr>
            <w:webHidden/>
          </w:rPr>
          <w:fldChar w:fldCharType="begin"/>
        </w:r>
        <w:r w:rsidR="00D67749">
          <w:rPr>
            <w:webHidden/>
          </w:rPr>
          <w:instrText xml:space="preserve"> PAGEREF _Toc121415340 \h </w:instrText>
        </w:r>
        <w:r w:rsidR="00D67749">
          <w:rPr>
            <w:webHidden/>
          </w:rPr>
        </w:r>
        <w:r w:rsidR="00D67749">
          <w:rPr>
            <w:webHidden/>
          </w:rPr>
          <w:fldChar w:fldCharType="separate"/>
        </w:r>
        <w:r w:rsidR="00295E8F">
          <w:rPr>
            <w:webHidden/>
          </w:rPr>
          <w:t>67</w:t>
        </w:r>
        <w:r w:rsidR="00D67749">
          <w:rPr>
            <w:webHidden/>
          </w:rPr>
          <w:fldChar w:fldCharType="end"/>
        </w:r>
      </w:hyperlink>
    </w:p>
    <w:p w14:paraId="46993168" w14:textId="39B814D9" w:rsidR="00D67749" w:rsidRDefault="00BB3C68">
      <w:pPr>
        <w:pStyle w:val="TOC3"/>
        <w:rPr>
          <w:spacing w:val="0"/>
          <w:sz w:val="22"/>
          <w:szCs w:val="22"/>
        </w:rPr>
      </w:pPr>
      <w:hyperlink w:anchor="_Toc121415341" w:history="1">
        <w:r w:rsidR="00D67749" w:rsidRPr="00564F43">
          <w:rPr>
            <w:rStyle w:val="Hyperlink"/>
          </w:rPr>
          <w:t>3.7.4</w:t>
        </w:r>
        <w:r w:rsidR="00D67749">
          <w:rPr>
            <w:spacing w:val="0"/>
            <w:sz w:val="22"/>
            <w:szCs w:val="22"/>
          </w:rPr>
          <w:tab/>
        </w:r>
        <w:r w:rsidR="00D67749" w:rsidRPr="00564F43">
          <w:rPr>
            <w:rStyle w:val="Hyperlink"/>
          </w:rPr>
          <w:t>Commonwealth funding</w:t>
        </w:r>
        <w:r w:rsidR="00D67749">
          <w:rPr>
            <w:webHidden/>
          </w:rPr>
          <w:tab/>
        </w:r>
        <w:r w:rsidR="00D67749">
          <w:rPr>
            <w:webHidden/>
          </w:rPr>
          <w:fldChar w:fldCharType="begin"/>
        </w:r>
        <w:r w:rsidR="00D67749">
          <w:rPr>
            <w:webHidden/>
          </w:rPr>
          <w:instrText xml:space="preserve"> PAGEREF _Toc121415341 \h </w:instrText>
        </w:r>
        <w:r w:rsidR="00D67749">
          <w:rPr>
            <w:webHidden/>
          </w:rPr>
        </w:r>
        <w:r w:rsidR="00D67749">
          <w:rPr>
            <w:webHidden/>
          </w:rPr>
          <w:fldChar w:fldCharType="separate"/>
        </w:r>
        <w:r w:rsidR="00295E8F">
          <w:rPr>
            <w:webHidden/>
          </w:rPr>
          <w:t>67</w:t>
        </w:r>
        <w:r w:rsidR="00D67749">
          <w:rPr>
            <w:webHidden/>
          </w:rPr>
          <w:fldChar w:fldCharType="end"/>
        </w:r>
      </w:hyperlink>
    </w:p>
    <w:p w14:paraId="7E0938B8" w14:textId="577D5936" w:rsidR="00D67749" w:rsidRDefault="00BB3C68">
      <w:pPr>
        <w:pStyle w:val="TOC3"/>
        <w:rPr>
          <w:spacing w:val="0"/>
          <w:sz w:val="22"/>
          <w:szCs w:val="22"/>
        </w:rPr>
      </w:pPr>
      <w:hyperlink w:anchor="_Toc121415342" w:history="1">
        <w:r w:rsidR="00D67749" w:rsidRPr="00564F43">
          <w:rPr>
            <w:rStyle w:val="Hyperlink"/>
          </w:rPr>
          <w:t>3.7.5</w:t>
        </w:r>
        <w:r w:rsidR="00D67749">
          <w:rPr>
            <w:spacing w:val="0"/>
            <w:sz w:val="22"/>
            <w:szCs w:val="22"/>
          </w:rPr>
          <w:tab/>
        </w:r>
        <w:r w:rsidR="00D67749" w:rsidRPr="00564F43">
          <w:rPr>
            <w:rStyle w:val="Hyperlink"/>
          </w:rPr>
          <w:t>Funding and capitalisation of expenditure</w:t>
        </w:r>
        <w:r w:rsidR="00D67749">
          <w:rPr>
            <w:webHidden/>
          </w:rPr>
          <w:tab/>
        </w:r>
        <w:r w:rsidR="00D67749">
          <w:rPr>
            <w:webHidden/>
          </w:rPr>
          <w:fldChar w:fldCharType="begin"/>
        </w:r>
        <w:r w:rsidR="00D67749">
          <w:rPr>
            <w:webHidden/>
          </w:rPr>
          <w:instrText xml:space="preserve"> PAGEREF _Toc121415342 \h </w:instrText>
        </w:r>
        <w:r w:rsidR="00D67749">
          <w:rPr>
            <w:webHidden/>
          </w:rPr>
        </w:r>
        <w:r w:rsidR="00D67749">
          <w:rPr>
            <w:webHidden/>
          </w:rPr>
          <w:fldChar w:fldCharType="separate"/>
        </w:r>
        <w:r w:rsidR="00295E8F">
          <w:rPr>
            <w:webHidden/>
          </w:rPr>
          <w:t>68</w:t>
        </w:r>
        <w:r w:rsidR="00D67749">
          <w:rPr>
            <w:webHidden/>
          </w:rPr>
          <w:fldChar w:fldCharType="end"/>
        </w:r>
      </w:hyperlink>
    </w:p>
    <w:p w14:paraId="42D1F829" w14:textId="436C1D75" w:rsidR="00D67749" w:rsidRDefault="00BB3C68">
      <w:pPr>
        <w:pStyle w:val="TOC3"/>
        <w:rPr>
          <w:spacing w:val="0"/>
          <w:sz w:val="22"/>
          <w:szCs w:val="22"/>
        </w:rPr>
      </w:pPr>
      <w:hyperlink w:anchor="_Toc121415343" w:history="1">
        <w:r w:rsidR="00D67749" w:rsidRPr="00564F43">
          <w:rPr>
            <w:rStyle w:val="Hyperlink"/>
          </w:rPr>
          <w:t>3.7.6</w:t>
        </w:r>
        <w:r w:rsidR="00D67749">
          <w:rPr>
            <w:spacing w:val="0"/>
            <w:sz w:val="22"/>
            <w:szCs w:val="22"/>
          </w:rPr>
          <w:tab/>
        </w:r>
        <w:r w:rsidR="00D67749" w:rsidRPr="00564F43">
          <w:rPr>
            <w:rStyle w:val="Hyperlink"/>
          </w:rPr>
          <w:t>Funding sources</w:t>
        </w:r>
        <w:r w:rsidR="00DE0110">
          <w:rPr>
            <w:rStyle w:val="Hyperlink"/>
          </w:rPr>
          <w:t xml:space="preserve"> for the project solution</w:t>
        </w:r>
        <w:r w:rsidR="00D67749">
          <w:rPr>
            <w:webHidden/>
          </w:rPr>
          <w:tab/>
        </w:r>
        <w:r w:rsidR="00D67749">
          <w:rPr>
            <w:webHidden/>
          </w:rPr>
          <w:fldChar w:fldCharType="begin"/>
        </w:r>
        <w:r w:rsidR="00D67749">
          <w:rPr>
            <w:webHidden/>
          </w:rPr>
          <w:instrText xml:space="preserve"> PAGEREF _Toc121415343 \h </w:instrText>
        </w:r>
        <w:r w:rsidR="00D67749">
          <w:rPr>
            <w:webHidden/>
          </w:rPr>
        </w:r>
        <w:r w:rsidR="00D67749">
          <w:rPr>
            <w:webHidden/>
          </w:rPr>
          <w:fldChar w:fldCharType="separate"/>
        </w:r>
        <w:r w:rsidR="00295E8F">
          <w:rPr>
            <w:webHidden/>
          </w:rPr>
          <w:t>68</w:t>
        </w:r>
        <w:r w:rsidR="00D67749">
          <w:rPr>
            <w:webHidden/>
          </w:rPr>
          <w:fldChar w:fldCharType="end"/>
        </w:r>
      </w:hyperlink>
    </w:p>
    <w:p w14:paraId="0C2A068D" w14:textId="0B67B03D" w:rsidR="00D67749" w:rsidRDefault="00BB3C68">
      <w:pPr>
        <w:pStyle w:val="TOC2"/>
        <w:rPr>
          <w:spacing w:val="0"/>
          <w:sz w:val="22"/>
          <w:szCs w:val="22"/>
        </w:rPr>
      </w:pPr>
      <w:hyperlink w:anchor="_Toc121415345" w:history="1">
        <w:r w:rsidR="00D67749" w:rsidRPr="00564F43">
          <w:rPr>
            <w:rStyle w:val="Hyperlink"/>
          </w:rPr>
          <w:t>3.8</w:t>
        </w:r>
        <w:r w:rsidR="00D67749">
          <w:rPr>
            <w:spacing w:val="0"/>
            <w:sz w:val="22"/>
            <w:szCs w:val="22"/>
          </w:rPr>
          <w:tab/>
        </w:r>
        <w:r w:rsidR="00D67749" w:rsidRPr="00564F43">
          <w:rPr>
            <w:rStyle w:val="Hyperlink"/>
          </w:rPr>
          <w:t>Step 10: Management</w:t>
        </w:r>
        <w:r w:rsidR="00D67749">
          <w:rPr>
            <w:webHidden/>
          </w:rPr>
          <w:tab/>
        </w:r>
        <w:r w:rsidR="00D67749">
          <w:rPr>
            <w:webHidden/>
          </w:rPr>
          <w:fldChar w:fldCharType="begin"/>
        </w:r>
        <w:r w:rsidR="00D67749">
          <w:rPr>
            <w:webHidden/>
          </w:rPr>
          <w:instrText xml:space="preserve"> PAGEREF _Toc121415345 \h </w:instrText>
        </w:r>
        <w:r w:rsidR="00D67749">
          <w:rPr>
            <w:webHidden/>
          </w:rPr>
        </w:r>
        <w:r w:rsidR="00D67749">
          <w:rPr>
            <w:webHidden/>
          </w:rPr>
          <w:fldChar w:fldCharType="separate"/>
        </w:r>
        <w:r w:rsidR="00295E8F">
          <w:rPr>
            <w:webHidden/>
          </w:rPr>
          <w:t>73</w:t>
        </w:r>
        <w:r w:rsidR="00D67749">
          <w:rPr>
            <w:webHidden/>
          </w:rPr>
          <w:fldChar w:fldCharType="end"/>
        </w:r>
      </w:hyperlink>
    </w:p>
    <w:p w14:paraId="434A17E7" w14:textId="029F3B26" w:rsidR="00D67749" w:rsidRDefault="00BB3C68">
      <w:pPr>
        <w:pStyle w:val="TOC3"/>
        <w:rPr>
          <w:spacing w:val="0"/>
          <w:sz w:val="22"/>
          <w:szCs w:val="22"/>
        </w:rPr>
      </w:pPr>
      <w:hyperlink w:anchor="_Toc121415346" w:history="1">
        <w:r w:rsidR="00D67749" w:rsidRPr="00564F43">
          <w:rPr>
            <w:rStyle w:val="Hyperlink"/>
          </w:rPr>
          <w:t>3.8.1</w:t>
        </w:r>
        <w:r w:rsidR="00D67749">
          <w:rPr>
            <w:spacing w:val="0"/>
            <w:sz w:val="22"/>
            <w:szCs w:val="22"/>
          </w:rPr>
          <w:tab/>
        </w:r>
        <w:r w:rsidR="00D67749" w:rsidRPr="00564F43">
          <w:rPr>
            <w:rStyle w:val="Hyperlink"/>
          </w:rPr>
          <w:t>Governance</w:t>
        </w:r>
        <w:r w:rsidR="00D67749">
          <w:rPr>
            <w:webHidden/>
          </w:rPr>
          <w:tab/>
        </w:r>
        <w:r w:rsidR="00D67749">
          <w:rPr>
            <w:webHidden/>
          </w:rPr>
          <w:fldChar w:fldCharType="begin"/>
        </w:r>
        <w:r w:rsidR="00D67749">
          <w:rPr>
            <w:webHidden/>
          </w:rPr>
          <w:instrText xml:space="preserve"> PAGEREF _Toc121415346 \h </w:instrText>
        </w:r>
        <w:r w:rsidR="00D67749">
          <w:rPr>
            <w:webHidden/>
          </w:rPr>
        </w:r>
        <w:r w:rsidR="00D67749">
          <w:rPr>
            <w:webHidden/>
          </w:rPr>
          <w:fldChar w:fldCharType="separate"/>
        </w:r>
        <w:r w:rsidR="00295E8F">
          <w:rPr>
            <w:webHidden/>
          </w:rPr>
          <w:t>73</w:t>
        </w:r>
        <w:r w:rsidR="00D67749">
          <w:rPr>
            <w:webHidden/>
          </w:rPr>
          <w:fldChar w:fldCharType="end"/>
        </w:r>
      </w:hyperlink>
    </w:p>
    <w:p w14:paraId="0C83DA1A" w14:textId="4CDD30E7" w:rsidR="00D67749" w:rsidRDefault="00BB3C68">
      <w:pPr>
        <w:pStyle w:val="TOC3"/>
        <w:rPr>
          <w:spacing w:val="0"/>
          <w:sz w:val="22"/>
          <w:szCs w:val="22"/>
        </w:rPr>
      </w:pPr>
      <w:hyperlink w:anchor="_Toc121415347" w:history="1">
        <w:r w:rsidR="00D67749" w:rsidRPr="00564F43">
          <w:rPr>
            <w:rStyle w:val="Hyperlink"/>
          </w:rPr>
          <w:t>3.8.2</w:t>
        </w:r>
        <w:r w:rsidR="00D67749">
          <w:rPr>
            <w:spacing w:val="0"/>
            <w:sz w:val="22"/>
            <w:szCs w:val="22"/>
          </w:rPr>
          <w:tab/>
        </w:r>
        <w:r w:rsidR="00D67749" w:rsidRPr="00564F43">
          <w:rPr>
            <w:rStyle w:val="Hyperlink"/>
          </w:rPr>
          <w:t>Stakeholder engagement and communications plan</w:t>
        </w:r>
        <w:r w:rsidR="00D67749">
          <w:rPr>
            <w:webHidden/>
          </w:rPr>
          <w:tab/>
        </w:r>
        <w:r w:rsidR="00D67749">
          <w:rPr>
            <w:webHidden/>
          </w:rPr>
          <w:fldChar w:fldCharType="begin"/>
        </w:r>
        <w:r w:rsidR="00D67749">
          <w:rPr>
            <w:webHidden/>
          </w:rPr>
          <w:instrText xml:space="preserve"> PAGEREF _Toc121415347 \h </w:instrText>
        </w:r>
        <w:r w:rsidR="00D67749">
          <w:rPr>
            <w:webHidden/>
          </w:rPr>
        </w:r>
        <w:r w:rsidR="00D67749">
          <w:rPr>
            <w:webHidden/>
          </w:rPr>
          <w:fldChar w:fldCharType="separate"/>
        </w:r>
        <w:r w:rsidR="00295E8F">
          <w:rPr>
            <w:webHidden/>
          </w:rPr>
          <w:t>74</w:t>
        </w:r>
        <w:r w:rsidR="00D67749">
          <w:rPr>
            <w:webHidden/>
          </w:rPr>
          <w:fldChar w:fldCharType="end"/>
        </w:r>
      </w:hyperlink>
    </w:p>
    <w:p w14:paraId="3952E17A" w14:textId="7BD6BE89" w:rsidR="00D67749" w:rsidRDefault="00BB3C68">
      <w:pPr>
        <w:pStyle w:val="TOC3"/>
        <w:rPr>
          <w:spacing w:val="0"/>
          <w:sz w:val="22"/>
          <w:szCs w:val="22"/>
        </w:rPr>
      </w:pPr>
      <w:hyperlink w:anchor="_Toc121415348" w:history="1">
        <w:r w:rsidR="00D67749" w:rsidRPr="00564F43">
          <w:rPr>
            <w:rStyle w:val="Hyperlink"/>
          </w:rPr>
          <w:t>3.8.3</w:t>
        </w:r>
        <w:r w:rsidR="00D67749">
          <w:rPr>
            <w:spacing w:val="0"/>
            <w:sz w:val="22"/>
            <w:szCs w:val="22"/>
          </w:rPr>
          <w:tab/>
        </w:r>
        <w:r w:rsidR="00D67749" w:rsidRPr="00564F43">
          <w:rPr>
            <w:rStyle w:val="Hyperlink"/>
          </w:rPr>
          <w:t>Project management strategy</w:t>
        </w:r>
        <w:r w:rsidR="00D67749">
          <w:rPr>
            <w:webHidden/>
          </w:rPr>
          <w:tab/>
        </w:r>
        <w:r w:rsidR="00D67749">
          <w:rPr>
            <w:webHidden/>
          </w:rPr>
          <w:fldChar w:fldCharType="begin"/>
        </w:r>
        <w:r w:rsidR="00D67749">
          <w:rPr>
            <w:webHidden/>
          </w:rPr>
          <w:instrText xml:space="preserve"> PAGEREF _Toc121415348 \h </w:instrText>
        </w:r>
        <w:r w:rsidR="00D67749">
          <w:rPr>
            <w:webHidden/>
          </w:rPr>
        </w:r>
        <w:r w:rsidR="00D67749">
          <w:rPr>
            <w:webHidden/>
          </w:rPr>
          <w:fldChar w:fldCharType="separate"/>
        </w:r>
        <w:r w:rsidR="00295E8F">
          <w:rPr>
            <w:webHidden/>
          </w:rPr>
          <w:t>77</w:t>
        </w:r>
        <w:r w:rsidR="00D67749">
          <w:rPr>
            <w:webHidden/>
          </w:rPr>
          <w:fldChar w:fldCharType="end"/>
        </w:r>
      </w:hyperlink>
    </w:p>
    <w:p w14:paraId="3BA0CA7B" w14:textId="76FB0A68" w:rsidR="00D67749" w:rsidRDefault="00BB3C68">
      <w:pPr>
        <w:pStyle w:val="TOC3"/>
        <w:rPr>
          <w:spacing w:val="0"/>
          <w:sz w:val="22"/>
          <w:szCs w:val="22"/>
        </w:rPr>
      </w:pPr>
      <w:hyperlink w:anchor="_Toc121415349" w:history="1">
        <w:r w:rsidR="00D67749" w:rsidRPr="00564F43">
          <w:rPr>
            <w:rStyle w:val="Hyperlink"/>
          </w:rPr>
          <w:t>3.8.4</w:t>
        </w:r>
        <w:r w:rsidR="00D67749">
          <w:rPr>
            <w:spacing w:val="0"/>
            <w:sz w:val="22"/>
            <w:szCs w:val="22"/>
          </w:rPr>
          <w:tab/>
        </w:r>
        <w:r w:rsidR="00D67749" w:rsidRPr="00564F43">
          <w:rPr>
            <w:rStyle w:val="Hyperlink"/>
          </w:rPr>
          <w:t>Change management</w:t>
        </w:r>
        <w:r w:rsidR="00D67749">
          <w:rPr>
            <w:webHidden/>
          </w:rPr>
          <w:tab/>
        </w:r>
        <w:r w:rsidR="00D67749">
          <w:rPr>
            <w:webHidden/>
          </w:rPr>
          <w:fldChar w:fldCharType="begin"/>
        </w:r>
        <w:r w:rsidR="00D67749">
          <w:rPr>
            <w:webHidden/>
          </w:rPr>
          <w:instrText xml:space="preserve"> PAGEREF _Toc121415349 \h </w:instrText>
        </w:r>
        <w:r w:rsidR="00D67749">
          <w:rPr>
            <w:webHidden/>
          </w:rPr>
        </w:r>
        <w:r w:rsidR="00D67749">
          <w:rPr>
            <w:webHidden/>
          </w:rPr>
          <w:fldChar w:fldCharType="separate"/>
        </w:r>
        <w:r w:rsidR="00295E8F">
          <w:rPr>
            <w:webHidden/>
          </w:rPr>
          <w:t>78</w:t>
        </w:r>
        <w:r w:rsidR="00D67749">
          <w:rPr>
            <w:webHidden/>
          </w:rPr>
          <w:fldChar w:fldCharType="end"/>
        </w:r>
      </w:hyperlink>
    </w:p>
    <w:p w14:paraId="22849D43" w14:textId="69BC9577" w:rsidR="00D67749" w:rsidRDefault="00BB3C68">
      <w:pPr>
        <w:pStyle w:val="TOC3"/>
        <w:rPr>
          <w:spacing w:val="0"/>
          <w:sz w:val="22"/>
          <w:szCs w:val="22"/>
        </w:rPr>
      </w:pPr>
      <w:hyperlink w:anchor="_Toc121415350" w:history="1">
        <w:r w:rsidR="00D67749" w:rsidRPr="00564F43">
          <w:rPr>
            <w:rStyle w:val="Hyperlink"/>
          </w:rPr>
          <w:t>3.8.5</w:t>
        </w:r>
        <w:r w:rsidR="00D67749">
          <w:rPr>
            <w:spacing w:val="0"/>
            <w:sz w:val="22"/>
            <w:szCs w:val="22"/>
          </w:rPr>
          <w:tab/>
        </w:r>
        <w:r w:rsidR="00D67749" w:rsidRPr="00564F43">
          <w:rPr>
            <w:rStyle w:val="Hyperlink"/>
          </w:rPr>
          <w:t>Performance measures and benefits realisation</w:t>
        </w:r>
        <w:r w:rsidR="00D67749">
          <w:rPr>
            <w:webHidden/>
          </w:rPr>
          <w:tab/>
        </w:r>
        <w:r w:rsidR="00D67749">
          <w:rPr>
            <w:webHidden/>
          </w:rPr>
          <w:fldChar w:fldCharType="begin"/>
        </w:r>
        <w:r w:rsidR="00D67749">
          <w:rPr>
            <w:webHidden/>
          </w:rPr>
          <w:instrText xml:space="preserve"> PAGEREF _Toc121415350 \h </w:instrText>
        </w:r>
        <w:r w:rsidR="00D67749">
          <w:rPr>
            <w:webHidden/>
          </w:rPr>
        </w:r>
        <w:r w:rsidR="00D67749">
          <w:rPr>
            <w:webHidden/>
          </w:rPr>
          <w:fldChar w:fldCharType="separate"/>
        </w:r>
        <w:r w:rsidR="00295E8F">
          <w:rPr>
            <w:webHidden/>
          </w:rPr>
          <w:t>79</w:t>
        </w:r>
        <w:r w:rsidR="00D67749">
          <w:rPr>
            <w:webHidden/>
          </w:rPr>
          <w:fldChar w:fldCharType="end"/>
        </w:r>
      </w:hyperlink>
    </w:p>
    <w:p w14:paraId="5491DF3E" w14:textId="6FF0154D" w:rsidR="00D67749" w:rsidRDefault="00BB3C68">
      <w:pPr>
        <w:pStyle w:val="TOC3"/>
        <w:rPr>
          <w:spacing w:val="0"/>
          <w:sz w:val="22"/>
          <w:szCs w:val="22"/>
        </w:rPr>
      </w:pPr>
      <w:hyperlink w:anchor="_Toc121415351" w:history="1">
        <w:r w:rsidR="00D67749" w:rsidRPr="00564F43">
          <w:rPr>
            <w:rStyle w:val="Hyperlink"/>
          </w:rPr>
          <w:t>3.8.6</w:t>
        </w:r>
        <w:r w:rsidR="00D67749">
          <w:rPr>
            <w:spacing w:val="0"/>
            <w:sz w:val="22"/>
            <w:szCs w:val="22"/>
          </w:rPr>
          <w:tab/>
        </w:r>
        <w:r w:rsidR="00D67749" w:rsidRPr="00564F43">
          <w:rPr>
            <w:rStyle w:val="Hyperlink"/>
          </w:rPr>
          <w:t>Risk management plan</w:t>
        </w:r>
        <w:r w:rsidR="00D67749">
          <w:rPr>
            <w:webHidden/>
          </w:rPr>
          <w:tab/>
        </w:r>
        <w:r w:rsidR="00D67749">
          <w:rPr>
            <w:webHidden/>
          </w:rPr>
          <w:fldChar w:fldCharType="begin"/>
        </w:r>
        <w:r w:rsidR="00D67749">
          <w:rPr>
            <w:webHidden/>
          </w:rPr>
          <w:instrText xml:space="preserve"> PAGEREF _Toc121415351 \h </w:instrText>
        </w:r>
        <w:r w:rsidR="00D67749">
          <w:rPr>
            <w:webHidden/>
          </w:rPr>
        </w:r>
        <w:r w:rsidR="00D67749">
          <w:rPr>
            <w:webHidden/>
          </w:rPr>
          <w:fldChar w:fldCharType="separate"/>
        </w:r>
        <w:r w:rsidR="00295E8F">
          <w:rPr>
            <w:webHidden/>
          </w:rPr>
          <w:t>81</w:t>
        </w:r>
        <w:r w:rsidR="00D67749">
          <w:rPr>
            <w:webHidden/>
          </w:rPr>
          <w:fldChar w:fldCharType="end"/>
        </w:r>
      </w:hyperlink>
    </w:p>
    <w:p w14:paraId="7B2E276F" w14:textId="618A537D" w:rsidR="00D67749" w:rsidRDefault="00BB3C68">
      <w:pPr>
        <w:pStyle w:val="TOC3"/>
        <w:rPr>
          <w:spacing w:val="0"/>
          <w:sz w:val="22"/>
          <w:szCs w:val="22"/>
        </w:rPr>
      </w:pPr>
      <w:hyperlink w:anchor="_Toc121415352" w:history="1">
        <w:r w:rsidR="00D67749" w:rsidRPr="00564F43">
          <w:rPr>
            <w:rStyle w:val="Hyperlink"/>
          </w:rPr>
          <w:t>3.8.7</w:t>
        </w:r>
        <w:r w:rsidR="00D67749">
          <w:rPr>
            <w:spacing w:val="0"/>
            <w:sz w:val="22"/>
            <w:szCs w:val="22"/>
          </w:rPr>
          <w:tab/>
        </w:r>
        <w:r w:rsidR="00D67749" w:rsidRPr="00564F43">
          <w:rPr>
            <w:rStyle w:val="Hyperlink"/>
          </w:rPr>
          <w:t>Exit strategy</w:t>
        </w:r>
        <w:r w:rsidR="00D67749">
          <w:rPr>
            <w:webHidden/>
          </w:rPr>
          <w:tab/>
        </w:r>
        <w:r w:rsidR="00D67749">
          <w:rPr>
            <w:webHidden/>
          </w:rPr>
          <w:fldChar w:fldCharType="begin"/>
        </w:r>
        <w:r w:rsidR="00D67749">
          <w:rPr>
            <w:webHidden/>
          </w:rPr>
          <w:instrText xml:space="preserve"> PAGEREF _Toc121415352 \h </w:instrText>
        </w:r>
        <w:r w:rsidR="00D67749">
          <w:rPr>
            <w:webHidden/>
          </w:rPr>
        </w:r>
        <w:r w:rsidR="00D67749">
          <w:rPr>
            <w:webHidden/>
          </w:rPr>
          <w:fldChar w:fldCharType="separate"/>
        </w:r>
        <w:r w:rsidR="00295E8F">
          <w:rPr>
            <w:webHidden/>
          </w:rPr>
          <w:t>83</w:t>
        </w:r>
        <w:r w:rsidR="00D67749">
          <w:rPr>
            <w:webHidden/>
          </w:rPr>
          <w:fldChar w:fldCharType="end"/>
        </w:r>
      </w:hyperlink>
    </w:p>
    <w:p w14:paraId="257AC80A" w14:textId="4187A63D" w:rsidR="002147A3" w:rsidRPr="002147A3" w:rsidRDefault="00BB3C68" w:rsidP="002147A3">
      <w:pPr>
        <w:pStyle w:val="TOC3"/>
      </w:pPr>
      <w:hyperlink w:anchor="_Toc121415353" w:history="1">
        <w:r w:rsidR="00D67749" w:rsidRPr="00564F43">
          <w:rPr>
            <w:rStyle w:val="Hyperlink"/>
          </w:rPr>
          <w:t>3.8.8</w:t>
        </w:r>
        <w:r w:rsidR="00D67749">
          <w:rPr>
            <w:spacing w:val="0"/>
            <w:sz w:val="22"/>
            <w:szCs w:val="22"/>
          </w:rPr>
          <w:tab/>
        </w:r>
        <w:r w:rsidR="00D67749" w:rsidRPr="00564F43">
          <w:rPr>
            <w:rStyle w:val="Hyperlink"/>
          </w:rPr>
          <w:t>Readiness and next steps</w:t>
        </w:r>
        <w:r w:rsidR="00D67749">
          <w:rPr>
            <w:webHidden/>
          </w:rPr>
          <w:tab/>
        </w:r>
        <w:r w:rsidR="00D67749">
          <w:rPr>
            <w:webHidden/>
          </w:rPr>
          <w:fldChar w:fldCharType="begin"/>
        </w:r>
        <w:r w:rsidR="00D67749">
          <w:rPr>
            <w:webHidden/>
          </w:rPr>
          <w:instrText xml:space="preserve"> PAGEREF _Toc121415353 \h </w:instrText>
        </w:r>
        <w:r w:rsidR="00D67749">
          <w:rPr>
            <w:webHidden/>
          </w:rPr>
        </w:r>
        <w:r w:rsidR="00D67749">
          <w:rPr>
            <w:webHidden/>
          </w:rPr>
          <w:fldChar w:fldCharType="separate"/>
        </w:r>
        <w:r w:rsidR="00295E8F">
          <w:rPr>
            <w:webHidden/>
          </w:rPr>
          <w:t>83</w:t>
        </w:r>
        <w:r w:rsidR="00D67749">
          <w:rPr>
            <w:webHidden/>
          </w:rPr>
          <w:fldChar w:fldCharType="end"/>
        </w:r>
      </w:hyperlink>
    </w:p>
    <w:bookmarkStart w:id="0" w:name="_Hlk122691491"/>
    <w:p w14:paraId="3DCA87DC" w14:textId="3B539C1F" w:rsidR="00D67749" w:rsidRDefault="007C2A63">
      <w:pPr>
        <w:pStyle w:val="TOC3"/>
        <w:rPr>
          <w:spacing w:val="0"/>
          <w:sz w:val="22"/>
          <w:szCs w:val="22"/>
        </w:rPr>
      </w:pPr>
      <w:r>
        <w:fldChar w:fldCharType="begin"/>
      </w:r>
      <w:r>
        <w:instrText xml:space="preserve"> HYPERLINK \l "_Toc121415354" </w:instrText>
      </w:r>
      <w:r>
        <w:fldChar w:fldCharType="separate"/>
      </w:r>
      <w:r w:rsidR="00D67749" w:rsidRPr="00564F43">
        <w:rPr>
          <w:rStyle w:val="Hyperlink"/>
        </w:rPr>
        <w:t>3.8.9</w:t>
      </w:r>
      <w:r w:rsidR="00D67749">
        <w:rPr>
          <w:spacing w:val="0"/>
          <w:sz w:val="22"/>
          <w:szCs w:val="22"/>
        </w:rPr>
        <w:tab/>
      </w:r>
      <w:r w:rsidR="002147A3" w:rsidRPr="00DE0110">
        <w:rPr>
          <w:rStyle w:val="Hyperlink"/>
        </w:rPr>
        <w:t>Guideline departures</w:t>
      </w:r>
      <w:r w:rsidR="00D67749">
        <w:rPr>
          <w:webHidden/>
        </w:rPr>
        <w:tab/>
      </w:r>
      <w:r w:rsidR="00D67749">
        <w:rPr>
          <w:webHidden/>
        </w:rPr>
        <w:fldChar w:fldCharType="begin"/>
      </w:r>
      <w:r w:rsidR="00D67749">
        <w:rPr>
          <w:webHidden/>
        </w:rPr>
        <w:instrText xml:space="preserve"> PAGEREF _Toc121415354 \h </w:instrText>
      </w:r>
      <w:r w:rsidR="00D67749">
        <w:rPr>
          <w:webHidden/>
        </w:rPr>
      </w:r>
      <w:r w:rsidR="00D67749">
        <w:rPr>
          <w:webHidden/>
        </w:rPr>
        <w:fldChar w:fldCharType="separate"/>
      </w:r>
      <w:r w:rsidR="00295E8F">
        <w:rPr>
          <w:webHidden/>
        </w:rPr>
        <w:t>83</w:t>
      </w:r>
      <w:r w:rsidR="00D67749">
        <w:rPr>
          <w:webHidden/>
        </w:rPr>
        <w:fldChar w:fldCharType="end"/>
      </w:r>
      <w:r>
        <w:fldChar w:fldCharType="end"/>
      </w:r>
    </w:p>
    <w:bookmarkEnd w:id="0"/>
    <w:p w14:paraId="1E5FD5C0" w14:textId="3A2130DC" w:rsidR="002147A3" w:rsidRDefault="001807D4" w:rsidP="002147A3">
      <w:pPr>
        <w:pStyle w:val="TOC3"/>
        <w:rPr>
          <w:spacing w:val="0"/>
          <w:sz w:val="22"/>
          <w:szCs w:val="22"/>
        </w:rPr>
      </w:pPr>
      <w:r w:rsidRPr="0042214E">
        <w:fldChar w:fldCharType="end"/>
      </w:r>
      <w:hyperlink w:anchor="_Toc121415354" w:history="1">
        <w:r w:rsidR="002147A3" w:rsidRPr="002147A3">
          <w:rPr>
            <w:rStyle w:val="Hyperlink"/>
            <w:color w:val="auto"/>
          </w:rPr>
          <w:t>3.8.</w:t>
        </w:r>
        <w:r w:rsidR="00DE0110">
          <w:rPr>
            <w:rStyle w:val="Hyperlink"/>
            <w:color w:val="auto"/>
          </w:rPr>
          <w:t>10</w:t>
        </w:r>
        <w:r w:rsidR="002147A3" w:rsidRPr="002147A3">
          <w:rPr>
            <w:spacing w:val="0"/>
            <w:sz w:val="22"/>
            <w:szCs w:val="22"/>
          </w:rPr>
          <w:tab/>
        </w:r>
        <w:r w:rsidR="002147A3" w:rsidRPr="002147A3">
          <w:rPr>
            <w:rStyle w:val="Hyperlink"/>
            <w:color w:val="auto"/>
          </w:rPr>
          <w:t>Sign-off</w:t>
        </w:r>
        <w:r w:rsidR="002147A3">
          <w:rPr>
            <w:webHidden/>
          </w:rPr>
          <w:tab/>
        </w:r>
        <w:r w:rsidR="002147A3">
          <w:rPr>
            <w:webHidden/>
          </w:rPr>
          <w:fldChar w:fldCharType="begin"/>
        </w:r>
        <w:r w:rsidR="002147A3">
          <w:rPr>
            <w:webHidden/>
          </w:rPr>
          <w:instrText xml:space="preserve"> PAGEREF _Toc121415354 \h </w:instrText>
        </w:r>
        <w:r w:rsidR="002147A3">
          <w:rPr>
            <w:webHidden/>
          </w:rPr>
        </w:r>
        <w:r w:rsidR="002147A3">
          <w:rPr>
            <w:webHidden/>
          </w:rPr>
          <w:fldChar w:fldCharType="separate"/>
        </w:r>
        <w:r w:rsidR="002147A3">
          <w:rPr>
            <w:webHidden/>
          </w:rPr>
          <w:t>83</w:t>
        </w:r>
        <w:r w:rsidR="002147A3">
          <w:rPr>
            <w:webHidden/>
          </w:rPr>
          <w:fldChar w:fldCharType="end"/>
        </w:r>
      </w:hyperlink>
    </w:p>
    <w:p w14:paraId="09C3A7C0" w14:textId="32072A5F" w:rsidR="00A162C2" w:rsidRPr="0042214E" w:rsidRDefault="00A162C2">
      <w:pPr>
        <w:spacing w:line="264" w:lineRule="auto"/>
      </w:pPr>
      <w:r w:rsidRPr="0042214E">
        <w:br w:type="page"/>
      </w:r>
    </w:p>
    <w:p w14:paraId="0219BD80" w14:textId="77777777" w:rsidR="00A162C2" w:rsidRPr="0042214E" w:rsidRDefault="00A162C2" w:rsidP="00A162C2">
      <w:pPr>
        <w:pStyle w:val="TOCHeading"/>
      </w:pPr>
      <w:r w:rsidRPr="0042214E">
        <w:lastRenderedPageBreak/>
        <w:t>Acknowledgements</w:t>
      </w:r>
    </w:p>
    <w:p w14:paraId="57F14C23" w14:textId="5E694DE1" w:rsidR="00A162C2" w:rsidRPr="0042214E" w:rsidRDefault="00A162C2" w:rsidP="00A162C2">
      <w:r w:rsidRPr="0042214E">
        <w:t xml:space="preserve">The Department of Treasury and Finance (DTF) wishes to acknowledge those who contributed to this guide. In particular, the agencies of the Victorian Government </w:t>
      </w:r>
      <w:r w:rsidR="00E84A6E" w:rsidRPr="0042214E">
        <w:t xml:space="preserve">that </w:t>
      </w:r>
      <w:r w:rsidRPr="0042214E">
        <w:t xml:space="preserve">participated in the consultation for this work. </w:t>
      </w:r>
    </w:p>
    <w:p w14:paraId="6A4351DE" w14:textId="77777777" w:rsidR="00CA29CB" w:rsidRPr="0042214E" w:rsidRDefault="00CA29CB" w:rsidP="00A171DC"/>
    <w:p w14:paraId="33A89B26" w14:textId="77777777" w:rsidR="0034041F" w:rsidRPr="0042214E" w:rsidRDefault="0034041F" w:rsidP="00E76CD5">
      <w:pPr>
        <w:sectPr w:rsidR="0034041F" w:rsidRPr="0042214E" w:rsidSect="00D666FA">
          <w:headerReference w:type="default" r:id="rId23"/>
          <w:footerReference w:type="even" r:id="rId24"/>
          <w:footerReference w:type="default" r:id="rId25"/>
          <w:type w:val="oddPage"/>
          <w:pgSz w:w="11906" w:h="16838" w:code="9"/>
          <w:pgMar w:top="1872" w:right="1411" w:bottom="1440" w:left="1411" w:header="680" w:footer="454" w:gutter="0"/>
          <w:pgNumType w:fmt="lowerRoman" w:start="1"/>
          <w:cols w:sep="1" w:space="567"/>
          <w:docGrid w:linePitch="360"/>
        </w:sectPr>
      </w:pPr>
    </w:p>
    <w:p w14:paraId="6654D10D" w14:textId="77777777" w:rsidR="00F330E8" w:rsidRPr="0042214E" w:rsidRDefault="00F330E8" w:rsidP="00F330E8">
      <w:pPr>
        <w:pStyle w:val="Heading1"/>
      </w:pPr>
      <w:bookmarkStart w:id="1" w:name="_Toc497144951"/>
      <w:bookmarkStart w:id="2" w:name="_Toc121415277"/>
      <w:r w:rsidRPr="0042214E">
        <w:lastRenderedPageBreak/>
        <w:t>Context</w:t>
      </w:r>
      <w:bookmarkEnd w:id="1"/>
      <w:bookmarkEnd w:id="2"/>
    </w:p>
    <w:p w14:paraId="5EE4CE2A" w14:textId="77777777" w:rsidR="00F330E8" w:rsidRPr="0042214E" w:rsidRDefault="00F330E8" w:rsidP="00F330E8">
      <w:pPr>
        <w:pStyle w:val="Heading2"/>
      </w:pPr>
      <w:bookmarkStart w:id="3" w:name="_Toc497144952"/>
      <w:bookmarkStart w:id="4" w:name="_Toc121415278"/>
      <w:r w:rsidRPr="0042214E">
        <w:t>Purpose of this document</w:t>
      </w:r>
      <w:bookmarkEnd w:id="3"/>
      <w:bookmarkEnd w:id="4"/>
    </w:p>
    <w:p w14:paraId="0AC6176C" w14:textId="22ABF57A" w:rsidR="00F330E8" w:rsidRPr="0042214E" w:rsidRDefault="00F330E8" w:rsidP="00F330E8">
      <w:r w:rsidRPr="0042214E">
        <w:t>This guide presents the issues agencies should consider when they are preparing a business case for investment to address a problem or opportunity in the delivery of government services.</w:t>
      </w:r>
      <w:r w:rsidRPr="0042214E">
        <w:rPr>
          <w:b/>
        </w:rPr>
        <w:t xml:space="preserve"> </w:t>
      </w:r>
      <w:r w:rsidRPr="0042214E">
        <w:rPr>
          <w:b/>
          <w:color w:val="E57200" w:themeColor="accent2"/>
        </w:rPr>
        <w:t>It is applicable to any investment proposal – asset or output.</w:t>
      </w:r>
      <w:r w:rsidRPr="0042214E">
        <w:t xml:space="preserve"> The investment lifecycle framework lays out the following stages of an investment. </w:t>
      </w:r>
    </w:p>
    <w:p w14:paraId="6C000A9D" w14:textId="66B719ED" w:rsidR="001F0DF3" w:rsidRPr="0042214E" w:rsidRDefault="001F0DF3" w:rsidP="00F330E8">
      <w:r w:rsidRPr="0042214E">
        <w:t xml:space="preserve">There are three stages in the investment management process. This guide is concerned with the first stage of the investment lifecycle – </w:t>
      </w:r>
      <w:r w:rsidRPr="003907D5">
        <w:t>Stage 1: Business case</w:t>
      </w:r>
      <w:r w:rsidRPr="0042214E">
        <w:t>.</w:t>
      </w:r>
    </w:p>
    <w:p w14:paraId="313E697D" w14:textId="311DCA37" w:rsidR="00A162C2" w:rsidRPr="0042214E" w:rsidRDefault="00A162C2" w:rsidP="00342D96">
      <w:pPr>
        <w:pStyle w:val="Caption"/>
      </w:pPr>
      <w:r w:rsidRPr="0042214E">
        <w:t xml:space="preserve">Figure </w:t>
      </w:r>
      <w:bookmarkStart w:id="5" w:name="_Hlk21614030"/>
      <w:r w:rsidRPr="0042214E">
        <w:fldChar w:fldCharType="begin"/>
      </w:r>
      <w:r w:rsidRPr="0042214E">
        <w:instrText xml:space="preserve"> SEQ Figure \* ARABIC </w:instrText>
      </w:r>
      <w:r w:rsidRPr="0042214E">
        <w:fldChar w:fldCharType="separate"/>
      </w:r>
      <w:r w:rsidR="00295E8F">
        <w:rPr>
          <w:noProof/>
        </w:rPr>
        <w:t>1</w:t>
      </w:r>
      <w:r w:rsidRPr="0042214E">
        <w:fldChar w:fldCharType="end"/>
      </w:r>
      <w:bookmarkEnd w:id="5"/>
      <w:r w:rsidRPr="0042214E">
        <w:t>: The three stages of the investment management process</w:t>
      </w:r>
    </w:p>
    <w:p w14:paraId="4261AEDC" w14:textId="77777777" w:rsidR="00A162C2" w:rsidRPr="0042214E" w:rsidRDefault="00A162C2" w:rsidP="00A162C2">
      <w:pPr>
        <w:ind w:left="-90"/>
      </w:pPr>
      <w:r w:rsidRPr="0042214E">
        <w:rPr>
          <w:noProof/>
          <w:lang w:eastAsia="en-US"/>
        </w:rPr>
        <w:drawing>
          <wp:inline distT="0" distB="0" distL="0" distR="0" wp14:anchorId="62B43F87" wp14:editId="1589AAA7">
            <wp:extent cx="4446270" cy="387350"/>
            <wp:effectExtent l="19050" t="19050" r="30480" b="50800"/>
            <wp:docPr id="254" name="Diagram 2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bl>
      <w:tblPr>
        <w:tblStyle w:val="TableGrid"/>
        <w:tblW w:w="911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115" w:type="dxa"/>
          <w:right w:w="115" w:type="dxa"/>
        </w:tblCellMar>
        <w:tblLook w:val="04A0" w:firstRow="1" w:lastRow="0" w:firstColumn="1" w:lastColumn="0" w:noHBand="0" w:noVBand="1"/>
      </w:tblPr>
      <w:tblGrid>
        <w:gridCol w:w="2324"/>
        <w:gridCol w:w="2324"/>
        <w:gridCol w:w="2325"/>
        <w:gridCol w:w="2142"/>
      </w:tblGrid>
      <w:tr w:rsidR="00A162C2" w:rsidRPr="0042214E" w14:paraId="7164A879" w14:textId="77777777" w:rsidTr="00A162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shd w:val="clear" w:color="auto" w:fill="F49600" w:themeFill="accent3"/>
          </w:tcPr>
          <w:p w14:paraId="387E0E95" w14:textId="77777777" w:rsidR="00A162C2" w:rsidRPr="0042214E" w:rsidRDefault="00A162C2" w:rsidP="00A162C2">
            <w:pPr>
              <w:rPr>
                <w:b/>
                <w:sz w:val="18"/>
                <w:szCs w:val="18"/>
              </w:rPr>
            </w:pPr>
            <w:r w:rsidRPr="0042214E">
              <w:rPr>
                <w:b/>
                <w:sz w:val="18"/>
                <w:szCs w:val="18"/>
              </w:rPr>
              <w:t>Business case</w:t>
            </w:r>
          </w:p>
        </w:tc>
        <w:tc>
          <w:tcPr>
            <w:tcW w:w="2324" w:type="dxa"/>
            <w:shd w:val="clear" w:color="auto" w:fill="A5A59D" w:themeFill="background2" w:themeFillShade="BF"/>
          </w:tcPr>
          <w:p w14:paraId="570229BE" w14:textId="77777777" w:rsidR="00A162C2" w:rsidRPr="0042214E" w:rsidRDefault="00A162C2" w:rsidP="00A162C2">
            <w:pPr>
              <w:cnfStyle w:val="100000000000" w:firstRow="1" w:lastRow="0" w:firstColumn="0" w:lastColumn="0" w:oddVBand="0" w:evenVBand="0" w:oddHBand="0" w:evenHBand="0" w:firstRowFirstColumn="0" w:firstRowLastColumn="0" w:lastRowFirstColumn="0" w:lastRowLastColumn="0"/>
              <w:rPr>
                <w:b/>
                <w:sz w:val="18"/>
                <w:szCs w:val="18"/>
              </w:rPr>
            </w:pPr>
            <w:r w:rsidRPr="0042214E">
              <w:rPr>
                <w:b/>
                <w:sz w:val="18"/>
                <w:szCs w:val="18"/>
              </w:rPr>
              <w:t>Procurement</w:t>
            </w:r>
          </w:p>
        </w:tc>
        <w:tc>
          <w:tcPr>
            <w:tcW w:w="2325" w:type="dxa"/>
            <w:shd w:val="clear" w:color="auto" w:fill="A5A59D" w:themeFill="background2" w:themeFillShade="BF"/>
          </w:tcPr>
          <w:p w14:paraId="09084009" w14:textId="77777777" w:rsidR="00A162C2" w:rsidRPr="0042214E" w:rsidRDefault="00A162C2" w:rsidP="00A162C2">
            <w:pPr>
              <w:cnfStyle w:val="100000000000" w:firstRow="1" w:lastRow="0" w:firstColumn="0" w:lastColumn="0" w:oddVBand="0" w:evenVBand="0" w:oddHBand="0" w:evenHBand="0" w:firstRowFirstColumn="0" w:firstRowLastColumn="0" w:lastRowFirstColumn="0" w:lastRowLastColumn="0"/>
              <w:rPr>
                <w:b/>
                <w:sz w:val="18"/>
                <w:szCs w:val="18"/>
              </w:rPr>
            </w:pPr>
            <w:r w:rsidRPr="0042214E">
              <w:rPr>
                <w:b/>
                <w:sz w:val="18"/>
                <w:szCs w:val="18"/>
              </w:rPr>
              <w:t>Delivery</w:t>
            </w:r>
          </w:p>
        </w:tc>
        <w:tc>
          <w:tcPr>
            <w:tcW w:w="2142" w:type="dxa"/>
            <w:vMerge w:val="restart"/>
            <w:shd w:val="clear" w:color="auto" w:fill="auto"/>
            <w:vAlign w:val="center"/>
          </w:tcPr>
          <w:p w14:paraId="1C8D3CDD" w14:textId="77777777" w:rsidR="00A162C2" w:rsidRPr="0042214E" w:rsidRDefault="00A162C2" w:rsidP="00A162C2">
            <w:pPr>
              <w:cnfStyle w:val="100000000000" w:firstRow="1" w:lastRow="0" w:firstColumn="0" w:lastColumn="0" w:oddVBand="0" w:evenVBand="0" w:oddHBand="0" w:evenHBand="0" w:firstRowFirstColumn="0" w:firstRowLastColumn="0" w:lastRowFirstColumn="0" w:lastRowLastColumn="0"/>
              <w:rPr>
                <w:b/>
                <w:sz w:val="18"/>
                <w:szCs w:val="18"/>
              </w:rPr>
            </w:pPr>
            <w:r w:rsidRPr="0042214E">
              <w:rPr>
                <w:noProof/>
                <w:lang w:eastAsia="en-US"/>
              </w:rPr>
              <mc:AlternateContent>
                <mc:Choice Requires="wps">
                  <w:drawing>
                    <wp:inline distT="0" distB="0" distL="0" distR="0" wp14:anchorId="7316808E" wp14:editId="414EB4AF">
                      <wp:extent cx="1170214" cy="850739"/>
                      <wp:effectExtent l="0" t="0" r="0" b="6985"/>
                      <wp:docPr id="15" name="Arrow: Striped Right 136"/>
                      <wp:cNvGraphicFramePr/>
                      <a:graphic xmlns:a="http://schemas.openxmlformats.org/drawingml/2006/main">
                        <a:graphicData uri="http://schemas.microsoft.com/office/word/2010/wordprocessingShape">
                          <wps:wsp>
                            <wps:cNvSpPr/>
                            <wps:spPr>
                              <a:xfrm>
                                <a:off x="0" y="0"/>
                                <a:ext cx="1170214" cy="850739"/>
                              </a:xfrm>
                              <a:prstGeom prst="stripedRightArrow">
                                <a:avLst>
                                  <a:gd name="adj1" fmla="val 50000"/>
                                  <a:gd name="adj2" fmla="val 49776"/>
                                </a:avLst>
                              </a:prstGeom>
                              <a:solidFill>
                                <a:schemeClr val="bg2">
                                  <a:lumMod val="75000"/>
                                </a:schemeClr>
                              </a:solidFill>
                              <a:ln w="12700" cap="flat" cmpd="sng" algn="ctr">
                                <a:noFill/>
                                <a:prstDash val="solid"/>
                                <a:miter lim="800000"/>
                              </a:ln>
                              <a:effectLst/>
                            </wps:spPr>
                            <wps:txbx>
                              <w:txbxContent>
                                <w:p w14:paraId="57BF8FAB" w14:textId="2CEAA429" w:rsidR="00E170D5" w:rsidRPr="007C5013" w:rsidRDefault="00E170D5" w:rsidP="00A162C2">
                                  <w:pPr>
                                    <w:spacing w:before="0" w:after="0"/>
                                    <w:rPr>
                                      <w:sz w:val="16"/>
                                      <w:szCs w:val="16"/>
                                    </w:rPr>
                                  </w:pPr>
                                  <w:r w:rsidRPr="007C5013">
                                    <w:rPr>
                                      <w:b/>
                                      <w:sz w:val="16"/>
                                      <w:szCs w:val="16"/>
                                    </w:rPr>
                                    <w:t>Gateway–Benefits evaluation</w:t>
                                  </w:r>
                                </w:p>
                              </w:txbxContent>
                            </wps:txbx>
                            <wps:bodyPr wrap="square" lIns="27432" tIns="0" rIns="27432" bIns="0" rtlCol="0" anchor="ctr">
                              <a:noAutofit/>
                            </wps:bodyPr>
                          </wps:wsp>
                        </a:graphicData>
                      </a:graphic>
                    </wp:inline>
                  </w:drawing>
                </mc:Choice>
                <mc:Fallback>
                  <w:pict>
                    <v:shapetype w14:anchorId="7316808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136" o:spid="_x0000_s1026" type="#_x0000_t93" style="width:92.15pt;height: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" adj="13784" fillcolor="#a5a59d [2414]" stroked="f" strokeweight="1pt">
                      <v:textbox inset="2.16pt,0,2.16pt,0">
                        <w:txbxContent>
                          <w:p w14:paraId="57BF8FAB" w14:textId="2CEAA429" w:rsidR="00E170D5" w:rsidRPr="007C5013" w:rsidRDefault="00E170D5" w:rsidP="00A162C2">
                            <w:pPr>
                              <w:spacing w:before="0" w:after="0"/>
                              <w:rPr>
                                <w:sz w:val="16"/>
                                <w:szCs w:val="16"/>
                              </w:rPr>
                            </w:pPr>
                            <w:r w:rsidRPr="007C5013">
                              <w:rPr>
                                <w:b/>
                                <w:sz w:val="16"/>
                                <w:szCs w:val="16"/>
                              </w:rPr>
                              <w:t>Gateway–Benefits evaluation</w:t>
                            </w:r>
                          </w:p>
                        </w:txbxContent>
                      </v:textbox>
                      <w10:anchorlock/>
                    </v:shape>
                  </w:pict>
                </mc:Fallback>
              </mc:AlternateContent>
            </w:r>
          </w:p>
        </w:tc>
      </w:tr>
      <w:tr w:rsidR="00A162C2" w:rsidRPr="0042214E" w14:paraId="6D52E65A" w14:textId="77777777" w:rsidTr="00A162C2">
        <w:tc>
          <w:tcPr>
            <w:cnfStyle w:val="001000000000" w:firstRow="0" w:lastRow="0" w:firstColumn="1" w:lastColumn="0" w:oddVBand="0" w:evenVBand="0" w:oddHBand="0" w:evenHBand="0" w:firstRowFirstColumn="0" w:firstRowLastColumn="0" w:lastRowFirstColumn="0" w:lastRowLastColumn="0"/>
            <w:tcW w:w="2324" w:type="dxa"/>
            <w:shd w:val="clear" w:color="auto" w:fill="FBD8A0" w:themeFill="accent6" w:themeFillShade="E6"/>
          </w:tcPr>
          <w:p w14:paraId="3DA02105" w14:textId="77777777" w:rsidR="00A162C2" w:rsidRPr="0042214E" w:rsidRDefault="00A162C2" w:rsidP="00A162C2">
            <w:pPr>
              <w:pStyle w:val="Tabletext"/>
              <w:rPr>
                <w:b/>
              </w:rPr>
            </w:pPr>
            <w:r w:rsidRPr="0042214E">
              <w:rPr>
                <w:b/>
              </w:rPr>
              <w:t>Establishes need, defines benefits, explores interventions, estimates costs, identifies delivery process.</w:t>
            </w:r>
          </w:p>
        </w:tc>
        <w:tc>
          <w:tcPr>
            <w:tcW w:w="2324" w:type="dxa"/>
            <w:shd w:val="clear" w:color="auto" w:fill="DBDCDE" w:themeFill="text2" w:themeFillTint="33"/>
          </w:tcPr>
          <w:p w14:paraId="431F886B" w14:textId="77777777" w:rsidR="00A162C2" w:rsidRPr="0042214E" w:rsidRDefault="00A162C2" w:rsidP="00A162C2">
            <w:pPr>
              <w:pStyle w:val="Tabletext"/>
              <w:cnfStyle w:val="000000000000" w:firstRow="0" w:lastRow="0" w:firstColumn="0" w:lastColumn="0" w:oddVBand="0" w:evenVBand="0" w:oddHBand="0" w:evenHBand="0" w:firstRowFirstColumn="0" w:firstRowLastColumn="0" w:lastRowFirstColumn="0" w:lastRowLastColumn="0"/>
              <w:rPr>
                <w:b/>
              </w:rPr>
            </w:pPr>
            <w:r w:rsidRPr="0042214E">
              <w:rPr>
                <w:b/>
              </w:rPr>
              <w:t>Explores delivery options, finalises delivery plan, engages the market, awards the contract.</w:t>
            </w:r>
          </w:p>
        </w:tc>
        <w:tc>
          <w:tcPr>
            <w:tcW w:w="2325" w:type="dxa"/>
            <w:shd w:val="clear" w:color="auto" w:fill="DBDCDE" w:themeFill="text2" w:themeFillTint="33"/>
          </w:tcPr>
          <w:p w14:paraId="2BC15547" w14:textId="77777777" w:rsidR="00A162C2" w:rsidRPr="0042214E" w:rsidRDefault="00A162C2" w:rsidP="00A162C2">
            <w:pPr>
              <w:pStyle w:val="Tabletext"/>
              <w:cnfStyle w:val="000000000000" w:firstRow="0" w:lastRow="0" w:firstColumn="0" w:lastColumn="0" w:oddVBand="0" w:evenVBand="0" w:oddHBand="0" w:evenHBand="0" w:firstRowFirstColumn="0" w:firstRowLastColumn="0" w:lastRowFirstColumn="0" w:lastRowLastColumn="0"/>
              <w:rPr>
                <w:b/>
              </w:rPr>
            </w:pPr>
            <w:r w:rsidRPr="0042214E">
              <w:rPr>
                <w:b/>
              </w:rPr>
              <w:t>Implements solution, transitions investment into normal business.</w:t>
            </w:r>
          </w:p>
        </w:tc>
        <w:tc>
          <w:tcPr>
            <w:tcW w:w="2142" w:type="dxa"/>
            <w:vMerge/>
            <w:shd w:val="clear" w:color="auto" w:fill="auto"/>
          </w:tcPr>
          <w:p w14:paraId="32F1478E" w14:textId="77777777" w:rsidR="00A162C2" w:rsidRPr="0042214E" w:rsidRDefault="00A162C2" w:rsidP="00A162C2">
            <w:pPr>
              <w:cnfStyle w:val="000000000000" w:firstRow="0" w:lastRow="0" w:firstColumn="0" w:lastColumn="0" w:oddVBand="0" w:evenVBand="0" w:oddHBand="0" w:evenHBand="0" w:firstRowFirstColumn="0" w:firstRowLastColumn="0" w:lastRowFirstColumn="0" w:lastRowLastColumn="0"/>
              <w:rPr>
                <w:sz w:val="18"/>
              </w:rPr>
            </w:pPr>
          </w:p>
        </w:tc>
      </w:tr>
      <w:tr w:rsidR="00A162C2" w:rsidRPr="0042214E" w14:paraId="6C38C213" w14:textId="77777777" w:rsidTr="00A162C2">
        <w:tc>
          <w:tcPr>
            <w:cnfStyle w:val="001000000000" w:firstRow="0" w:lastRow="0" w:firstColumn="1" w:lastColumn="0" w:oddVBand="0" w:evenVBand="0" w:oddHBand="0" w:evenHBand="0" w:firstRowFirstColumn="0" w:firstRowLastColumn="0" w:lastRowFirstColumn="0" w:lastRowLastColumn="0"/>
            <w:tcW w:w="2324" w:type="dxa"/>
            <w:shd w:val="clear" w:color="auto" w:fill="FBD8A0" w:themeFill="accent6" w:themeFillShade="E6"/>
          </w:tcPr>
          <w:p w14:paraId="205C0DBF" w14:textId="77777777" w:rsidR="00A162C2" w:rsidRPr="0042214E" w:rsidRDefault="00A162C2" w:rsidP="00A162C2">
            <w:pPr>
              <w:pStyle w:val="Tabletext"/>
              <w:rPr>
                <w:szCs w:val="14"/>
              </w:rPr>
            </w:pPr>
            <w:r w:rsidRPr="0042214E">
              <w:rPr>
                <w:szCs w:val="14"/>
              </w:rPr>
              <w:t xml:space="preserve">What is the problem, </w:t>
            </w:r>
            <w:proofErr w:type="gramStart"/>
            <w:r w:rsidRPr="0042214E">
              <w:rPr>
                <w:szCs w:val="14"/>
              </w:rPr>
              <w:t>issue</w:t>
            </w:r>
            <w:proofErr w:type="gramEnd"/>
            <w:r w:rsidRPr="0042214E">
              <w:rPr>
                <w:szCs w:val="14"/>
              </w:rPr>
              <w:t xml:space="preserve"> or service need?</w:t>
            </w:r>
          </w:p>
          <w:p w14:paraId="06882664" w14:textId="77777777" w:rsidR="00A162C2" w:rsidRPr="0042214E" w:rsidRDefault="00A162C2" w:rsidP="00A162C2">
            <w:pPr>
              <w:pStyle w:val="Tabletext"/>
              <w:rPr>
                <w:szCs w:val="14"/>
              </w:rPr>
            </w:pPr>
            <w:r w:rsidRPr="0042214E">
              <w:rPr>
                <w:szCs w:val="14"/>
              </w:rPr>
              <w:t>What are the benefits from addressing the problem?</w:t>
            </w:r>
          </w:p>
          <w:p w14:paraId="3035812D" w14:textId="77777777" w:rsidR="00A162C2" w:rsidRPr="0042214E" w:rsidRDefault="00A162C2" w:rsidP="00A162C2">
            <w:pPr>
              <w:pStyle w:val="Tabletext"/>
              <w:rPr>
                <w:szCs w:val="14"/>
              </w:rPr>
            </w:pPr>
            <w:r w:rsidRPr="0042214E">
              <w:rPr>
                <w:szCs w:val="14"/>
              </w:rPr>
              <w:t>Is there a compelling case for investing?</w:t>
            </w:r>
          </w:p>
          <w:p w14:paraId="0FA973B1" w14:textId="77777777" w:rsidR="00A162C2" w:rsidRPr="0042214E" w:rsidRDefault="00A162C2" w:rsidP="00A162C2">
            <w:pPr>
              <w:pStyle w:val="Tabletext"/>
            </w:pPr>
            <w:r w:rsidRPr="0042214E">
              <w:rPr>
                <w:szCs w:val="14"/>
              </w:rPr>
              <w:t>Can the project be delivered as planned?</w:t>
            </w:r>
          </w:p>
        </w:tc>
        <w:tc>
          <w:tcPr>
            <w:tcW w:w="2324" w:type="dxa"/>
            <w:shd w:val="clear" w:color="auto" w:fill="DBDCDE" w:themeFill="text2" w:themeFillTint="33"/>
          </w:tcPr>
          <w:p w14:paraId="72C806B1" w14:textId="77777777" w:rsidR="00A162C2" w:rsidRPr="0042214E" w:rsidRDefault="00A162C2" w:rsidP="00A162C2">
            <w:pPr>
              <w:pStyle w:val="Tabletext"/>
              <w:cnfStyle w:val="000000000000" w:firstRow="0" w:lastRow="0" w:firstColumn="0" w:lastColumn="0" w:oddVBand="0" w:evenVBand="0" w:oddHBand="0" w:evenHBand="0" w:firstRowFirstColumn="0" w:firstRowLastColumn="0" w:lastRowFirstColumn="0" w:lastRowLastColumn="0"/>
            </w:pPr>
            <w:r w:rsidRPr="0042214E">
              <w:rPr>
                <w:szCs w:val="14"/>
              </w:rPr>
              <w:t>What is the preferred method for delivering the investment?</w:t>
            </w:r>
          </w:p>
        </w:tc>
        <w:tc>
          <w:tcPr>
            <w:tcW w:w="2325" w:type="dxa"/>
            <w:shd w:val="clear" w:color="auto" w:fill="DBDCDE" w:themeFill="text2" w:themeFillTint="33"/>
          </w:tcPr>
          <w:p w14:paraId="7EB5B9BF" w14:textId="77777777" w:rsidR="00A162C2" w:rsidRPr="0042214E" w:rsidRDefault="00A162C2" w:rsidP="00A162C2">
            <w:pPr>
              <w:pStyle w:val="Tabletext"/>
              <w:cnfStyle w:val="000000000000" w:firstRow="0" w:lastRow="0" w:firstColumn="0" w:lastColumn="0" w:oddVBand="0" w:evenVBand="0" w:oddHBand="0" w:evenHBand="0" w:firstRowFirstColumn="0" w:firstRowLastColumn="0" w:lastRowFirstColumn="0" w:lastRowLastColumn="0"/>
              <w:rPr>
                <w:szCs w:val="14"/>
              </w:rPr>
            </w:pPr>
            <w:r w:rsidRPr="0042214E">
              <w:rPr>
                <w:szCs w:val="14"/>
              </w:rPr>
              <w:t>Is the investment proceeding as planned?</w:t>
            </w:r>
          </w:p>
          <w:p w14:paraId="1CA3C18F" w14:textId="77777777" w:rsidR="00A162C2" w:rsidRPr="0042214E" w:rsidRDefault="00A162C2" w:rsidP="00A162C2">
            <w:pPr>
              <w:pStyle w:val="Tabletext"/>
              <w:cnfStyle w:val="000000000000" w:firstRow="0" w:lastRow="0" w:firstColumn="0" w:lastColumn="0" w:oddVBand="0" w:evenVBand="0" w:oddHBand="0" w:evenHBand="0" w:firstRowFirstColumn="0" w:firstRowLastColumn="0" w:lastRowFirstColumn="0" w:lastRowLastColumn="0"/>
            </w:pPr>
            <w:r w:rsidRPr="0042214E">
              <w:rPr>
                <w:szCs w:val="14"/>
              </w:rPr>
              <w:t>Are changes to the investment needed?</w:t>
            </w:r>
          </w:p>
        </w:tc>
        <w:tc>
          <w:tcPr>
            <w:tcW w:w="2142" w:type="dxa"/>
            <w:vMerge/>
            <w:shd w:val="clear" w:color="auto" w:fill="auto"/>
          </w:tcPr>
          <w:p w14:paraId="51455773" w14:textId="77777777" w:rsidR="00A162C2" w:rsidRPr="0042214E" w:rsidRDefault="00A162C2" w:rsidP="00A162C2">
            <w:pPr>
              <w:spacing w:before="60"/>
              <w:cnfStyle w:val="000000000000" w:firstRow="0" w:lastRow="0" w:firstColumn="0" w:lastColumn="0" w:oddVBand="0" w:evenVBand="0" w:oddHBand="0" w:evenHBand="0" w:firstRowFirstColumn="0" w:firstRowLastColumn="0" w:lastRowFirstColumn="0" w:lastRowLastColumn="0"/>
              <w:rPr>
                <w:i/>
                <w:sz w:val="18"/>
                <w:szCs w:val="14"/>
              </w:rPr>
            </w:pPr>
          </w:p>
        </w:tc>
      </w:tr>
    </w:tbl>
    <w:p w14:paraId="587A30F0" w14:textId="77777777" w:rsidR="00A162C2" w:rsidRPr="0042214E" w:rsidRDefault="00A162C2" w:rsidP="00A162C2">
      <w:pPr>
        <w:pStyle w:val="Spacer"/>
      </w:pPr>
    </w:p>
    <w:p w14:paraId="4FC622B2" w14:textId="3D8F4E71" w:rsidR="00F3450F" w:rsidRPr="0042214E" w:rsidRDefault="00F3450F" w:rsidP="00F3450F">
      <w:r w:rsidRPr="0042214E">
        <w:rPr>
          <w:b/>
          <w:color w:val="E57200" w:themeColor="accent2"/>
        </w:rPr>
        <w:t>For projects over $250</w:t>
      </w:r>
      <w:r w:rsidR="00342D96" w:rsidRPr="0042214E">
        <w:rPr>
          <w:b/>
          <w:color w:val="E57200" w:themeColor="accent2"/>
        </w:rPr>
        <w:t> </w:t>
      </w:r>
      <w:r w:rsidRPr="0042214E">
        <w:rPr>
          <w:b/>
          <w:color w:val="E57200" w:themeColor="accent2"/>
        </w:rPr>
        <w:t>000</w:t>
      </w:r>
      <w:r w:rsidRPr="0042214E">
        <w:t>, projects will be monitored through the Quarterly Asset Investment Report.</w:t>
      </w:r>
    </w:p>
    <w:p w14:paraId="759B1C0B" w14:textId="25C11626" w:rsidR="00F3450F" w:rsidRPr="0042214E" w:rsidRDefault="00F3450F" w:rsidP="00F3450F">
      <w:r w:rsidRPr="0042214E">
        <w:rPr>
          <w:b/>
          <w:color w:val="E57200" w:themeColor="accent2"/>
        </w:rPr>
        <w:t>For all capital projects over $10</w:t>
      </w:r>
      <w:r w:rsidR="00034452" w:rsidRPr="0042214E">
        <w:rPr>
          <w:b/>
          <w:color w:val="E57200" w:themeColor="accent2"/>
        </w:rPr>
        <w:t> million</w:t>
      </w:r>
      <w:r w:rsidRPr="00E15B05">
        <w:t>,</w:t>
      </w:r>
      <w:r w:rsidRPr="0042214E">
        <w:rPr>
          <w:b/>
        </w:rPr>
        <w:t xml:space="preserve"> </w:t>
      </w:r>
      <w:r w:rsidRPr="0042214E">
        <w:t>a</w:t>
      </w:r>
      <w:r w:rsidRPr="0042214E">
        <w:rPr>
          <w:b/>
        </w:rPr>
        <w:t xml:space="preserve"> </w:t>
      </w:r>
      <w:r w:rsidRPr="0042214E">
        <w:t xml:space="preserve">business case is required. </w:t>
      </w:r>
      <w:r w:rsidR="00D43D13" w:rsidRPr="0042214E">
        <w:t>All capital projects over $10</w:t>
      </w:r>
      <w:r w:rsidR="00034452" w:rsidRPr="0042214E">
        <w:t> million</w:t>
      </w:r>
      <w:r w:rsidR="00D43D13" w:rsidRPr="0042214E">
        <w:t xml:space="preserve"> including those which are </w:t>
      </w:r>
      <w:r w:rsidR="00821EB7" w:rsidRPr="0042214E">
        <w:t>not classified High</w:t>
      </w:r>
      <w:r w:rsidR="009442C3" w:rsidRPr="0042214E">
        <w:t xml:space="preserve"> </w:t>
      </w:r>
      <w:r w:rsidR="00821EB7" w:rsidRPr="0042214E">
        <w:t>Value High</w:t>
      </w:r>
      <w:r w:rsidR="009442C3" w:rsidRPr="0042214E">
        <w:t xml:space="preserve"> </w:t>
      </w:r>
      <w:r w:rsidR="00821EB7" w:rsidRPr="0042214E">
        <w:t xml:space="preserve">Risk (HVHR) </w:t>
      </w:r>
      <w:r w:rsidR="00D43D13" w:rsidRPr="0042214E">
        <w:t>(see</w:t>
      </w:r>
      <w:r w:rsidR="00342D96" w:rsidRPr="0042214E">
        <w:t> </w:t>
      </w:r>
      <w:r w:rsidR="002846BB" w:rsidRPr="0042214E">
        <w:t>the following section</w:t>
      </w:r>
      <w:r w:rsidR="00D43D13" w:rsidRPr="0042214E">
        <w:t xml:space="preserve"> for classifications) </w:t>
      </w:r>
      <w:r w:rsidR="001F0DF3" w:rsidRPr="0042214E">
        <w:t>should</w:t>
      </w:r>
      <w:r w:rsidR="00821EB7" w:rsidRPr="0042214E">
        <w:t xml:space="preserve"> follow</w:t>
      </w:r>
      <w:r w:rsidR="00D43D13" w:rsidRPr="0042214E">
        <w:t xml:space="preserve"> this guide. For non</w:t>
      </w:r>
      <w:r w:rsidR="00034452" w:rsidRPr="0042214E">
        <w:noBreakHyphen/>
      </w:r>
      <w:r w:rsidR="00D43D13" w:rsidRPr="0042214E">
        <w:t xml:space="preserve">HVHR projects, it is not mandatory to comply with requirements set out in </w:t>
      </w:r>
      <w:r w:rsidR="000C75C3" w:rsidRPr="0042214E">
        <w:rPr>
          <w:i/>
        </w:rPr>
        <w:t>S</w:t>
      </w:r>
      <w:r w:rsidR="00D43D13" w:rsidRPr="0042214E">
        <w:rPr>
          <w:i/>
        </w:rPr>
        <w:t>tage 2</w:t>
      </w:r>
      <w:r w:rsidR="00B9515C" w:rsidRPr="0042214E">
        <w:rPr>
          <w:i/>
        </w:rPr>
        <w:t xml:space="preserve">: </w:t>
      </w:r>
      <w:r w:rsidR="000C75C3" w:rsidRPr="0042214E">
        <w:rPr>
          <w:i/>
        </w:rPr>
        <w:t>Procurement</w:t>
      </w:r>
      <w:r w:rsidR="00B9515C" w:rsidRPr="0042214E">
        <w:t xml:space="preserve"> </w:t>
      </w:r>
      <w:r w:rsidR="00D43D13" w:rsidRPr="0042214E">
        <w:t xml:space="preserve">and </w:t>
      </w:r>
      <w:r w:rsidR="000C75C3" w:rsidRPr="0042214E">
        <w:rPr>
          <w:i/>
        </w:rPr>
        <w:t>Stage</w:t>
      </w:r>
      <w:r w:rsidR="00342D96" w:rsidRPr="0042214E">
        <w:rPr>
          <w:i/>
        </w:rPr>
        <w:t> </w:t>
      </w:r>
      <w:r w:rsidR="00D43D13" w:rsidRPr="0042214E">
        <w:rPr>
          <w:i/>
        </w:rPr>
        <w:t>3</w:t>
      </w:r>
      <w:r w:rsidR="00B9515C" w:rsidRPr="0042214E">
        <w:rPr>
          <w:i/>
        </w:rPr>
        <w:t>:</w:t>
      </w:r>
      <w:r w:rsidR="00342D96" w:rsidRPr="0042214E">
        <w:rPr>
          <w:i/>
        </w:rPr>
        <w:t> </w:t>
      </w:r>
      <w:r w:rsidR="00D43D13" w:rsidRPr="0042214E">
        <w:rPr>
          <w:i/>
        </w:rPr>
        <w:t>Delivery</w:t>
      </w:r>
      <w:r w:rsidR="009442C3" w:rsidRPr="0042214E">
        <w:t xml:space="preserve">; </w:t>
      </w:r>
      <w:r w:rsidR="00D43D13" w:rsidRPr="0042214E">
        <w:t>however</w:t>
      </w:r>
      <w:r w:rsidR="009442C3" w:rsidRPr="0042214E">
        <w:t>,</w:t>
      </w:r>
      <w:r w:rsidR="00D43D13" w:rsidRPr="0042214E">
        <w:t xml:space="preserve"> these </w:t>
      </w:r>
      <w:r w:rsidR="001B47E6" w:rsidRPr="0042214E">
        <w:t xml:space="preserve">processes </w:t>
      </w:r>
      <w:r w:rsidR="00D43D13" w:rsidRPr="0042214E">
        <w:t>should be considered</w:t>
      </w:r>
      <w:r w:rsidR="00821EB7" w:rsidRPr="0042214E">
        <w:t xml:space="preserve"> </w:t>
      </w:r>
      <w:r w:rsidRPr="0042214E">
        <w:t>as best practi</w:t>
      </w:r>
      <w:r w:rsidR="00342D96" w:rsidRPr="0042214E">
        <w:t>c</w:t>
      </w:r>
      <w:r w:rsidRPr="0042214E">
        <w:t>e for managing investments.</w:t>
      </w:r>
      <w:r w:rsidR="00C407A7" w:rsidRPr="0042214E">
        <w:rPr>
          <w:rFonts w:eastAsiaTheme="minorHAnsi"/>
          <w:spacing w:val="0"/>
          <w:sz w:val="22"/>
          <w:szCs w:val="22"/>
          <w:lang w:eastAsia="en-US"/>
        </w:rPr>
        <w:t xml:space="preserve"> </w:t>
      </w:r>
      <w:r w:rsidR="00C407A7" w:rsidRPr="0042214E">
        <w:t>Non-HVHR projects must comply with the requirements of the Ministerial Directions for Public Construction Procurement in Victoria.</w:t>
      </w:r>
    </w:p>
    <w:p w14:paraId="11E16174" w14:textId="08059563" w:rsidR="00A15636" w:rsidRPr="0042214E" w:rsidRDefault="00E6736E" w:rsidP="00A15636">
      <w:r w:rsidRPr="0042214E">
        <w:rPr>
          <w:b/>
          <w:color w:val="E57200" w:themeColor="accent2"/>
        </w:rPr>
        <w:t>For HVHR projects</w:t>
      </w:r>
      <w:r w:rsidRPr="0042214E">
        <w:t>, additional assurance requirements will apply in the procurement and delivery phases</w:t>
      </w:r>
      <w:r w:rsidR="000C75C3" w:rsidRPr="0042214E">
        <w:t>.</w:t>
      </w:r>
      <w:r w:rsidRPr="0042214E">
        <w:t xml:space="preserve"> </w:t>
      </w:r>
      <w:r w:rsidR="000C75C3" w:rsidRPr="0042214E">
        <w:t>M</w:t>
      </w:r>
      <w:r w:rsidRPr="0042214E">
        <w:t>andatory Gateway reviews</w:t>
      </w:r>
      <w:r w:rsidR="000C75C3" w:rsidRPr="0042214E">
        <w:t xml:space="preserve"> apply across the project lifecycle</w:t>
      </w:r>
      <w:r w:rsidRPr="0042214E">
        <w:t>. A project</w:t>
      </w:r>
      <w:r w:rsidR="00217E3D" w:rsidRPr="0042214E">
        <w:t>’</w:t>
      </w:r>
      <w:r w:rsidRPr="0042214E">
        <w:t xml:space="preserve">s </w:t>
      </w:r>
      <w:r w:rsidR="00821EB7" w:rsidRPr="0042214E">
        <w:t xml:space="preserve">HVHR </w:t>
      </w:r>
      <w:r w:rsidRPr="0042214E">
        <w:t xml:space="preserve">classification is based on the risk and value profile of </w:t>
      </w:r>
      <w:r w:rsidR="00F3450F" w:rsidRPr="0042214E">
        <w:t xml:space="preserve">a </w:t>
      </w:r>
      <w:r w:rsidRPr="0042214E">
        <w:t>project</w:t>
      </w:r>
      <w:r w:rsidR="00F3450F" w:rsidRPr="0042214E">
        <w:t>,</w:t>
      </w:r>
      <w:r w:rsidRPr="0042214E">
        <w:t xml:space="preserve"> which </w:t>
      </w:r>
      <w:r w:rsidR="00F3450F" w:rsidRPr="0042214E">
        <w:t>is</w:t>
      </w:r>
      <w:r w:rsidRPr="0042214E">
        <w:t xml:space="preserve"> explained further in this guide.</w:t>
      </w:r>
    </w:p>
    <w:p w14:paraId="7D6C1BFE" w14:textId="19D0E2C7" w:rsidR="00A15636" w:rsidRPr="0042214E" w:rsidRDefault="00EC115F" w:rsidP="00A15636">
      <w:pPr>
        <w:pStyle w:val="Heading2"/>
      </w:pPr>
      <w:bookmarkStart w:id="6" w:name="_Toc121415279"/>
      <w:r w:rsidRPr="0042214E">
        <w:lastRenderedPageBreak/>
        <w:t xml:space="preserve">Which investments are </w:t>
      </w:r>
      <w:r w:rsidR="00A15636" w:rsidRPr="0042214E">
        <w:t>HVHR</w:t>
      </w:r>
      <w:r w:rsidRPr="0042214E">
        <w:t>?</w:t>
      </w:r>
      <w:bookmarkEnd w:id="6"/>
    </w:p>
    <w:p w14:paraId="71F126A0" w14:textId="4ADE4C40" w:rsidR="00A15636" w:rsidRPr="0042214E" w:rsidRDefault="00A15636" w:rsidP="00342D96">
      <w:pPr>
        <w:keepNext/>
      </w:pPr>
      <w:r w:rsidRPr="0042214E">
        <w:t>A project will be classified HVHR if it is a budget</w:t>
      </w:r>
      <w:r w:rsidR="00034452" w:rsidRPr="0042214E">
        <w:noBreakHyphen/>
      </w:r>
      <w:r w:rsidRPr="0042214E">
        <w:t>funded project that is:</w:t>
      </w:r>
    </w:p>
    <w:p w14:paraId="4B63C0E9" w14:textId="6AACF869" w:rsidR="00A15636" w:rsidRPr="0042214E" w:rsidRDefault="00A15636" w:rsidP="00342D96">
      <w:pPr>
        <w:pStyle w:val="Bullet1"/>
      </w:pPr>
      <w:r w:rsidRPr="0042214E">
        <w:t>considered high risk using DTF’s risk assessment tool, the Project Profile Model (PPM) (available on the DTF website</w:t>
      </w:r>
      <w:proofErr w:type="gramStart"/>
      <w:r w:rsidRPr="0042214E">
        <w:t>);</w:t>
      </w:r>
      <w:proofErr w:type="gramEnd"/>
    </w:p>
    <w:p w14:paraId="4CEC7CFE" w14:textId="6979B14A" w:rsidR="00A15636" w:rsidRPr="0042214E" w:rsidRDefault="00A15636" w:rsidP="00342D96">
      <w:pPr>
        <w:pStyle w:val="Bullet1"/>
      </w:pPr>
      <w:r w:rsidRPr="0042214E">
        <w:t>considered medium risk using</w:t>
      </w:r>
      <w:r w:rsidR="007E556E" w:rsidRPr="0042214E">
        <w:t xml:space="preserve"> the</w:t>
      </w:r>
      <w:r w:rsidR="00F24D29" w:rsidRPr="0042214E">
        <w:t xml:space="preserve"> </w:t>
      </w:r>
      <w:r w:rsidRPr="0042214E">
        <w:t xml:space="preserve">PPM and has a </w:t>
      </w:r>
      <w:r w:rsidR="00452F8D">
        <w:t>total estimated investment (</w:t>
      </w:r>
      <w:r w:rsidRPr="0042214E">
        <w:t>TEI</w:t>
      </w:r>
      <w:r w:rsidR="00452F8D">
        <w:t>)</w:t>
      </w:r>
      <w:r w:rsidRPr="0042214E">
        <w:t xml:space="preserve"> of between $100</w:t>
      </w:r>
      <w:r w:rsidR="00034452" w:rsidRPr="0042214E">
        <w:t> million</w:t>
      </w:r>
      <w:r w:rsidRPr="0042214E">
        <w:t xml:space="preserve"> and $250</w:t>
      </w:r>
      <w:r w:rsidR="00034452" w:rsidRPr="0042214E">
        <w:t> </w:t>
      </w:r>
      <w:proofErr w:type="gramStart"/>
      <w:r w:rsidR="00034452" w:rsidRPr="0042214E">
        <w:t>million</w:t>
      </w:r>
      <w:r w:rsidRPr="0042214E">
        <w:t>;</w:t>
      </w:r>
      <w:proofErr w:type="gramEnd"/>
    </w:p>
    <w:p w14:paraId="2783E7A7" w14:textId="7FF6592B" w:rsidR="00A15636" w:rsidRPr="0042214E" w:rsidRDefault="00A15636" w:rsidP="00342D96">
      <w:pPr>
        <w:pStyle w:val="Bullet1"/>
      </w:pPr>
      <w:r w:rsidRPr="0042214E">
        <w:t xml:space="preserve">considered low risk using </w:t>
      </w:r>
      <w:r w:rsidR="007E556E" w:rsidRPr="0042214E">
        <w:t>the</w:t>
      </w:r>
      <w:r w:rsidRPr="0042214E">
        <w:t xml:space="preserve"> PPM</w:t>
      </w:r>
      <w:r w:rsidR="00242D60" w:rsidRPr="0042214E">
        <w:t>,</w:t>
      </w:r>
      <w:r w:rsidRPr="0042214E">
        <w:t xml:space="preserve"> but has a TEI over $250</w:t>
      </w:r>
      <w:r w:rsidR="00034452" w:rsidRPr="0042214E">
        <w:t> million</w:t>
      </w:r>
      <w:r w:rsidRPr="0042214E">
        <w:t>; or</w:t>
      </w:r>
    </w:p>
    <w:p w14:paraId="0A5AC12C" w14:textId="0959450C" w:rsidR="00A15636" w:rsidRPr="0042214E" w:rsidRDefault="00A15636" w:rsidP="00342D96">
      <w:pPr>
        <w:pStyle w:val="Bullet1"/>
      </w:pPr>
      <w:r w:rsidRPr="0042214E">
        <w:t>identified by Government as warranting the rigour applied to HVHR investments.</w:t>
      </w:r>
    </w:p>
    <w:p w14:paraId="40BA9D6C" w14:textId="77777777" w:rsidR="00342D96" w:rsidRPr="0042214E" w:rsidRDefault="00342D96" w:rsidP="00342D96">
      <w:pPr>
        <w:pStyle w:val="Spacer"/>
      </w:pPr>
    </w:p>
    <w:p w14:paraId="57BC06E5" w14:textId="4F6DF4B8" w:rsidR="00020646" w:rsidRPr="0042214E" w:rsidRDefault="00020646" w:rsidP="00342D96">
      <w:pPr>
        <w:pStyle w:val="Caption"/>
      </w:pPr>
      <w:r w:rsidRPr="0042214E">
        <w:t xml:space="preserve">Figure 2: </w:t>
      </w:r>
      <w:r w:rsidR="00EC115F" w:rsidRPr="0042214E">
        <w:t>Determining the HVHR status of projects</w:t>
      </w:r>
    </w:p>
    <w:p w14:paraId="5488BDF9" w14:textId="0270DB3E" w:rsidR="00A15636" w:rsidRPr="0042214E" w:rsidRDefault="00342D96" w:rsidP="00A15636">
      <w:r w:rsidRPr="0042214E">
        <w:object w:dxaOrig="7860" w:dyaOrig="4530" w14:anchorId="19F54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201.75pt" o:ole="">
            <v:imagedata r:id="rId31" o:title=""/>
          </v:shape>
          <o:OLEObject Type="Embed" ProgID="Visio.Drawing.11" ShapeID="_x0000_i1025" DrawAspect="Content" ObjectID="_1736165080" r:id="rId32"/>
        </w:object>
      </w:r>
    </w:p>
    <w:p w14:paraId="0FCC0F36" w14:textId="6CCC254A" w:rsidR="00721FD6" w:rsidRPr="0042214E" w:rsidRDefault="00AA09AA" w:rsidP="00342D96">
      <w:pPr>
        <w:pStyle w:val="Heading2"/>
      </w:pPr>
      <w:bookmarkStart w:id="7" w:name="_Toc121415280"/>
      <w:r w:rsidRPr="0042214E">
        <w:lastRenderedPageBreak/>
        <w:t>T</w:t>
      </w:r>
      <w:r w:rsidR="00721FD6" w:rsidRPr="0042214E">
        <w:t xml:space="preserve">he </w:t>
      </w:r>
      <w:r w:rsidR="00821EB7" w:rsidRPr="0042214E">
        <w:t xml:space="preserve">Project Assurance </w:t>
      </w:r>
      <w:r w:rsidR="00721FD6" w:rsidRPr="0042214E">
        <w:t>Framework and process</w:t>
      </w:r>
      <w:bookmarkEnd w:id="7"/>
    </w:p>
    <w:p w14:paraId="4D5532B8" w14:textId="644FD192" w:rsidR="00E279F1" w:rsidRPr="0042214E" w:rsidRDefault="00821EB7" w:rsidP="00AA09AA">
      <w:pPr>
        <w:keepNext/>
      </w:pPr>
      <w:r w:rsidRPr="0042214E">
        <w:t xml:space="preserve">The </w:t>
      </w:r>
      <w:r w:rsidR="00242D60" w:rsidRPr="0042214E">
        <w:t xml:space="preserve">Project Assurance Framework </w:t>
      </w:r>
      <w:r w:rsidR="000C75C3" w:rsidRPr="0042214E">
        <w:t>is</w:t>
      </w:r>
      <w:r w:rsidRPr="0042214E">
        <w:t xml:space="preserve"> explained below. For non</w:t>
      </w:r>
      <w:r w:rsidR="00034452" w:rsidRPr="0042214E">
        <w:noBreakHyphen/>
      </w:r>
      <w:r w:rsidRPr="0042214E">
        <w:t>HVHR projects over $10</w:t>
      </w:r>
      <w:r w:rsidR="00034452" w:rsidRPr="0042214E">
        <w:t> million</w:t>
      </w:r>
      <w:r w:rsidRPr="0042214E">
        <w:t>, Project Assurance Plan</w:t>
      </w:r>
      <w:r w:rsidR="000C75C3" w:rsidRPr="0042214E">
        <w:t>s</w:t>
      </w:r>
      <w:r w:rsidR="00242D60" w:rsidRPr="0042214E">
        <w:t xml:space="preserve"> (PAP)</w:t>
      </w:r>
      <w:r w:rsidRPr="0042214E">
        <w:t xml:space="preserve"> and </w:t>
      </w:r>
      <w:bookmarkStart w:id="8" w:name="_Hlk19706726"/>
      <w:r w:rsidRPr="0042214E">
        <w:t>Gateway reviews</w:t>
      </w:r>
      <w:r w:rsidR="00C407A7" w:rsidRPr="0042214E">
        <w:t xml:space="preserve"> do not apply in </w:t>
      </w:r>
      <w:r w:rsidR="00C407A7" w:rsidRPr="003907D5">
        <w:t xml:space="preserve">Stage 1: Business </w:t>
      </w:r>
      <w:r w:rsidR="00E15B05" w:rsidRPr="003907D5">
        <w:t>case</w:t>
      </w:r>
      <w:r w:rsidR="005677CB" w:rsidRPr="0042214E">
        <w:t xml:space="preserve">, as they apply to HVHR </w:t>
      </w:r>
      <w:r w:rsidR="00A32170" w:rsidRPr="0042214E">
        <w:t xml:space="preserve">projects </w:t>
      </w:r>
      <w:r w:rsidR="005677CB" w:rsidRPr="0042214E">
        <w:t>only</w:t>
      </w:r>
      <w:r w:rsidR="00C407A7" w:rsidRPr="0042214E">
        <w:rPr>
          <w:i/>
        </w:rPr>
        <w:t xml:space="preserve">. </w:t>
      </w:r>
      <w:r w:rsidR="005677CB" w:rsidRPr="0042214E">
        <w:t>I</w:t>
      </w:r>
      <w:r w:rsidR="00C407A7" w:rsidRPr="0042214E">
        <w:t xml:space="preserve">n </w:t>
      </w:r>
      <w:r w:rsidR="00C407A7" w:rsidRPr="003907D5">
        <w:t>Stage 2: Procurement and Stage 3: Delivery</w:t>
      </w:r>
      <w:r w:rsidR="00C407A7" w:rsidRPr="0042214E">
        <w:t xml:space="preserve"> </w:t>
      </w:r>
      <w:r w:rsidR="005677CB" w:rsidRPr="0042214E">
        <w:t xml:space="preserve">only </w:t>
      </w:r>
      <w:r w:rsidR="00C407A7" w:rsidRPr="0042214E">
        <w:t>department</w:t>
      </w:r>
      <w:r w:rsidR="007175DD" w:rsidRPr="0042214E">
        <w:t>s’</w:t>
      </w:r>
      <w:r w:rsidR="00C407A7" w:rsidRPr="0042214E">
        <w:t xml:space="preserve"> role</w:t>
      </w:r>
      <w:r w:rsidR="007175DD" w:rsidRPr="0042214E">
        <w:t>s</w:t>
      </w:r>
      <w:r w:rsidR="00C407A7" w:rsidRPr="0042214E">
        <w:t xml:space="preserve"> </w:t>
      </w:r>
      <w:r w:rsidR="005677CB" w:rsidRPr="0042214E">
        <w:t>outlined below</w:t>
      </w:r>
      <w:r w:rsidR="00C407A7" w:rsidRPr="0042214E">
        <w:t xml:space="preserve"> apply</w:t>
      </w:r>
      <w:r w:rsidR="007175DD" w:rsidRPr="0042214E">
        <w:t>, as DTF assurance and Government approvals do not apply</w:t>
      </w:r>
      <w:r w:rsidRPr="0042214E">
        <w:t xml:space="preserve">. </w:t>
      </w:r>
    </w:p>
    <w:p w14:paraId="28452459" w14:textId="3D6A6E49" w:rsidR="00342D96" w:rsidRPr="0042214E" w:rsidRDefault="00342D96" w:rsidP="00342D96">
      <w:pPr>
        <w:pStyle w:val="Caption"/>
      </w:pPr>
      <w:r w:rsidRPr="0042214E">
        <w:t xml:space="preserve">Figure 3: </w:t>
      </w:r>
      <w:r w:rsidR="007C7191">
        <w:t>P</w:t>
      </w:r>
      <w:r w:rsidR="007C7191" w:rsidRPr="0042214E">
        <w:t xml:space="preserve">roject </w:t>
      </w:r>
      <w:r w:rsidR="007C7191">
        <w:t>A</w:t>
      </w:r>
      <w:r w:rsidR="007C7191" w:rsidRPr="0042214E">
        <w:t>ssurance</w:t>
      </w:r>
      <w:r w:rsidR="007C7191" w:rsidRPr="0042214E" w:rsidDel="007C7191">
        <w:t xml:space="preserve"> </w:t>
      </w:r>
      <w:r w:rsidRPr="0042214E">
        <w:t>Framework</w:t>
      </w:r>
    </w:p>
    <w:p w14:paraId="2BB21D6F" w14:textId="55441BC8" w:rsidR="00342D96" w:rsidRPr="0042214E" w:rsidRDefault="00523A9F">
      <w:r>
        <w:object w:dxaOrig="11280" w:dyaOrig="11790" w14:anchorId="2CD728C7">
          <v:shape id="_x0000_i1026" type="#_x0000_t75" style="width:446.25pt;height:461.25pt" o:ole="">
            <v:imagedata r:id="rId33" o:title=""/>
          </v:shape>
          <o:OLEObject Type="Embed" ProgID="Visio.Drawing.15" ShapeID="_x0000_i1026" DrawAspect="Content" ObjectID="_1736165081" r:id="rId34"/>
        </w:object>
      </w:r>
    </w:p>
    <w:p w14:paraId="68015376" w14:textId="0A2B767E" w:rsidR="00F330E8" w:rsidRPr="0042214E" w:rsidRDefault="00F330E8" w:rsidP="00AA09AA">
      <w:pPr>
        <w:pStyle w:val="Heading2"/>
      </w:pPr>
      <w:bookmarkStart w:id="9" w:name="_Toc121415281"/>
      <w:bookmarkEnd w:id="8"/>
      <w:r w:rsidRPr="0042214E">
        <w:lastRenderedPageBreak/>
        <w:t>How to use this guideline</w:t>
      </w:r>
      <w:bookmarkEnd w:id="9"/>
    </w:p>
    <w:p w14:paraId="15EBBE2C" w14:textId="6C16BCA6" w:rsidR="00403A06" w:rsidRPr="0042214E" w:rsidRDefault="00F330E8" w:rsidP="00D666FA">
      <w:pPr>
        <w:keepNext/>
      </w:pPr>
      <w:r w:rsidRPr="0042214E">
        <w:t>The purpose is to provide useful methods and processes that support agencies as they prepare investment strategies and proposals. The guide supports evidence</w:t>
      </w:r>
      <w:r w:rsidR="00034452" w:rsidRPr="0042214E">
        <w:noBreakHyphen/>
      </w:r>
      <w:r w:rsidRPr="0042214E">
        <w:t xml:space="preserve">based </w:t>
      </w:r>
      <w:r w:rsidR="00AC63CD" w:rsidRPr="0042214E">
        <w:t>decision-</w:t>
      </w:r>
      <w:r w:rsidRPr="0042214E">
        <w:t xml:space="preserve">making. It is a tool to be scaled to the complexity of the investment. </w:t>
      </w:r>
    </w:p>
    <w:p w14:paraId="21D2F2B0" w14:textId="080F2078" w:rsidR="00A05101" w:rsidRPr="0042214E" w:rsidRDefault="00865B8B" w:rsidP="00D666FA">
      <w:r w:rsidRPr="0042214E">
        <w:t>The</w:t>
      </w:r>
      <w:r w:rsidRPr="0042214E">
        <w:rPr>
          <w:i/>
        </w:rPr>
        <w:t xml:space="preserve"> Stage 1: </w:t>
      </w:r>
      <w:r w:rsidR="00AF44C7" w:rsidRPr="0042214E">
        <w:rPr>
          <w:i/>
        </w:rPr>
        <w:t xml:space="preserve">Business </w:t>
      </w:r>
      <w:r w:rsidRPr="0042214E">
        <w:rPr>
          <w:i/>
        </w:rPr>
        <w:t>c</w:t>
      </w:r>
      <w:r w:rsidR="00AF44C7" w:rsidRPr="0042214E">
        <w:rPr>
          <w:i/>
        </w:rPr>
        <w:t>ase</w:t>
      </w:r>
      <w:r w:rsidRPr="0042214E">
        <w:rPr>
          <w:i/>
        </w:rPr>
        <w:t xml:space="preserve"> </w:t>
      </w:r>
      <w:r w:rsidRPr="0042214E">
        <w:t>guide</w:t>
      </w:r>
      <w:r w:rsidR="00AF44C7" w:rsidRPr="0042214E">
        <w:t xml:space="preserve"> </w:t>
      </w:r>
      <w:r w:rsidR="00722D45" w:rsidRPr="0042214E">
        <w:t xml:space="preserve">is supported by </w:t>
      </w:r>
      <w:r w:rsidRPr="0042214E">
        <w:t xml:space="preserve">the </w:t>
      </w:r>
      <w:r w:rsidRPr="00922978">
        <w:rPr>
          <w:i/>
        </w:rPr>
        <w:t>Overview</w:t>
      </w:r>
      <w:r w:rsidR="00922978" w:rsidRPr="00922978">
        <w:rPr>
          <w:i/>
        </w:rPr>
        <w:t xml:space="preserve"> and glossary</w:t>
      </w:r>
      <w:r w:rsidRPr="0042214E">
        <w:t xml:space="preserve"> guide, </w:t>
      </w:r>
      <w:r w:rsidR="00403A06" w:rsidRPr="0042214E">
        <w:t xml:space="preserve">technical </w:t>
      </w:r>
      <w:r w:rsidR="00217E3D" w:rsidRPr="0042214E">
        <w:t>guides</w:t>
      </w:r>
      <w:r w:rsidRPr="0042214E">
        <w:t xml:space="preserve">, </w:t>
      </w:r>
      <w:proofErr w:type="gramStart"/>
      <w:r w:rsidR="00403A06" w:rsidRPr="0042214E">
        <w:t>tools</w:t>
      </w:r>
      <w:proofErr w:type="gramEnd"/>
      <w:r w:rsidR="00403A06" w:rsidRPr="0042214E">
        <w:t xml:space="preserve"> and </w:t>
      </w:r>
      <w:r w:rsidR="00F330E8" w:rsidRPr="0042214E">
        <w:t>templates</w:t>
      </w:r>
      <w:r w:rsidRPr="0042214E">
        <w:t>, and sh</w:t>
      </w:r>
      <w:r w:rsidR="003C1F67" w:rsidRPr="0042214E">
        <w:t>ould be read in conjunction with the</w:t>
      </w:r>
      <w:r w:rsidRPr="0042214E">
        <w:t>se</w:t>
      </w:r>
      <w:r w:rsidR="003C1F67" w:rsidRPr="0042214E">
        <w:t>.</w:t>
      </w:r>
    </w:p>
    <w:p w14:paraId="43BC942D" w14:textId="0F2F8D9D" w:rsidR="00A356AA" w:rsidRPr="0042214E" w:rsidRDefault="00B74499" w:rsidP="00D666FA">
      <w:pPr>
        <w:pStyle w:val="Caption"/>
      </w:pPr>
      <w:r>
        <w:t xml:space="preserve">Table </w:t>
      </w:r>
      <w:fldSimple w:instr=" SEQ Table \* ARABIC ">
        <w:r w:rsidR="00295E8F">
          <w:rPr>
            <w:noProof/>
          </w:rPr>
          <w:t>1</w:t>
        </w:r>
      </w:fldSimple>
      <w:r w:rsidR="000C15B0" w:rsidRPr="0042214E">
        <w:t xml:space="preserve">: </w:t>
      </w:r>
      <w:r w:rsidR="00C1008F" w:rsidRPr="0042214E">
        <w:t xml:space="preserve">Stage 1 </w:t>
      </w:r>
      <w:r w:rsidR="00C91A5A" w:rsidRPr="0042214E">
        <w:t>–</w:t>
      </w:r>
      <w:r w:rsidR="00C1008F" w:rsidRPr="0042214E">
        <w:t xml:space="preserve"> </w:t>
      </w:r>
      <w:r w:rsidR="00AA09AA" w:rsidRPr="0042214E">
        <w:t xml:space="preserve">document </w:t>
      </w:r>
      <w:r w:rsidR="00C1008F" w:rsidRPr="0042214E">
        <w:t>requirements and supporting guides and templates</w:t>
      </w:r>
    </w:p>
    <w:tbl>
      <w:tblPr>
        <w:tblStyle w:val="TableGrid"/>
        <w:tblW w:w="926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86" w:type="dxa"/>
          <w:right w:w="86" w:type="dxa"/>
        </w:tblCellMar>
        <w:tblLook w:val="04A0" w:firstRow="1" w:lastRow="0" w:firstColumn="1" w:lastColumn="0" w:noHBand="0" w:noVBand="1"/>
      </w:tblPr>
      <w:tblGrid>
        <w:gridCol w:w="4633"/>
        <w:gridCol w:w="4633"/>
      </w:tblGrid>
      <w:tr w:rsidR="00C1008F" w:rsidRPr="0042214E" w14:paraId="0CD62EC3" w14:textId="77777777" w:rsidTr="00D66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6" w:type="dxa"/>
            <w:gridSpan w:val="2"/>
            <w:shd w:val="clear" w:color="auto" w:fill="E57200" w:themeFill="accent2"/>
          </w:tcPr>
          <w:p w14:paraId="44019C4E" w14:textId="1C81BC73" w:rsidR="00C1008F" w:rsidRPr="0042214E" w:rsidRDefault="00C1008F" w:rsidP="00D666FA">
            <w:pPr>
              <w:pStyle w:val="Tableheader"/>
              <w:spacing w:before="60"/>
              <w:jc w:val="center"/>
              <w:rPr>
                <w:b/>
              </w:rPr>
            </w:pPr>
            <w:r w:rsidRPr="0042214E">
              <w:rPr>
                <w:b/>
              </w:rPr>
              <w:t>Stage 1</w:t>
            </w:r>
            <w:r w:rsidR="00175CA3" w:rsidRPr="0042214E">
              <w:rPr>
                <w:b/>
              </w:rPr>
              <w:t>:</w:t>
            </w:r>
            <w:r w:rsidRPr="0042214E">
              <w:rPr>
                <w:b/>
              </w:rPr>
              <w:t xml:space="preserve"> Business </w:t>
            </w:r>
            <w:r w:rsidR="00175CA3" w:rsidRPr="0042214E">
              <w:rPr>
                <w:b/>
              </w:rPr>
              <w:t>c</w:t>
            </w:r>
            <w:r w:rsidRPr="0042214E">
              <w:rPr>
                <w:b/>
              </w:rPr>
              <w:t>ase</w:t>
            </w:r>
          </w:p>
        </w:tc>
      </w:tr>
      <w:tr w:rsidR="00C1008F" w:rsidRPr="0042214E" w14:paraId="3C175831" w14:textId="77777777" w:rsidTr="00D666FA">
        <w:tc>
          <w:tcPr>
            <w:cnfStyle w:val="001000000000" w:firstRow="0" w:lastRow="0" w:firstColumn="1" w:lastColumn="0" w:oddVBand="0" w:evenVBand="0" w:oddHBand="0" w:evenHBand="0" w:firstRowFirstColumn="0" w:firstRowLastColumn="0" w:lastRowFirstColumn="0" w:lastRowLastColumn="0"/>
            <w:tcW w:w="4633" w:type="dxa"/>
            <w:shd w:val="clear" w:color="auto" w:fill="E57200" w:themeFill="accent2"/>
          </w:tcPr>
          <w:p w14:paraId="7003938B" w14:textId="3774CDC1" w:rsidR="00C1008F" w:rsidRPr="0042214E" w:rsidRDefault="00C1008F" w:rsidP="00D666FA">
            <w:pPr>
              <w:pStyle w:val="Tableheader"/>
              <w:spacing w:before="60"/>
              <w:rPr>
                <w:b/>
              </w:rPr>
            </w:pPr>
            <w:r w:rsidRPr="0042214E">
              <w:rPr>
                <w:b/>
              </w:rPr>
              <w:t>Documents required to be submitted by departments</w:t>
            </w:r>
          </w:p>
        </w:tc>
        <w:tc>
          <w:tcPr>
            <w:tcW w:w="4633" w:type="dxa"/>
            <w:shd w:val="clear" w:color="auto" w:fill="E57200" w:themeFill="accent2"/>
          </w:tcPr>
          <w:p w14:paraId="544026A5" w14:textId="583BCC3A" w:rsidR="00C1008F" w:rsidRPr="0042214E" w:rsidRDefault="00C1008F" w:rsidP="00D666FA">
            <w:pPr>
              <w:pStyle w:val="Tableheader"/>
              <w:spacing w:before="60"/>
              <w:cnfStyle w:val="000000000000" w:firstRow="0" w:lastRow="0" w:firstColumn="0" w:lastColumn="0" w:oddVBand="0" w:evenVBand="0" w:oddHBand="0" w:evenHBand="0" w:firstRowFirstColumn="0" w:firstRowLastColumn="0" w:lastRowFirstColumn="0" w:lastRowLastColumn="0"/>
              <w:rPr>
                <w:b/>
              </w:rPr>
            </w:pPr>
            <w:r w:rsidRPr="0042214E">
              <w:rPr>
                <w:b/>
              </w:rPr>
              <w:t>Tools</w:t>
            </w:r>
            <w:r w:rsidR="005B798D" w:rsidRPr="0042214E">
              <w:rPr>
                <w:b/>
              </w:rPr>
              <w:t xml:space="preserve">, </w:t>
            </w:r>
            <w:proofErr w:type="gramStart"/>
            <w:r w:rsidRPr="0042214E">
              <w:rPr>
                <w:b/>
              </w:rPr>
              <w:t>templates</w:t>
            </w:r>
            <w:proofErr w:type="gramEnd"/>
            <w:r w:rsidRPr="0042214E">
              <w:rPr>
                <w:b/>
              </w:rPr>
              <w:t xml:space="preserve"> </w:t>
            </w:r>
            <w:r w:rsidR="005B798D" w:rsidRPr="0042214E">
              <w:rPr>
                <w:b/>
              </w:rPr>
              <w:t xml:space="preserve">and resources </w:t>
            </w:r>
            <w:r w:rsidRPr="0042214E">
              <w:rPr>
                <w:b/>
              </w:rPr>
              <w:t>to assist departments</w:t>
            </w:r>
          </w:p>
        </w:tc>
      </w:tr>
      <w:tr w:rsidR="00C1008F" w:rsidRPr="0042214E" w14:paraId="417659CD" w14:textId="77777777" w:rsidTr="005371EE">
        <w:trPr>
          <w:trHeight w:val="4908"/>
        </w:trPr>
        <w:tc>
          <w:tcPr>
            <w:cnfStyle w:val="001000000000" w:firstRow="0" w:lastRow="0" w:firstColumn="1" w:lastColumn="0" w:oddVBand="0" w:evenVBand="0" w:oddHBand="0" w:evenHBand="0" w:firstRowFirstColumn="0" w:firstRowLastColumn="0" w:lastRowFirstColumn="0" w:lastRowLastColumn="0"/>
            <w:tcW w:w="4633" w:type="dxa"/>
            <w:shd w:val="clear" w:color="auto" w:fill="FDF3EA" w:themeFill="accent5" w:themeFillTint="33"/>
          </w:tcPr>
          <w:p w14:paraId="006408E8" w14:textId="77777777" w:rsidR="00C1008F" w:rsidRPr="0042214E" w:rsidRDefault="00C1008F" w:rsidP="00AA09AA">
            <w:pPr>
              <w:pStyle w:val="Tabletext"/>
            </w:pPr>
            <w:r w:rsidRPr="0042214E">
              <w:t>Business case template (investment and delivery case)</w:t>
            </w:r>
          </w:p>
          <w:p w14:paraId="70BEA821" w14:textId="77777777" w:rsidR="008111DE" w:rsidRPr="0042214E" w:rsidRDefault="008111DE" w:rsidP="00AA09AA">
            <w:pPr>
              <w:pStyle w:val="Tabletext"/>
            </w:pPr>
          </w:p>
          <w:p w14:paraId="18B64A8E" w14:textId="75DAEEE9" w:rsidR="00C1008F" w:rsidRPr="0042214E" w:rsidRDefault="00C1008F" w:rsidP="00AA09AA">
            <w:pPr>
              <w:pStyle w:val="Tabletext"/>
              <w:rPr>
                <w:rFonts w:eastAsia="Times New Roman"/>
              </w:rPr>
            </w:pPr>
            <w:r w:rsidRPr="0042214E">
              <w:t>Business case</w:t>
            </w:r>
            <w:r w:rsidR="00463012" w:rsidRPr="0042214E">
              <w:t xml:space="preserve"> part 1</w:t>
            </w:r>
            <w:r w:rsidRPr="0042214E">
              <w:t xml:space="preserve">: </w:t>
            </w:r>
            <w:r w:rsidRPr="0042214E">
              <w:rPr>
                <w:i/>
                <w:iCs/>
              </w:rPr>
              <w:t>Investment case</w:t>
            </w:r>
          </w:p>
          <w:p w14:paraId="2456EBC0" w14:textId="77777777" w:rsidR="00C1008F" w:rsidRPr="0042214E" w:rsidRDefault="00C1008F" w:rsidP="00AA09AA">
            <w:pPr>
              <w:pStyle w:val="Tablebullet"/>
              <w:rPr>
                <w:rFonts w:eastAsia="Times New Roman"/>
              </w:rPr>
            </w:pPr>
            <w:r w:rsidRPr="0042214E">
              <w:t>Project Profile Model</w:t>
            </w:r>
          </w:p>
          <w:p w14:paraId="359EF581" w14:textId="72647A86" w:rsidR="00C1008F" w:rsidRPr="0042214E" w:rsidRDefault="00CA1718" w:rsidP="00AA09AA">
            <w:pPr>
              <w:pStyle w:val="Tablebullet"/>
              <w:rPr>
                <w:rFonts w:eastAsia="Times New Roman"/>
              </w:rPr>
            </w:pPr>
            <w:r>
              <w:t>I</w:t>
            </w:r>
            <w:r w:rsidR="00E15B05" w:rsidRPr="0042214E">
              <w:t>nvestment logic map</w:t>
            </w:r>
          </w:p>
          <w:p w14:paraId="2E3D303A" w14:textId="514422FF" w:rsidR="00C1008F" w:rsidRPr="0042214E" w:rsidRDefault="00CA1718" w:rsidP="00AA09AA">
            <w:pPr>
              <w:pStyle w:val="Tablebullet"/>
              <w:rPr>
                <w:rFonts w:eastAsia="Times New Roman"/>
              </w:rPr>
            </w:pPr>
            <w:r>
              <w:t>B</w:t>
            </w:r>
            <w:r w:rsidR="00E15B05" w:rsidRPr="0042214E">
              <w:t xml:space="preserve">enefit </w:t>
            </w:r>
            <w:r w:rsidR="00C1008F" w:rsidRPr="0042214E">
              <w:t>management plan*</w:t>
            </w:r>
          </w:p>
          <w:p w14:paraId="2CA7976C" w14:textId="3A650256" w:rsidR="00463012" w:rsidRPr="0042214E" w:rsidRDefault="00463012" w:rsidP="00AA09AA">
            <w:pPr>
              <w:pStyle w:val="Tablebullet"/>
              <w:rPr>
                <w:rFonts w:eastAsia="Times New Roman"/>
              </w:rPr>
            </w:pPr>
            <w:r w:rsidRPr="0042214E">
              <w:rPr>
                <w:rFonts w:eastAsia="Times New Roman"/>
              </w:rPr>
              <w:t>Red</w:t>
            </w:r>
            <w:r w:rsidR="00E15B05">
              <w:rPr>
                <w:rFonts w:eastAsia="Times New Roman"/>
              </w:rPr>
              <w:t>-</w:t>
            </w:r>
            <w:r w:rsidRPr="0042214E">
              <w:rPr>
                <w:rFonts w:eastAsia="Times New Roman"/>
              </w:rPr>
              <w:t xml:space="preserve">rated Gateway recommendations in the </w:t>
            </w:r>
            <w:r w:rsidR="00E15B05" w:rsidRPr="0042214E">
              <w:rPr>
                <w:rFonts w:eastAsia="Times New Roman"/>
              </w:rPr>
              <w:t>recommendation action plan</w:t>
            </w:r>
          </w:p>
          <w:p w14:paraId="1E7D4EC3" w14:textId="77777777" w:rsidR="008111DE" w:rsidRPr="0042214E" w:rsidRDefault="008111DE" w:rsidP="00AA09AA">
            <w:pPr>
              <w:pStyle w:val="Tabletext"/>
            </w:pPr>
          </w:p>
          <w:p w14:paraId="7C6FFD27" w14:textId="4498CFAA" w:rsidR="00C1008F" w:rsidRPr="0042214E" w:rsidRDefault="00C1008F" w:rsidP="00AA09AA">
            <w:pPr>
              <w:pStyle w:val="Tabletext"/>
              <w:rPr>
                <w:rFonts w:eastAsia="Times New Roman"/>
              </w:rPr>
            </w:pPr>
            <w:r w:rsidRPr="0042214E">
              <w:t>Business case</w:t>
            </w:r>
            <w:r w:rsidR="00463012" w:rsidRPr="0042214E">
              <w:t xml:space="preserve"> part 2</w:t>
            </w:r>
            <w:r w:rsidRPr="0042214E">
              <w:t xml:space="preserve">: </w:t>
            </w:r>
            <w:r w:rsidRPr="0042214E">
              <w:rPr>
                <w:i/>
                <w:iCs/>
              </w:rPr>
              <w:t>Delivery case</w:t>
            </w:r>
          </w:p>
          <w:p w14:paraId="6F4FCA6F" w14:textId="77777777" w:rsidR="00C1008F" w:rsidRPr="0042214E" w:rsidRDefault="00C1008F" w:rsidP="00AA09AA">
            <w:pPr>
              <w:pStyle w:val="Tablebullet"/>
              <w:rPr>
                <w:rFonts w:eastAsia="Times New Roman"/>
              </w:rPr>
            </w:pPr>
            <w:r w:rsidRPr="0042214E">
              <w:t>Procurement strategy</w:t>
            </w:r>
          </w:p>
          <w:p w14:paraId="6315FB89" w14:textId="6FBD0FF6" w:rsidR="00C1008F" w:rsidRPr="0042214E" w:rsidRDefault="00C1008F" w:rsidP="00AA09AA">
            <w:pPr>
              <w:pStyle w:val="Tablebullet"/>
              <w:rPr>
                <w:rFonts w:eastAsia="Times New Roman"/>
              </w:rPr>
            </w:pPr>
            <w:r w:rsidRPr="0042214E">
              <w:t>Risk register*</w:t>
            </w:r>
          </w:p>
          <w:p w14:paraId="6A1DC830" w14:textId="165967F8" w:rsidR="00AB2141" w:rsidRPr="0042214E" w:rsidRDefault="00AB2141" w:rsidP="00AA09AA">
            <w:pPr>
              <w:pStyle w:val="Tablebullet"/>
              <w:rPr>
                <w:rFonts w:eastAsia="Times New Roman"/>
              </w:rPr>
            </w:pPr>
            <w:r w:rsidRPr="0042214E">
              <w:rPr>
                <w:rFonts w:eastAsia="Times New Roman"/>
              </w:rPr>
              <w:t>Detailed project schedule</w:t>
            </w:r>
          </w:p>
          <w:p w14:paraId="7EF6536E" w14:textId="0845321B" w:rsidR="00AB2141" w:rsidRPr="0042214E" w:rsidRDefault="00AB2141" w:rsidP="00AA09AA">
            <w:pPr>
              <w:pStyle w:val="Tablebullet"/>
              <w:rPr>
                <w:rFonts w:eastAsia="Times New Roman"/>
              </w:rPr>
            </w:pPr>
            <w:r w:rsidRPr="0042214E">
              <w:rPr>
                <w:rFonts w:eastAsia="Times New Roman"/>
              </w:rPr>
              <w:t>Detailed cost plan</w:t>
            </w:r>
          </w:p>
          <w:p w14:paraId="63F3B1B5" w14:textId="25BA00C9" w:rsidR="00463012" w:rsidRPr="0042214E" w:rsidRDefault="00463012" w:rsidP="00AA09AA">
            <w:pPr>
              <w:pStyle w:val="Tablebullet"/>
              <w:rPr>
                <w:rFonts w:eastAsia="Times New Roman"/>
              </w:rPr>
            </w:pPr>
            <w:r w:rsidRPr="0042214E">
              <w:rPr>
                <w:rFonts w:eastAsia="Times New Roman"/>
              </w:rPr>
              <w:t xml:space="preserve">Red rated Gateway recommendations in the </w:t>
            </w:r>
            <w:r w:rsidR="00440874" w:rsidRPr="0042214E">
              <w:rPr>
                <w:rFonts w:eastAsia="Times New Roman"/>
              </w:rPr>
              <w:t>recommendation action plan</w:t>
            </w:r>
          </w:p>
          <w:p w14:paraId="16DE10CD" w14:textId="1CB0ABD0" w:rsidR="008111DE" w:rsidRPr="0042214E" w:rsidRDefault="008111DE" w:rsidP="00AA09AA">
            <w:pPr>
              <w:spacing w:before="0" w:after="0" w:line="240" w:lineRule="auto"/>
              <w:rPr>
                <w:rFonts w:eastAsia="Times New Roman"/>
                <w:sz w:val="16"/>
              </w:rPr>
            </w:pPr>
          </w:p>
          <w:p w14:paraId="7800F500" w14:textId="282CEEFE" w:rsidR="008111DE" w:rsidRPr="0042214E" w:rsidRDefault="008111DE" w:rsidP="00AA09AA">
            <w:pPr>
              <w:pStyle w:val="NoteNormal"/>
            </w:pPr>
            <w:r w:rsidRPr="0042214E">
              <w:t>Note that for HVHR projects, DTF will undertake the following:</w:t>
            </w:r>
          </w:p>
          <w:p w14:paraId="531380AF" w14:textId="0F87BF20" w:rsidR="00E02AD7" w:rsidRPr="0042214E" w:rsidRDefault="00C1008F" w:rsidP="00AA09AA">
            <w:pPr>
              <w:pStyle w:val="Tablebullet"/>
              <w:rPr>
                <w:rFonts w:eastAsia="Times New Roman"/>
                <w:sz w:val="16"/>
              </w:rPr>
            </w:pPr>
            <w:r w:rsidRPr="0042214E">
              <w:rPr>
                <w:sz w:val="16"/>
              </w:rPr>
              <w:t xml:space="preserve">DTF </w:t>
            </w:r>
            <w:r w:rsidR="00440874" w:rsidRPr="0042214E">
              <w:rPr>
                <w:sz w:val="16"/>
              </w:rPr>
              <w:t>project assurance plan</w:t>
            </w:r>
          </w:p>
          <w:p w14:paraId="6CA37A8B" w14:textId="01BCE8A3" w:rsidR="00463012" w:rsidRPr="0042214E" w:rsidRDefault="00C1008F" w:rsidP="00AA09AA">
            <w:pPr>
              <w:pStyle w:val="Tablebullet"/>
              <w:rPr>
                <w:rFonts w:eastAsia="Times New Roman"/>
                <w:sz w:val="16"/>
              </w:rPr>
            </w:pPr>
            <w:r w:rsidRPr="0042214E">
              <w:rPr>
                <w:sz w:val="16"/>
              </w:rPr>
              <w:t xml:space="preserve">DTF </w:t>
            </w:r>
            <w:r w:rsidR="00440874" w:rsidRPr="0042214E">
              <w:rPr>
                <w:sz w:val="16"/>
              </w:rPr>
              <w:t>independent cost review</w:t>
            </w:r>
          </w:p>
          <w:p w14:paraId="5E02265C" w14:textId="20C93CDD" w:rsidR="00C627E9" w:rsidRPr="0042214E" w:rsidRDefault="00C627E9" w:rsidP="00AA09AA">
            <w:pPr>
              <w:pStyle w:val="Tabletext"/>
            </w:pPr>
          </w:p>
          <w:p w14:paraId="4567ADD6" w14:textId="71785D6D" w:rsidR="00C627E9" w:rsidRPr="0042214E" w:rsidRDefault="00D666FA" w:rsidP="00D666FA">
            <w:pPr>
              <w:pStyle w:val="Tabletext"/>
              <w:rPr>
                <w:b/>
              </w:rPr>
            </w:pPr>
            <w:r w:rsidRPr="0042214E">
              <w:rPr>
                <w:b/>
                <w:color w:val="E35205" w:themeColor="accent1"/>
              </w:rPr>
              <w:t>HVHR projects are required to undergo Gateway Review Process: Gates 1/2</w:t>
            </w:r>
          </w:p>
        </w:tc>
        <w:tc>
          <w:tcPr>
            <w:tcW w:w="4633" w:type="dxa"/>
            <w:shd w:val="clear" w:color="auto" w:fill="FDF3EA" w:themeFill="accent5" w:themeFillTint="33"/>
          </w:tcPr>
          <w:p w14:paraId="1536F1DC" w14:textId="77777777" w:rsidR="00C1008F" w:rsidRPr="0042214E" w:rsidRDefault="00C1008F"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Business case guide and template</w:t>
            </w:r>
          </w:p>
          <w:p w14:paraId="77E94907" w14:textId="77777777" w:rsidR="00C1008F" w:rsidRPr="0042214E" w:rsidRDefault="00C1008F"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 xml:space="preserve">Project Profile Model, </w:t>
            </w:r>
            <w:proofErr w:type="gramStart"/>
            <w:r w:rsidRPr="0042214E">
              <w:t>instructions</w:t>
            </w:r>
            <w:proofErr w:type="gramEnd"/>
            <w:r w:rsidRPr="0042214E">
              <w:t xml:space="preserve"> and glossary</w:t>
            </w:r>
          </w:p>
          <w:p w14:paraId="5A011747" w14:textId="10146C8F" w:rsidR="00360865" w:rsidRPr="0042214E" w:rsidRDefault="00360865"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 xml:space="preserve">Investment Management Standard including </w:t>
            </w:r>
            <w:r w:rsidR="00E15B05" w:rsidRPr="0042214E">
              <w:t>investment logic map and benefit management plan</w:t>
            </w:r>
          </w:p>
          <w:p w14:paraId="71C48403" w14:textId="288D7034" w:rsidR="00CA1718" w:rsidRDefault="00E02AD7"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Economic Evaluation technical guide</w:t>
            </w:r>
            <w:r w:rsidR="000705F5" w:rsidRPr="0042214E">
              <w:t xml:space="preserve"> </w:t>
            </w:r>
          </w:p>
          <w:p w14:paraId="020A929C" w14:textId="3FB7304B" w:rsidR="00C1008F" w:rsidRPr="0042214E" w:rsidRDefault="00C1008F"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Value C</w:t>
            </w:r>
            <w:r w:rsidR="00BE4CFF" w:rsidRPr="0042214E">
              <w:t>reation and Capture</w:t>
            </w:r>
            <w:r w:rsidRPr="0042214E">
              <w:t xml:space="preserve"> (see Department of Premier and Cabinet website)</w:t>
            </w:r>
          </w:p>
          <w:p w14:paraId="6E07157E" w14:textId="4FF4972F" w:rsidR="007F4641" w:rsidRPr="0042214E" w:rsidRDefault="00C1008F"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 xml:space="preserve">Procurement </w:t>
            </w:r>
            <w:r w:rsidR="00440874" w:rsidRPr="0042214E">
              <w:t xml:space="preserve">strategy </w:t>
            </w:r>
            <w:r w:rsidR="004D109B" w:rsidRPr="0042214E">
              <w:t xml:space="preserve">technical guide </w:t>
            </w:r>
            <w:r w:rsidRPr="0042214E">
              <w:t xml:space="preserve">and template </w:t>
            </w:r>
          </w:p>
          <w:p w14:paraId="4BA2F381" w14:textId="16E5FDDB" w:rsidR="00591293" w:rsidRPr="0042214E" w:rsidRDefault="00591293"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Risk management technical guide</w:t>
            </w:r>
          </w:p>
          <w:p w14:paraId="4C83B500" w14:textId="582CD98E" w:rsidR="00C1008F" w:rsidRPr="0042214E" w:rsidRDefault="00C1008F"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Risk management plan*</w:t>
            </w:r>
          </w:p>
          <w:p w14:paraId="73C3901F" w14:textId="760E8132" w:rsidR="00C1008F" w:rsidRPr="0042214E" w:rsidRDefault="00C1008F"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Project budget</w:t>
            </w:r>
            <w:r w:rsidR="00217E3D" w:rsidRPr="0042214E">
              <w:t xml:space="preserve"> technical guide</w:t>
            </w:r>
          </w:p>
          <w:p w14:paraId="43CDB465" w14:textId="74F8F536" w:rsidR="00C1008F" w:rsidRPr="0042214E" w:rsidRDefault="00C1008F"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Project governance</w:t>
            </w:r>
            <w:r w:rsidR="00217E3D" w:rsidRPr="0042214E">
              <w:t xml:space="preserve"> technical guide</w:t>
            </w:r>
          </w:p>
          <w:p w14:paraId="458E4CAD" w14:textId="477AA642" w:rsidR="00C1008F" w:rsidRPr="0042214E" w:rsidRDefault="00411644"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Developing</w:t>
            </w:r>
            <w:r w:rsidR="00C1008F" w:rsidRPr="0042214E">
              <w:t xml:space="preserve"> ICT </w:t>
            </w:r>
            <w:r w:rsidRPr="0042214E">
              <w:t xml:space="preserve">investments </w:t>
            </w:r>
            <w:r w:rsidR="00CA1718">
              <w:t>t</w:t>
            </w:r>
            <w:r w:rsidRPr="0042214E">
              <w:t xml:space="preserve">echnical </w:t>
            </w:r>
            <w:r w:rsidR="00CA1718">
              <w:t>g</w:t>
            </w:r>
            <w:r w:rsidRPr="0042214E">
              <w:t>uid</w:t>
            </w:r>
            <w:r w:rsidR="00CA1718">
              <w:t>e</w:t>
            </w:r>
          </w:p>
          <w:p w14:paraId="7F205559" w14:textId="6CFFE100" w:rsidR="00C1008F" w:rsidRPr="0042214E" w:rsidRDefault="00C1008F"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 xml:space="preserve">Real </w:t>
            </w:r>
            <w:r w:rsidR="000F3A54" w:rsidRPr="0042214E">
              <w:t>o</w:t>
            </w:r>
            <w:r w:rsidRPr="0042214E">
              <w:t xml:space="preserve">ptions analysis technical </w:t>
            </w:r>
            <w:r w:rsidR="000F3A54" w:rsidRPr="0042214E">
              <w:t>guide</w:t>
            </w:r>
            <w:r w:rsidRPr="0042214E">
              <w:t>*</w:t>
            </w:r>
          </w:p>
          <w:p w14:paraId="73785885" w14:textId="0FEF4338" w:rsidR="00C1008F" w:rsidRPr="0042214E" w:rsidRDefault="00C1008F"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Application of HVHR project assurance framework to market</w:t>
            </w:r>
            <w:r w:rsidR="00034452" w:rsidRPr="0042214E">
              <w:noBreakHyphen/>
            </w:r>
            <w:r w:rsidRPr="0042214E">
              <w:t>led proposals</w:t>
            </w:r>
          </w:p>
          <w:p w14:paraId="03A3F0DC" w14:textId="50AB77B6" w:rsidR="00C1008F" w:rsidRPr="0042214E" w:rsidRDefault="00197CEF"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 xml:space="preserve">Project Development and Due Diligence </w:t>
            </w:r>
            <w:r w:rsidR="00CA1718">
              <w:t>Guidelines</w:t>
            </w:r>
          </w:p>
          <w:p w14:paraId="6CF54069" w14:textId="3B045DE2" w:rsidR="005B798D" w:rsidRPr="0042214E" w:rsidRDefault="005B798D"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Victorian Government Risk Management Framework (VGRMF)</w:t>
            </w:r>
          </w:p>
          <w:p w14:paraId="3584C495" w14:textId="1CCF3FAE" w:rsidR="00D206CE" w:rsidRPr="0042214E" w:rsidRDefault="005B798D" w:rsidP="00D666FA">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Resource Management Framework (RMF)</w:t>
            </w:r>
          </w:p>
        </w:tc>
      </w:tr>
    </w:tbl>
    <w:p w14:paraId="46B2928C" w14:textId="68ED5B3B" w:rsidR="000D672F" w:rsidRPr="0042214E" w:rsidRDefault="00D93B2D" w:rsidP="00440874">
      <w:pPr>
        <w:pStyle w:val="NoteNormal"/>
      </w:pPr>
      <w:r w:rsidRPr="0042214E">
        <w:t>*</w:t>
      </w:r>
      <w:r w:rsidR="00810C62" w:rsidRPr="0042214E">
        <w:t xml:space="preserve"> </w:t>
      </w:r>
      <w:r w:rsidRPr="0042214E">
        <w:t>‘</w:t>
      </w:r>
      <w:r w:rsidR="00810C62" w:rsidRPr="0042214E">
        <w:t xml:space="preserve">Live’ </w:t>
      </w:r>
      <w:r w:rsidRPr="0042214E">
        <w:t>document</w:t>
      </w:r>
      <w:r w:rsidR="00C1008F" w:rsidRPr="0042214E">
        <w:t>/guides are also relevant across the investment lifecycle (stages 1</w:t>
      </w:r>
      <w:r w:rsidR="00034452" w:rsidRPr="0042214E">
        <w:noBreakHyphen/>
      </w:r>
      <w:r w:rsidR="00C1008F" w:rsidRPr="0042214E">
        <w:t xml:space="preserve">3). Note that live documents </w:t>
      </w:r>
      <w:r w:rsidRPr="0042214E">
        <w:t>may require</w:t>
      </w:r>
      <w:r w:rsidR="00722D45" w:rsidRPr="0042214E">
        <w:t xml:space="preserve"> project teams to update these periodically </w:t>
      </w:r>
      <w:r w:rsidRPr="0042214E">
        <w:t>across the project lifecycle.</w:t>
      </w:r>
    </w:p>
    <w:p w14:paraId="232AECD6" w14:textId="10626AB2" w:rsidR="00A1311E" w:rsidRPr="0042214E" w:rsidRDefault="00A1311E" w:rsidP="00440874">
      <w:pPr>
        <w:pStyle w:val="NoteNormal"/>
      </w:pPr>
    </w:p>
    <w:p w14:paraId="59500B50" w14:textId="77777777" w:rsidR="00D666FA" w:rsidRPr="0042214E" w:rsidRDefault="00D666FA" w:rsidP="00AA09AA">
      <w:pPr>
        <w:pStyle w:val="NoteNormal"/>
      </w:pPr>
    </w:p>
    <w:p w14:paraId="62038075" w14:textId="5358EE1C" w:rsidR="005045C7" w:rsidRPr="0042214E" w:rsidRDefault="005045C7" w:rsidP="00D666FA">
      <w:r w:rsidRPr="0042214E">
        <w:t>The technical guides are available on the DTF website</w:t>
      </w:r>
      <w:r w:rsidRPr="0042214E">
        <w:rPr>
          <w:color w:val="E57200" w:themeColor="accent2"/>
        </w:rPr>
        <w:t xml:space="preserve"> </w:t>
      </w:r>
      <w:r w:rsidRPr="0042214E">
        <w:t>at</w:t>
      </w:r>
      <w:r w:rsidR="00AA09AA" w:rsidRPr="0042214E">
        <w:t xml:space="preserve"> </w:t>
      </w:r>
      <w:hyperlink r:id="rId35" w:history="1">
        <w:r w:rsidR="00CD5C46" w:rsidRPr="00CD5C46">
          <w:rPr>
            <w:rStyle w:val="Hyperlink"/>
          </w:rPr>
          <w:t>www.dtf.vic.gov.au/infrastructure-investment/investment-lifecycle-and-high-value-high-risk-guidelines</w:t>
        </w:r>
      </w:hyperlink>
    </w:p>
    <w:p w14:paraId="4BACCCA4" w14:textId="457B3C26" w:rsidR="002C3D9D" w:rsidRPr="0042214E" w:rsidRDefault="002C3D9D" w:rsidP="002C3D9D">
      <w:pPr>
        <w:pStyle w:val="Heading2"/>
      </w:pPr>
      <w:bookmarkStart w:id="10" w:name="_Toc121415282"/>
      <w:r w:rsidRPr="0042214E">
        <w:lastRenderedPageBreak/>
        <w:t xml:space="preserve">Who should use this </w:t>
      </w:r>
      <w:proofErr w:type="gramStart"/>
      <w:r w:rsidRPr="0042214E">
        <w:t>guide</w:t>
      </w:r>
      <w:bookmarkEnd w:id="10"/>
      <w:proofErr w:type="gramEnd"/>
    </w:p>
    <w:p w14:paraId="36F182DA" w14:textId="17585902" w:rsidR="009E0D3F" w:rsidRPr="0042214E" w:rsidRDefault="002C3D9D" w:rsidP="00D666FA">
      <w:pPr>
        <w:keepNext/>
      </w:pPr>
      <w:r w:rsidRPr="0042214E">
        <w:t>The guide</w:t>
      </w:r>
      <w:r w:rsidR="00722D45" w:rsidRPr="0042214E">
        <w:t>s</w:t>
      </w:r>
      <w:r w:rsidRPr="0042214E">
        <w:t xml:space="preserve"> target a broad range of stakeholders, both internal and external to the public sector, involved at all stages of the investment lifecycle. The lifecycle guide</w:t>
      </w:r>
      <w:r w:rsidR="00722D45" w:rsidRPr="0042214E">
        <w:t>s</w:t>
      </w:r>
      <w:r w:rsidRPr="0042214E">
        <w:t xml:space="preserve"> are designed to be useful for those with varying levels of investment knowledge and a range of requirements. </w:t>
      </w:r>
      <w:r w:rsidR="009E0D3F" w:rsidRPr="0042214E">
        <w:t xml:space="preserve">As a funding submission will ultimately be a Minister’s submission to the Government, </w:t>
      </w:r>
      <w:r w:rsidR="00496E34" w:rsidRPr="0042214E">
        <w:t>department</w:t>
      </w:r>
      <w:r w:rsidR="00553133" w:rsidRPr="0042214E">
        <w:t>s</w:t>
      </w:r>
      <w:r w:rsidR="009E0D3F" w:rsidRPr="0042214E">
        <w:t xml:space="preserve"> retain accountability and responsibility for the investment planning process. </w:t>
      </w:r>
    </w:p>
    <w:p w14:paraId="6A35C361" w14:textId="3F0F710D" w:rsidR="009E0D3F" w:rsidRPr="0042214E" w:rsidRDefault="009E0D3F" w:rsidP="009E0D3F">
      <w:r w:rsidRPr="0042214E">
        <w:t xml:space="preserve">The responsibility for the direction and production of these key documents should not be ‘outsourced’ to external consultants. However, external consultants may be of great assistance and their use should be considered where the necessary skills and resources are not available within </w:t>
      </w:r>
      <w:r w:rsidR="00A557A6" w:rsidRPr="0042214E">
        <w:t>an</w:t>
      </w:r>
      <w:r w:rsidRPr="0042214E">
        <w:t xml:space="preserve"> organisation.</w:t>
      </w:r>
    </w:p>
    <w:p w14:paraId="2B954671" w14:textId="7AFDACB0" w:rsidR="009E0D3F" w:rsidRPr="0042214E" w:rsidRDefault="009E0D3F" w:rsidP="009E0D3F">
      <w:r w:rsidRPr="0042214E">
        <w:t>The following are key roles involved in investment management</w:t>
      </w:r>
      <w:r w:rsidR="00103C55" w:rsidRPr="0042214E">
        <w:t xml:space="preserve">. </w:t>
      </w:r>
    </w:p>
    <w:p w14:paraId="18BC2D9A" w14:textId="2B51A553" w:rsidR="009E0D3F" w:rsidRPr="0042214E" w:rsidRDefault="00C91A5A" w:rsidP="005228F2">
      <w:pPr>
        <w:pStyle w:val="Caption"/>
        <w:keepNext w:val="0"/>
      </w:pPr>
      <w:r w:rsidRPr="0042214E">
        <w:t xml:space="preserve">Table </w:t>
      </w:r>
      <w:fldSimple w:instr=" SEQ Table \* ARABIC ">
        <w:r w:rsidR="00295E8F">
          <w:rPr>
            <w:noProof/>
          </w:rPr>
          <w:t>2</w:t>
        </w:r>
      </w:fldSimple>
      <w:r w:rsidR="00020646" w:rsidRPr="0042214E">
        <w:t xml:space="preserve">: </w:t>
      </w:r>
      <w:proofErr w:type="gramStart"/>
      <w:r w:rsidR="00020646" w:rsidRPr="0042214E">
        <w:t>Roles</w:t>
      </w:r>
      <w:proofErr w:type="gramEnd"/>
      <w:r w:rsidR="00020646" w:rsidRPr="0042214E">
        <w:t xml:space="preserve"> definition</w:t>
      </w:r>
      <w:r w:rsidR="007433EF" w:rsidRPr="0042214E">
        <w:t xml:space="preserve"> </w:t>
      </w:r>
    </w:p>
    <w:tbl>
      <w:tblPr>
        <w:tblStyle w:val="DTFtexttable0"/>
        <w:tblW w:w="9016" w:type="dxa"/>
        <w:tblLook w:val="0680" w:firstRow="0" w:lastRow="0" w:firstColumn="1" w:lastColumn="0" w:noHBand="1" w:noVBand="1"/>
      </w:tblPr>
      <w:tblGrid>
        <w:gridCol w:w="597"/>
        <w:gridCol w:w="2375"/>
        <w:gridCol w:w="1405"/>
        <w:gridCol w:w="4639"/>
      </w:tblGrid>
      <w:tr w:rsidR="00D27545" w:rsidRPr="0042214E" w14:paraId="05B3D666" w14:textId="77777777" w:rsidTr="005E1934">
        <w:trPr>
          <w:trHeight w:val="983"/>
        </w:trPr>
        <w:tc>
          <w:tcPr>
            <w:cnfStyle w:val="001000000000" w:firstRow="0" w:lastRow="0" w:firstColumn="1" w:lastColumn="0" w:oddVBand="0" w:evenVBand="0" w:oddHBand="0" w:evenHBand="0" w:firstRowFirstColumn="0" w:firstRowLastColumn="0" w:lastRowFirstColumn="0" w:lastRowLastColumn="0"/>
            <w:tcW w:w="597" w:type="dxa"/>
            <w:vMerge w:val="restart"/>
            <w:shd w:val="clear" w:color="auto" w:fill="E57200" w:themeFill="accent2"/>
            <w:textDirection w:val="btLr"/>
          </w:tcPr>
          <w:p w14:paraId="5C466753" w14:textId="77777777" w:rsidR="00103C55" w:rsidRPr="0042214E" w:rsidRDefault="00103C55" w:rsidP="005228F2">
            <w:pPr>
              <w:pStyle w:val="Tableheader"/>
              <w:keepNext w:val="0"/>
              <w:spacing w:before="60"/>
              <w:jc w:val="center"/>
              <w:rPr>
                <w:b/>
              </w:rPr>
            </w:pPr>
            <w:r w:rsidRPr="0042214E">
              <w:rPr>
                <w:b/>
              </w:rPr>
              <w:t>Department</w:t>
            </w:r>
          </w:p>
        </w:tc>
        <w:tc>
          <w:tcPr>
            <w:tcW w:w="2375" w:type="dxa"/>
            <w:vMerge w:val="restart"/>
            <w:vAlign w:val="center"/>
          </w:tcPr>
          <w:p w14:paraId="13F6B5D2"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Leads departmental planning including corporate plans, service planning and asset management.</w:t>
            </w:r>
          </w:p>
          <w:p w14:paraId="7AA9E485"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Prepares and delivers business cases.</w:t>
            </w:r>
          </w:p>
        </w:tc>
        <w:tc>
          <w:tcPr>
            <w:tcW w:w="1405" w:type="dxa"/>
            <w:shd w:val="clear" w:color="auto" w:fill="FDEACC" w:themeFill="accent6"/>
            <w:vAlign w:val="center"/>
          </w:tcPr>
          <w:p w14:paraId="62B0BB19"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rPr>
                <w:b/>
              </w:rPr>
            </w:pPr>
            <w:r w:rsidRPr="0042214E">
              <w:rPr>
                <w:b/>
              </w:rPr>
              <w:t>Client</w:t>
            </w:r>
          </w:p>
        </w:tc>
        <w:tc>
          <w:tcPr>
            <w:tcW w:w="4639" w:type="dxa"/>
          </w:tcPr>
          <w:p w14:paraId="3106A6CB" w14:textId="2E805A42"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 xml:space="preserve">Develops and prioritises the </w:t>
            </w:r>
            <w:r w:rsidR="00166390" w:rsidRPr="0042214E">
              <w:t xml:space="preserve">portfolio’s </w:t>
            </w:r>
            <w:r w:rsidRPr="0042214E">
              <w:t>capital projects and programs</w:t>
            </w:r>
            <w:r w:rsidR="00F405E1" w:rsidRPr="0042214E">
              <w:t>.</w:t>
            </w:r>
          </w:p>
          <w:p w14:paraId="6739851F" w14:textId="7A013F09"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Defines objectives, scope, and service needs</w:t>
            </w:r>
            <w:r w:rsidR="00F405E1" w:rsidRPr="0042214E">
              <w:t>.</w:t>
            </w:r>
          </w:p>
          <w:p w14:paraId="24B4EC20" w14:textId="323E622E"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Manages associated portfolio</w:t>
            </w:r>
            <w:r w:rsidR="00034452" w:rsidRPr="0042214E">
              <w:noBreakHyphen/>
            </w:r>
            <w:r w:rsidRPr="0042214E">
              <w:t xml:space="preserve">level risks. </w:t>
            </w:r>
          </w:p>
          <w:p w14:paraId="4BD356C0"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Ultimate owner of the completed asset.</w:t>
            </w:r>
          </w:p>
        </w:tc>
      </w:tr>
      <w:tr w:rsidR="00D27545" w:rsidRPr="0042214E" w14:paraId="15F88511" w14:textId="77777777" w:rsidTr="005E1934">
        <w:trPr>
          <w:trHeight w:val="711"/>
        </w:trPr>
        <w:tc>
          <w:tcPr>
            <w:cnfStyle w:val="001000000000" w:firstRow="0" w:lastRow="0" w:firstColumn="1" w:lastColumn="0" w:oddVBand="0" w:evenVBand="0" w:oddHBand="0" w:evenHBand="0" w:firstRowFirstColumn="0" w:firstRowLastColumn="0" w:lastRowFirstColumn="0" w:lastRowLastColumn="0"/>
            <w:tcW w:w="597" w:type="dxa"/>
            <w:vMerge/>
            <w:shd w:val="clear" w:color="auto" w:fill="E57200" w:themeFill="accent2"/>
          </w:tcPr>
          <w:p w14:paraId="5F34C7F1" w14:textId="77777777" w:rsidR="00103C55" w:rsidRPr="0042214E" w:rsidRDefault="00103C55" w:rsidP="005228F2">
            <w:pPr>
              <w:pStyle w:val="Tableheader"/>
              <w:keepNext w:val="0"/>
              <w:spacing w:before="60"/>
              <w:jc w:val="center"/>
              <w:rPr>
                <w:b/>
              </w:rPr>
            </w:pPr>
          </w:p>
        </w:tc>
        <w:tc>
          <w:tcPr>
            <w:tcW w:w="2375" w:type="dxa"/>
            <w:vMerge/>
            <w:vAlign w:val="center"/>
          </w:tcPr>
          <w:p w14:paraId="06E74DEF" w14:textId="77777777" w:rsidR="00103C55" w:rsidRPr="0042214E" w:rsidRDefault="00103C55" w:rsidP="00FC3FB7">
            <w:pPr>
              <w:cnfStyle w:val="000000000000" w:firstRow="0" w:lastRow="0" w:firstColumn="0" w:lastColumn="0" w:oddVBand="0" w:evenVBand="0" w:oddHBand="0" w:evenHBand="0" w:firstRowFirstColumn="0" w:firstRowLastColumn="0" w:lastRowFirstColumn="0" w:lastRowLastColumn="0"/>
            </w:pPr>
          </w:p>
        </w:tc>
        <w:tc>
          <w:tcPr>
            <w:tcW w:w="1405" w:type="dxa"/>
            <w:shd w:val="clear" w:color="auto" w:fill="FDEACC" w:themeFill="accent6"/>
            <w:vAlign w:val="center"/>
          </w:tcPr>
          <w:p w14:paraId="72A57415"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rPr>
                <w:b/>
              </w:rPr>
            </w:pPr>
            <w:r w:rsidRPr="0042214E">
              <w:rPr>
                <w:b/>
              </w:rPr>
              <w:t>Senior Responsible Owner (SRO)</w:t>
            </w:r>
          </w:p>
        </w:tc>
        <w:tc>
          <w:tcPr>
            <w:tcW w:w="4639" w:type="dxa"/>
          </w:tcPr>
          <w:p w14:paraId="5063348D"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 xml:space="preserve">Appointed for the project’s direction at board level, particularly in the case of significant investments. </w:t>
            </w:r>
          </w:p>
          <w:p w14:paraId="08E3E6DC"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 xml:space="preserve">Represents the ‘client’. </w:t>
            </w:r>
          </w:p>
          <w:p w14:paraId="2A1C2D09" w14:textId="4C9A54FE" w:rsidR="00103C55" w:rsidRPr="0042214E" w:rsidRDefault="00257864" w:rsidP="00593AA2">
            <w:pPr>
              <w:pStyle w:val="Tabletext"/>
              <w:cnfStyle w:val="000000000000" w:firstRow="0" w:lastRow="0" w:firstColumn="0" w:lastColumn="0" w:oddVBand="0" w:evenVBand="0" w:oddHBand="0" w:evenHBand="0" w:firstRowFirstColumn="0" w:firstRowLastColumn="0" w:lastRowFirstColumn="0" w:lastRowLastColumn="0"/>
            </w:pPr>
            <w:r w:rsidRPr="0042214E">
              <w:t xml:space="preserve">Note: </w:t>
            </w:r>
            <w:r w:rsidR="00593AA2" w:rsidRPr="0042214E">
              <w:t xml:space="preserve">departments </w:t>
            </w:r>
            <w:r w:rsidR="00103C55" w:rsidRPr="0042214E">
              <w:t>may wish to appoint a secondary SRO responsible for delivery</w:t>
            </w:r>
            <w:r w:rsidR="00034452" w:rsidRPr="0042214E">
              <w:noBreakHyphen/>
            </w:r>
            <w:r w:rsidR="00103C55" w:rsidRPr="0042214E">
              <w:t xml:space="preserve">related activities. </w:t>
            </w:r>
          </w:p>
        </w:tc>
      </w:tr>
      <w:tr w:rsidR="00D27545" w:rsidRPr="0042214E" w14:paraId="2F2938AA" w14:textId="77777777" w:rsidTr="005E1934">
        <w:trPr>
          <w:trHeight w:val="507"/>
        </w:trPr>
        <w:tc>
          <w:tcPr>
            <w:cnfStyle w:val="001000000000" w:firstRow="0" w:lastRow="0" w:firstColumn="1" w:lastColumn="0" w:oddVBand="0" w:evenVBand="0" w:oddHBand="0" w:evenHBand="0" w:firstRowFirstColumn="0" w:firstRowLastColumn="0" w:lastRowFirstColumn="0" w:lastRowLastColumn="0"/>
            <w:tcW w:w="597" w:type="dxa"/>
            <w:vMerge/>
            <w:shd w:val="clear" w:color="auto" w:fill="E57200" w:themeFill="accent2"/>
          </w:tcPr>
          <w:p w14:paraId="7A15ABFF" w14:textId="77777777" w:rsidR="00103C55" w:rsidRPr="0042214E" w:rsidRDefault="00103C55" w:rsidP="005228F2">
            <w:pPr>
              <w:pStyle w:val="Tableheader"/>
              <w:keepNext w:val="0"/>
              <w:spacing w:before="60"/>
              <w:jc w:val="center"/>
              <w:rPr>
                <w:b/>
              </w:rPr>
            </w:pPr>
          </w:p>
        </w:tc>
        <w:tc>
          <w:tcPr>
            <w:tcW w:w="2375" w:type="dxa"/>
            <w:vMerge/>
            <w:vAlign w:val="center"/>
          </w:tcPr>
          <w:p w14:paraId="2C745923" w14:textId="77777777" w:rsidR="00103C55" w:rsidRPr="0042214E" w:rsidRDefault="00103C55" w:rsidP="00FC3FB7">
            <w:pPr>
              <w:cnfStyle w:val="000000000000" w:firstRow="0" w:lastRow="0" w:firstColumn="0" w:lastColumn="0" w:oddVBand="0" w:evenVBand="0" w:oddHBand="0" w:evenHBand="0" w:firstRowFirstColumn="0" w:firstRowLastColumn="0" w:lastRowFirstColumn="0" w:lastRowLastColumn="0"/>
            </w:pPr>
          </w:p>
        </w:tc>
        <w:tc>
          <w:tcPr>
            <w:tcW w:w="1405" w:type="dxa"/>
            <w:shd w:val="clear" w:color="auto" w:fill="FDEACC" w:themeFill="accent6"/>
            <w:vAlign w:val="center"/>
          </w:tcPr>
          <w:p w14:paraId="068C652A" w14:textId="6C1B7C54"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rPr>
                <w:b/>
              </w:rPr>
            </w:pPr>
            <w:r w:rsidRPr="0042214E">
              <w:rPr>
                <w:b/>
              </w:rPr>
              <w:t xml:space="preserve">Delivery </w:t>
            </w:r>
            <w:r w:rsidR="00C07402" w:rsidRPr="0042214E">
              <w:rPr>
                <w:b/>
              </w:rPr>
              <w:t>a</w:t>
            </w:r>
            <w:r w:rsidRPr="0042214E">
              <w:rPr>
                <w:b/>
              </w:rPr>
              <w:t>gency</w:t>
            </w:r>
          </w:p>
        </w:tc>
        <w:tc>
          <w:tcPr>
            <w:tcW w:w="4639" w:type="dxa"/>
          </w:tcPr>
          <w:p w14:paraId="5311C0BE" w14:textId="3220C242"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Delivers a project or program in accordance with a specific business case via a temporary project team</w:t>
            </w:r>
            <w:r w:rsidR="00257864" w:rsidRPr="0042214E">
              <w:t>.</w:t>
            </w:r>
          </w:p>
          <w:p w14:paraId="6B1C139C" w14:textId="3A35A63B"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Manages program and project level risks</w:t>
            </w:r>
            <w:r w:rsidR="00F405E1" w:rsidRPr="0042214E">
              <w:t>.</w:t>
            </w:r>
          </w:p>
        </w:tc>
      </w:tr>
      <w:tr w:rsidR="00D27545" w:rsidRPr="0042214E" w14:paraId="62579B52" w14:textId="77777777" w:rsidTr="00FC3FB7">
        <w:trPr>
          <w:trHeight w:val="2284"/>
        </w:trPr>
        <w:tc>
          <w:tcPr>
            <w:cnfStyle w:val="001000000000" w:firstRow="0" w:lastRow="0" w:firstColumn="1" w:lastColumn="0" w:oddVBand="0" w:evenVBand="0" w:oddHBand="0" w:evenHBand="0" w:firstRowFirstColumn="0" w:firstRowLastColumn="0" w:lastRowFirstColumn="0" w:lastRowLastColumn="0"/>
            <w:tcW w:w="597" w:type="dxa"/>
            <w:shd w:val="clear" w:color="auto" w:fill="E57200" w:themeFill="accent2"/>
            <w:textDirection w:val="btLr"/>
          </w:tcPr>
          <w:p w14:paraId="5B6FA84C" w14:textId="77777777" w:rsidR="00103C55" w:rsidRPr="0042214E" w:rsidRDefault="00103C55" w:rsidP="005228F2">
            <w:pPr>
              <w:pStyle w:val="Tableheader"/>
              <w:keepNext w:val="0"/>
              <w:spacing w:before="60"/>
              <w:jc w:val="center"/>
              <w:rPr>
                <w:b/>
              </w:rPr>
            </w:pPr>
            <w:r w:rsidRPr="0042214E">
              <w:rPr>
                <w:b/>
              </w:rPr>
              <w:t>DTF/OPV</w:t>
            </w:r>
          </w:p>
        </w:tc>
        <w:tc>
          <w:tcPr>
            <w:tcW w:w="8419" w:type="dxa"/>
            <w:gridSpan w:val="3"/>
          </w:tcPr>
          <w:p w14:paraId="659863F1"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Determines HVHR status of asset proposals through Project Profile Model.</w:t>
            </w:r>
          </w:p>
          <w:p w14:paraId="223F09D1"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Assesses business cases with DPC and advises Government on investments.</w:t>
            </w:r>
          </w:p>
          <w:p w14:paraId="676854AA"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Develops Project Assurance Plan for HVHR investments.</w:t>
            </w:r>
          </w:p>
          <w:p w14:paraId="2884F160"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Ongoing involvement for HVHR investments.</w:t>
            </w:r>
          </w:p>
          <w:p w14:paraId="0F2CADC5"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Assesses Gateway/Project Assurance Review Recommendation Action Plan if required.</w:t>
            </w:r>
          </w:p>
          <w:p w14:paraId="40131364"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With OPV undertakes:</w:t>
            </w:r>
          </w:p>
          <w:p w14:paraId="36DBBF57" w14:textId="13E918EC" w:rsidR="00103C55" w:rsidRPr="0042214E" w:rsidRDefault="00103C55" w:rsidP="005228F2">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Gate 1 (investment case</w:t>
            </w:r>
            <w:proofErr w:type="gramStart"/>
            <w:r w:rsidRPr="0042214E">
              <w:t>)</w:t>
            </w:r>
            <w:r w:rsidR="00F405E1" w:rsidRPr="0042214E">
              <w:t>;</w:t>
            </w:r>
            <w:proofErr w:type="gramEnd"/>
          </w:p>
          <w:p w14:paraId="2748488B" w14:textId="6BD5460F" w:rsidR="00103C55" w:rsidRPr="0042214E" w:rsidRDefault="00103C55" w:rsidP="005228F2">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Gate 2 (delivery case) (typically combined reviews with 1)</w:t>
            </w:r>
            <w:r w:rsidR="00F405E1" w:rsidRPr="0042214E">
              <w:t>; and</w:t>
            </w:r>
          </w:p>
          <w:p w14:paraId="1B13D178" w14:textId="77777777" w:rsidR="00103C55" w:rsidRPr="0042214E" w:rsidRDefault="00103C55" w:rsidP="005228F2">
            <w:pPr>
              <w:pStyle w:val="Tablebullet"/>
              <w:contextualSpacing/>
              <w:cnfStyle w:val="000000000000" w:firstRow="0" w:lastRow="0" w:firstColumn="0" w:lastColumn="0" w:oddVBand="0" w:evenVBand="0" w:oddHBand="0" w:evenHBand="0" w:firstRowFirstColumn="0" w:firstRowLastColumn="0" w:lastRowFirstColumn="0" w:lastRowLastColumn="0"/>
            </w:pPr>
            <w:r w:rsidRPr="0042214E">
              <w:t>Project Assurance Reviews, as required.</w:t>
            </w:r>
          </w:p>
        </w:tc>
      </w:tr>
      <w:tr w:rsidR="00D27545" w:rsidRPr="0042214E" w14:paraId="11520C9C" w14:textId="77777777" w:rsidTr="00FC3FB7">
        <w:trPr>
          <w:trHeight w:val="846"/>
        </w:trPr>
        <w:tc>
          <w:tcPr>
            <w:cnfStyle w:val="001000000000" w:firstRow="0" w:lastRow="0" w:firstColumn="1" w:lastColumn="0" w:oddVBand="0" w:evenVBand="0" w:oddHBand="0" w:evenHBand="0" w:firstRowFirstColumn="0" w:firstRowLastColumn="0" w:lastRowFirstColumn="0" w:lastRowLastColumn="0"/>
            <w:tcW w:w="597" w:type="dxa"/>
            <w:shd w:val="clear" w:color="auto" w:fill="E57200" w:themeFill="accent2"/>
            <w:textDirection w:val="btLr"/>
          </w:tcPr>
          <w:p w14:paraId="55EE7181" w14:textId="77777777" w:rsidR="00103C55" w:rsidRPr="0042214E" w:rsidRDefault="00103C55" w:rsidP="005228F2">
            <w:pPr>
              <w:pStyle w:val="Tableheader"/>
              <w:keepNext w:val="0"/>
              <w:spacing w:before="60"/>
              <w:jc w:val="center"/>
              <w:rPr>
                <w:b/>
              </w:rPr>
            </w:pPr>
            <w:r w:rsidRPr="0042214E">
              <w:rPr>
                <w:b/>
              </w:rPr>
              <w:t>DPC</w:t>
            </w:r>
          </w:p>
        </w:tc>
        <w:tc>
          <w:tcPr>
            <w:tcW w:w="8419" w:type="dxa"/>
            <w:gridSpan w:val="3"/>
          </w:tcPr>
          <w:p w14:paraId="37853E1A" w14:textId="77777777" w:rsidR="00103C55" w:rsidRPr="00667D0D"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667D0D">
              <w:t>Assesses business cases with DTF and advises Government.</w:t>
            </w:r>
          </w:p>
          <w:p w14:paraId="229D8DB5" w14:textId="5F988EAF" w:rsidR="00103C55" w:rsidRPr="00ED02DA" w:rsidRDefault="00103C55" w:rsidP="00FC3FB7">
            <w:pPr>
              <w:pStyle w:val="Tabletext"/>
              <w:cnfStyle w:val="000000000000" w:firstRow="0" w:lastRow="0" w:firstColumn="0" w:lastColumn="0" w:oddVBand="0" w:evenVBand="0" w:oddHBand="0" w:evenHBand="0" w:firstRowFirstColumn="0" w:firstRowLastColumn="0" w:lastRowFirstColumn="0" w:lastRowLastColumn="0"/>
              <w:rPr>
                <w:highlight w:val="yellow"/>
              </w:rPr>
            </w:pPr>
            <w:r w:rsidRPr="00667D0D">
              <w:t>Ongoing involvement for some investments.</w:t>
            </w:r>
          </w:p>
        </w:tc>
      </w:tr>
      <w:tr w:rsidR="00D27545" w:rsidRPr="0042214E" w14:paraId="0803CD3A" w14:textId="77777777" w:rsidTr="005E1934">
        <w:trPr>
          <w:trHeight w:val="1397"/>
        </w:trPr>
        <w:tc>
          <w:tcPr>
            <w:cnfStyle w:val="001000000000" w:firstRow="0" w:lastRow="0" w:firstColumn="1" w:lastColumn="0" w:oddVBand="0" w:evenVBand="0" w:oddHBand="0" w:evenHBand="0" w:firstRowFirstColumn="0" w:firstRowLastColumn="0" w:lastRowFirstColumn="0" w:lastRowLastColumn="0"/>
            <w:tcW w:w="597" w:type="dxa"/>
            <w:shd w:val="clear" w:color="auto" w:fill="E57200" w:themeFill="accent2"/>
            <w:textDirection w:val="btLr"/>
          </w:tcPr>
          <w:p w14:paraId="13BA6476" w14:textId="77777777" w:rsidR="00103C55" w:rsidRPr="0042214E" w:rsidRDefault="00103C55" w:rsidP="005228F2">
            <w:pPr>
              <w:pStyle w:val="Tableheader"/>
              <w:keepNext w:val="0"/>
              <w:spacing w:before="60"/>
              <w:jc w:val="center"/>
              <w:rPr>
                <w:b/>
              </w:rPr>
            </w:pPr>
            <w:r w:rsidRPr="0042214E">
              <w:rPr>
                <w:b/>
              </w:rPr>
              <w:t>Government</w:t>
            </w:r>
          </w:p>
        </w:tc>
        <w:tc>
          <w:tcPr>
            <w:tcW w:w="2375" w:type="dxa"/>
            <w:vAlign w:val="center"/>
          </w:tcPr>
          <w:p w14:paraId="70ACC7A6"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Sets priorities and context.</w:t>
            </w:r>
          </w:p>
          <w:p w14:paraId="2F7421C5"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Undertakes early filtering of asset proposals, if required.</w:t>
            </w:r>
          </w:p>
          <w:p w14:paraId="15403CCA"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Approves investments and funding.</w:t>
            </w:r>
          </w:p>
        </w:tc>
        <w:tc>
          <w:tcPr>
            <w:tcW w:w="1405" w:type="dxa"/>
            <w:shd w:val="clear" w:color="auto" w:fill="FDEACC" w:themeFill="accent6"/>
            <w:vAlign w:val="center"/>
          </w:tcPr>
          <w:p w14:paraId="5C68CA07"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rPr>
                <w:b/>
              </w:rPr>
            </w:pPr>
            <w:r w:rsidRPr="0042214E">
              <w:rPr>
                <w:b/>
              </w:rPr>
              <w:t>Investor</w:t>
            </w:r>
          </w:p>
        </w:tc>
        <w:tc>
          <w:tcPr>
            <w:tcW w:w="4639" w:type="dxa"/>
          </w:tcPr>
          <w:p w14:paraId="3B1B54AC" w14:textId="77777777" w:rsidR="00103C55" w:rsidRPr="0042214E" w:rsidRDefault="00103C55" w:rsidP="00FC3FB7">
            <w:pPr>
              <w:pStyle w:val="Tabletext"/>
              <w:cnfStyle w:val="000000000000" w:firstRow="0" w:lastRow="0" w:firstColumn="0" w:lastColumn="0" w:oddVBand="0" w:evenVBand="0" w:oddHBand="0" w:evenHBand="0" w:firstRowFirstColumn="0" w:firstRowLastColumn="0" w:lastRowFirstColumn="0" w:lastRowLastColumn="0"/>
            </w:pPr>
            <w:r w:rsidRPr="0042214E">
              <w:t>Accountable for fiscal management and oversight of aggregate capital spending across Government through the budget process, including:</w:t>
            </w:r>
          </w:p>
          <w:p w14:paraId="228C1411" w14:textId="71596F9B" w:rsidR="00103C55" w:rsidRPr="0042214E" w:rsidRDefault="00103C55" w:rsidP="00FC3FB7">
            <w:pPr>
              <w:pStyle w:val="Tablebullet"/>
              <w:cnfStyle w:val="000000000000" w:firstRow="0" w:lastRow="0" w:firstColumn="0" w:lastColumn="0" w:oddVBand="0" w:evenVBand="0" w:oddHBand="0" w:evenHBand="0" w:firstRowFirstColumn="0" w:firstRowLastColumn="0" w:lastRowFirstColumn="0" w:lastRowLastColumn="0"/>
            </w:pPr>
            <w:r w:rsidRPr="0042214E">
              <w:t>the allocation of capital to and between departments/</w:t>
            </w:r>
            <w:proofErr w:type="gramStart"/>
            <w:r w:rsidRPr="0042214E">
              <w:t>agencies</w:t>
            </w:r>
            <w:r w:rsidR="00F405E1" w:rsidRPr="0042214E">
              <w:t>;</w:t>
            </w:r>
            <w:proofErr w:type="gramEnd"/>
          </w:p>
          <w:p w14:paraId="72EA91E3" w14:textId="38968297" w:rsidR="00103C55" w:rsidRPr="0042214E" w:rsidRDefault="00103C55" w:rsidP="00FC3FB7">
            <w:pPr>
              <w:pStyle w:val="Tablebullet"/>
              <w:cnfStyle w:val="000000000000" w:firstRow="0" w:lastRow="0" w:firstColumn="0" w:lastColumn="0" w:oddVBand="0" w:evenVBand="0" w:oddHBand="0" w:evenHBand="0" w:firstRowFirstColumn="0" w:firstRowLastColumn="0" w:lastRowFirstColumn="0" w:lastRowLastColumn="0"/>
            </w:pPr>
            <w:r w:rsidRPr="0042214E">
              <w:t>the approval of the projects to be funded from within those allocations</w:t>
            </w:r>
            <w:r w:rsidR="00F405E1" w:rsidRPr="0042214E">
              <w:t>; and</w:t>
            </w:r>
          </w:p>
          <w:p w14:paraId="2BEB96C5" w14:textId="128B7C81" w:rsidR="00103C55" w:rsidRPr="0042214E" w:rsidRDefault="00103C55" w:rsidP="00FC3FB7">
            <w:pPr>
              <w:pStyle w:val="Tablebullet"/>
              <w:cnfStyle w:val="000000000000" w:firstRow="0" w:lastRow="0" w:firstColumn="0" w:lastColumn="0" w:oddVBand="0" w:evenVBand="0" w:oddHBand="0" w:evenHBand="0" w:firstRowFirstColumn="0" w:firstRowLastColumn="0" w:lastRowFirstColumn="0" w:lastRowLastColumn="0"/>
            </w:pPr>
            <w:r w:rsidRPr="0042214E">
              <w:t xml:space="preserve">management of the </w:t>
            </w:r>
            <w:r w:rsidR="003A3A33" w:rsidRPr="0042214E">
              <w:t>s</w:t>
            </w:r>
            <w:r w:rsidRPr="0042214E">
              <w:t>tatewide fiscal risks.</w:t>
            </w:r>
          </w:p>
        </w:tc>
      </w:tr>
    </w:tbl>
    <w:p w14:paraId="602C8276" w14:textId="1E2FAAAC" w:rsidR="009E0D3F" w:rsidRPr="0042214E" w:rsidRDefault="009E0D3F" w:rsidP="005228F2">
      <w:pPr>
        <w:pStyle w:val="Spacer"/>
      </w:pPr>
    </w:p>
    <w:p w14:paraId="726D0E5E" w14:textId="71FB53BE" w:rsidR="00BB5876" w:rsidRPr="0042214E" w:rsidRDefault="00BB5876" w:rsidP="001C100C">
      <w:pPr>
        <w:pStyle w:val="Heading1numbered"/>
        <w:pageBreakBefore/>
      </w:pPr>
      <w:bookmarkStart w:id="11" w:name="_Toc18568404"/>
      <w:bookmarkStart w:id="12" w:name="_Toc18568405"/>
      <w:bookmarkStart w:id="13" w:name="_Toc18568406"/>
      <w:bookmarkStart w:id="14" w:name="_Toc18568407"/>
      <w:bookmarkStart w:id="15" w:name="_Toc18568408"/>
      <w:bookmarkStart w:id="16" w:name="_Toc18568409"/>
      <w:bookmarkStart w:id="17" w:name="_Toc121415283"/>
      <w:bookmarkEnd w:id="11"/>
      <w:bookmarkEnd w:id="12"/>
      <w:bookmarkEnd w:id="13"/>
      <w:bookmarkEnd w:id="14"/>
      <w:bookmarkEnd w:id="15"/>
      <w:bookmarkEnd w:id="16"/>
      <w:r w:rsidRPr="0042214E">
        <w:lastRenderedPageBreak/>
        <w:t>Introduction</w:t>
      </w:r>
      <w:bookmarkEnd w:id="17"/>
    </w:p>
    <w:p w14:paraId="5CCD28E7" w14:textId="77777777" w:rsidR="00444B46" w:rsidRPr="0042214E" w:rsidRDefault="00444B46" w:rsidP="005E1934">
      <w:pPr>
        <w:pStyle w:val="Heading2numbered"/>
      </w:pPr>
      <w:bookmarkStart w:id="18" w:name="_Toc121415284"/>
      <w:r w:rsidRPr="0042214E">
        <w:t xml:space="preserve">The </w:t>
      </w:r>
      <w:r w:rsidR="001F6F54" w:rsidRPr="0042214E">
        <w:t xml:space="preserve">business case </w:t>
      </w:r>
      <w:r w:rsidRPr="0042214E">
        <w:t>stage</w:t>
      </w:r>
      <w:bookmarkEnd w:id="18"/>
    </w:p>
    <w:p w14:paraId="45A71064" w14:textId="5DBDE4C3" w:rsidR="00444B46" w:rsidRPr="0042214E" w:rsidRDefault="00175CA3" w:rsidP="005E1934">
      <w:pPr>
        <w:pStyle w:val="NormalIndent"/>
      </w:pPr>
      <w:r w:rsidRPr="003907D5">
        <w:t>Stage 1: B</w:t>
      </w:r>
      <w:r w:rsidR="001F6F54" w:rsidRPr="003907D5">
        <w:t>usiness case</w:t>
      </w:r>
      <w:r w:rsidR="00444B46" w:rsidRPr="0042214E">
        <w:t xml:space="preserve"> covers the detailed examination of an investment proposal and the development of the business case. </w:t>
      </w:r>
      <w:r w:rsidR="00A67CFA" w:rsidRPr="0042214E">
        <w:t xml:space="preserve">The </w:t>
      </w:r>
      <w:r w:rsidR="00E22122" w:rsidRPr="0042214E">
        <w:t xml:space="preserve">investment case section of the business case </w:t>
      </w:r>
      <w:r w:rsidR="00444B46" w:rsidRPr="0042214E">
        <w:t xml:space="preserve">confirms the problem definition and intended benefits, and </w:t>
      </w:r>
      <w:r w:rsidR="00E22122" w:rsidRPr="0042214E">
        <w:t>the delivery case</w:t>
      </w:r>
      <w:r w:rsidRPr="0042214E">
        <w:t xml:space="preserve"> section </w:t>
      </w:r>
      <w:r w:rsidR="00444B46" w:rsidRPr="0042214E">
        <w:t xml:space="preserve">considers whether the </w:t>
      </w:r>
      <w:r w:rsidR="00904AFB" w:rsidRPr="0042214E">
        <w:t xml:space="preserve">project </w:t>
      </w:r>
      <w:r w:rsidR="00444B46" w:rsidRPr="0042214E">
        <w:t>solution is feasible and deliverabl</w:t>
      </w:r>
      <w:r w:rsidR="00E22122" w:rsidRPr="0042214E">
        <w:t>e</w:t>
      </w:r>
      <w:r w:rsidR="00444B46" w:rsidRPr="0042214E">
        <w:t>.</w:t>
      </w:r>
    </w:p>
    <w:p w14:paraId="352CAA70" w14:textId="6C7A8AD3" w:rsidR="00444B46" w:rsidRPr="0042214E" w:rsidRDefault="00444B46" w:rsidP="005E1934">
      <w:pPr>
        <w:pStyle w:val="NormalIndent"/>
      </w:pPr>
      <w:r w:rsidRPr="0042214E">
        <w:t>All investment proposals over $10</w:t>
      </w:r>
      <w:r w:rsidR="00034452" w:rsidRPr="0042214E">
        <w:t> million</w:t>
      </w:r>
      <w:r w:rsidRPr="0042214E">
        <w:t xml:space="preserve"> seeking budget funding are required to submit a full business case.</w:t>
      </w:r>
    </w:p>
    <w:p w14:paraId="0D9369ED" w14:textId="79895A58" w:rsidR="00444B46" w:rsidRPr="0042214E" w:rsidRDefault="00444B46" w:rsidP="005E1934">
      <w:pPr>
        <w:pStyle w:val="NormalIndent"/>
      </w:pPr>
      <w:r w:rsidRPr="0042214E">
        <w:t xml:space="preserve">The purpose of submitting a business case is to provide confidence to </w:t>
      </w:r>
      <w:r w:rsidR="00F35DA1" w:rsidRPr="0042214E">
        <w:t>decision-</w:t>
      </w:r>
      <w:r w:rsidRPr="0042214E">
        <w:t>makers that</w:t>
      </w:r>
      <w:r w:rsidR="00034452" w:rsidRPr="0042214E">
        <w:t xml:space="preserve"> the</w:t>
      </w:r>
      <w:r w:rsidRPr="0042214E">
        <w:t xml:space="preserve">: </w:t>
      </w:r>
    </w:p>
    <w:p w14:paraId="6B535767" w14:textId="64863A53" w:rsidR="00444B46" w:rsidRPr="0042214E" w:rsidRDefault="00444B46" w:rsidP="005228F2">
      <w:pPr>
        <w:pStyle w:val="Bulletindent"/>
        <w:contextualSpacing/>
      </w:pPr>
      <w:r w:rsidRPr="0042214E">
        <w:t xml:space="preserve">strategic justification for the investment is </w:t>
      </w:r>
      <w:proofErr w:type="gramStart"/>
      <w:r w:rsidRPr="0042214E">
        <w:t>valid;</w:t>
      </w:r>
      <w:proofErr w:type="gramEnd"/>
    </w:p>
    <w:p w14:paraId="774CEDFF" w14:textId="4544A29B" w:rsidR="00444B46" w:rsidRPr="0042214E" w:rsidRDefault="00444B46" w:rsidP="005228F2">
      <w:pPr>
        <w:pStyle w:val="Bulletindent"/>
        <w:contextualSpacing/>
      </w:pPr>
      <w:r w:rsidRPr="0042214E">
        <w:t>right investment option</w:t>
      </w:r>
      <w:r w:rsidR="00A67CFA" w:rsidRPr="0042214E">
        <w:t xml:space="preserve"> is selected</w:t>
      </w:r>
      <w:r w:rsidRPr="0042214E">
        <w:t xml:space="preserve">; and </w:t>
      </w:r>
    </w:p>
    <w:p w14:paraId="5D5338E9" w14:textId="54AA7B2A" w:rsidR="00444B46" w:rsidRPr="0042214E" w:rsidRDefault="00444B46" w:rsidP="005228F2">
      <w:pPr>
        <w:pStyle w:val="Bulletindent"/>
        <w:contextualSpacing/>
      </w:pPr>
      <w:r w:rsidRPr="0042214E">
        <w:t>agency can deliver the investment as planned.</w:t>
      </w:r>
    </w:p>
    <w:p w14:paraId="5CBB246D" w14:textId="30363909" w:rsidR="00444B46" w:rsidRPr="00667D0D" w:rsidRDefault="00A67CFA" w:rsidP="005E1934">
      <w:pPr>
        <w:pStyle w:val="NormalIndent"/>
      </w:pPr>
      <w:r w:rsidRPr="0042214E">
        <w:t>T</w:t>
      </w:r>
      <w:r w:rsidR="00444B46" w:rsidRPr="0042214E">
        <w:t xml:space="preserve">he business case lays the blueprint for the whole investment lifecycle and its role changes as </w:t>
      </w:r>
      <w:r w:rsidRPr="0042214E">
        <w:t>the project moves through the investment lifecycle</w:t>
      </w:r>
      <w:r w:rsidR="00444B46" w:rsidRPr="0042214E">
        <w:t xml:space="preserve">. In </w:t>
      </w:r>
      <w:r w:rsidR="00175CA3" w:rsidRPr="003907D5">
        <w:t>Stage 2: Procurement and Stage</w:t>
      </w:r>
      <w:r w:rsidR="003907D5" w:rsidRPr="003907D5">
        <w:t xml:space="preserve"> </w:t>
      </w:r>
      <w:r w:rsidR="00175CA3" w:rsidRPr="003907D5">
        <w:t>3: Delivery</w:t>
      </w:r>
      <w:r w:rsidR="00175CA3" w:rsidRPr="0042214E">
        <w:t xml:space="preserve"> </w:t>
      </w:r>
      <w:r w:rsidR="00444B46" w:rsidRPr="0042214E">
        <w:t>it is used to ensure the investment is being delivered as planned. If there are any</w:t>
      </w:r>
      <w:r w:rsidR="00177B15" w:rsidRPr="0042214E">
        <w:t xml:space="preserve"> material</w:t>
      </w:r>
      <w:r w:rsidR="00444B46" w:rsidRPr="0042214E">
        <w:t xml:space="preserve"> changes that affect the business case, the business case should be </w:t>
      </w:r>
      <w:r w:rsidR="009907D1" w:rsidRPr="0042214E">
        <w:t>updated,</w:t>
      </w:r>
      <w:r w:rsidR="00444B46" w:rsidRPr="0042214E">
        <w:t xml:space="preserve"> </w:t>
      </w:r>
      <w:r w:rsidR="00444B46" w:rsidRPr="00667D0D">
        <w:t xml:space="preserve">and ongoing business justification should be assessed </w:t>
      </w:r>
      <w:proofErr w:type="gramStart"/>
      <w:r w:rsidR="00444B46" w:rsidRPr="00667D0D">
        <w:t>in light of</w:t>
      </w:r>
      <w:proofErr w:type="gramEnd"/>
      <w:r w:rsidR="00444B46" w:rsidRPr="00667D0D">
        <w:t xml:space="preserve"> new details. </w:t>
      </w:r>
    </w:p>
    <w:p w14:paraId="22457840" w14:textId="6F044456" w:rsidR="00295836" w:rsidRPr="00667D0D" w:rsidRDefault="007042CE" w:rsidP="009B5021">
      <w:pPr>
        <w:pStyle w:val="NormalIndent"/>
      </w:pPr>
      <w:r w:rsidRPr="00667D0D">
        <w:t>T</w:t>
      </w:r>
      <w:r w:rsidR="00295836" w:rsidRPr="00667D0D">
        <w:t xml:space="preserve">he </w:t>
      </w:r>
      <w:r w:rsidR="00ED02DA" w:rsidRPr="00667D0D">
        <w:t>G</w:t>
      </w:r>
      <w:r w:rsidR="00295836" w:rsidRPr="00667D0D">
        <w:t xml:space="preserve">overnment </w:t>
      </w:r>
      <w:r w:rsidRPr="00667D0D">
        <w:t xml:space="preserve">may make </w:t>
      </w:r>
      <w:r w:rsidR="00295836" w:rsidRPr="00667D0D">
        <w:t>specific commitments, announcements and/or decisions before a business case is completed</w:t>
      </w:r>
      <w:r w:rsidRPr="00667D0D">
        <w:t xml:space="preserve">. Where this occurs, a business case is still required. The investment case remains important to demonstrate the investment rationale, and economic analysis of cost and benefits, however a full options assessment may not be necessary. The delivery case section will, in most cases, be the primary focus of the business case. </w:t>
      </w:r>
      <w:r w:rsidR="00295836" w:rsidRPr="00667D0D">
        <w:t xml:space="preserve"> </w:t>
      </w:r>
    </w:p>
    <w:p w14:paraId="6B894558" w14:textId="627AF63D" w:rsidR="009B5021" w:rsidRPr="00667D0D" w:rsidRDefault="009B5021" w:rsidP="009B5021">
      <w:pPr>
        <w:pStyle w:val="NormalIndent"/>
      </w:pPr>
      <w:r w:rsidRPr="00667D0D">
        <w:t>If a business</w:t>
      </w:r>
      <w:r w:rsidR="00293688" w:rsidRPr="00667D0D">
        <w:t xml:space="preserve"> case</w:t>
      </w:r>
      <w:r w:rsidRPr="00667D0D">
        <w:t xml:space="preserve"> has significant departures from the guidance outlined in this </w:t>
      </w:r>
      <w:r w:rsidR="00A44B30" w:rsidRPr="00667D0D">
        <w:t>document,</w:t>
      </w:r>
      <w:r w:rsidRPr="00667D0D">
        <w:t xml:space="preserve"> it must d</w:t>
      </w:r>
      <w:r w:rsidR="00B94525" w:rsidRPr="00667D0D">
        <w:t>isclose</w:t>
      </w:r>
      <w:r w:rsidRPr="00667D0D">
        <w:t xml:space="preserve"> and </w:t>
      </w:r>
      <w:r w:rsidR="00B94525" w:rsidRPr="00667D0D">
        <w:t>outline the rationale</w:t>
      </w:r>
      <w:r w:rsidRPr="00667D0D">
        <w:t xml:space="preserve"> for the departures.  </w:t>
      </w:r>
    </w:p>
    <w:p w14:paraId="12714503" w14:textId="77777777" w:rsidR="00444B46" w:rsidRPr="00667D0D" w:rsidRDefault="00444B46" w:rsidP="005E1934">
      <w:pPr>
        <w:pStyle w:val="Heading2numbered"/>
      </w:pPr>
      <w:bookmarkStart w:id="19" w:name="_Toc121415285"/>
      <w:r w:rsidRPr="00667D0D">
        <w:t>Building the business case</w:t>
      </w:r>
      <w:bookmarkEnd w:id="19"/>
      <w:r w:rsidRPr="00667D0D">
        <w:t xml:space="preserve"> </w:t>
      </w:r>
    </w:p>
    <w:p w14:paraId="1E714EA5" w14:textId="7C188431" w:rsidR="00444B46" w:rsidRPr="0042214E" w:rsidRDefault="00444B46" w:rsidP="005E1934">
      <w:pPr>
        <w:pStyle w:val="Heading3numbered"/>
      </w:pPr>
      <w:bookmarkStart w:id="20" w:name="_Toc121415286"/>
      <w:r w:rsidRPr="0042214E">
        <w:t xml:space="preserve">Creating </w:t>
      </w:r>
      <w:r w:rsidR="00380B35" w:rsidRPr="0042214E">
        <w:t>the</w:t>
      </w:r>
      <w:r w:rsidRPr="0042214E">
        <w:t xml:space="preserve"> business case – length and style?</w:t>
      </w:r>
      <w:bookmarkEnd w:id="20"/>
      <w:r w:rsidRPr="0042214E">
        <w:t xml:space="preserve"> </w:t>
      </w:r>
    </w:p>
    <w:p w14:paraId="7BE2DF83" w14:textId="76E833ED" w:rsidR="00444B46" w:rsidRPr="0042214E" w:rsidRDefault="00444B46" w:rsidP="00034452">
      <w:pPr>
        <w:pStyle w:val="NormalIndent"/>
        <w:rPr>
          <w:rStyle w:val="Emphasis"/>
        </w:rPr>
      </w:pPr>
      <w:r w:rsidRPr="0042214E">
        <w:rPr>
          <w:rStyle w:val="Emphasis"/>
        </w:rPr>
        <w:t>The level of detail in the business case should be appropriate to the scale and complexity of the investment</w:t>
      </w:r>
      <w:r w:rsidR="00C404D8" w:rsidRPr="0042214E">
        <w:rPr>
          <w:rStyle w:val="Emphasis"/>
        </w:rPr>
        <w:t>.</w:t>
      </w:r>
    </w:p>
    <w:p w14:paraId="49A5A10C" w14:textId="1C303AE0" w:rsidR="00444B46" w:rsidRPr="0042214E" w:rsidRDefault="00444B46" w:rsidP="005E1934">
      <w:pPr>
        <w:pStyle w:val="NormalIndent"/>
      </w:pPr>
      <w:r w:rsidRPr="0042214E">
        <w:t xml:space="preserve">Agencies should provide </w:t>
      </w:r>
      <w:proofErr w:type="gramStart"/>
      <w:r w:rsidRPr="0042214E">
        <w:t xml:space="preserve">an </w:t>
      </w:r>
      <w:r w:rsidR="00A67CFA" w:rsidRPr="0042214E">
        <w:t>evidence</w:t>
      </w:r>
      <w:proofErr w:type="gramEnd"/>
      <w:r w:rsidR="00034452" w:rsidRPr="0042214E">
        <w:noBreakHyphen/>
      </w:r>
      <w:r w:rsidR="00A67CFA" w:rsidRPr="0042214E">
        <w:t>based</w:t>
      </w:r>
      <w:r w:rsidRPr="0042214E">
        <w:t xml:space="preserve"> case to justify the investment. The business case should be </w:t>
      </w:r>
      <w:r w:rsidR="00BB15AB" w:rsidRPr="0042214E">
        <w:t xml:space="preserve">in </w:t>
      </w:r>
      <w:r w:rsidRPr="0042214E">
        <w:t xml:space="preserve">plain English </w:t>
      </w:r>
      <w:r w:rsidR="00BB15AB" w:rsidRPr="0042214E">
        <w:t xml:space="preserve">and </w:t>
      </w:r>
      <w:r w:rsidRPr="0042214E">
        <w:t xml:space="preserve">set out the case for the proposed investment. Important technical data </w:t>
      </w:r>
      <w:r w:rsidR="007F5EEC" w:rsidRPr="0042214E">
        <w:t>can</w:t>
      </w:r>
      <w:r w:rsidRPr="0042214E">
        <w:t xml:space="preserve"> be included as an appendix, such as costings, risk management, and technical information to support the deliverability of the investment. The level of technical detail required will vary depending on the size, </w:t>
      </w:r>
      <w:proofErr w:type="gramStart"/>
      <w:r w:rsidRPr="0042214E">
        <w:t>scale</w:t>
      </w:r>
      <w:proofErr w:type="gramEnd"/>
      <w:r w:rsidRPr="0042214E">
        <w:t xml:space="preserve"> and complexity of the investment.</w:t>
      </w:r>
    </w:p>
    <w:p w14:paraId="6C77D1FB" w14:textId="1125B576" w:rsidR="007B30CE" w:rsidRPr="0042214E" w:rsidRDefault="007B30CE" w:rsidP="005E1934">
      <w:pPr>
        <w:pStyle w:val="NormalIndent"/>
      </w:pPr>
      <w:r w:rsidRPr="0042214E">
        <w:lastRenderedPageBreak/>
        <w:t>It should be noted that all business cases need to be developed to address the specific issues of the investment in question. As a result</w:t>
      </w:r>
      <w:r w:rsidR="007F5EEC" w:rsidRPr="0042214E">
        <w:t>,</w:t>
      </w:r>
      <w:r w:rsidRPr="0042214E">
        <w:t xml:space="preserve"> some simple investments may need to provide more detail than suggested on specific aspects unique to the particular investment. The depth of evidence should be appropriate to the nature, size and complexity of the investment and should be assessed on a case</w:t>
      </w:r>
      <w:r w:rsidR="00FB6BC9" w:rsidRPr="0042214E">
        <w:t>-</w:t>
      </w:r>
      <w:r w:rsidRPr="0042214E">
        <w:t>by</w:t>
      </w:r>
      <w:r w:rsidR="00FB6BC9" w:rsidRPr="0042214E">
        <w:t>-</w:t>
      </w:r>
      <w:r w:rsidRPr="0042214E">
        <w:t>case basis.</w:t>
      </w:r>
    </w:p>
    <w:p w14:paraId="4BBF703C" w14:textId="401C921D" w:rsidR="007B30CE" w:rsidRPr="0042214E" w:rsidRDefault="007B30CE" w:rsidP="005E1934">
      <w:pPr>
        <w:pStyle w:val="NormalIndent"/>
      </w:pPr>
      <w:r w:rsidRPr="0042214E">
        <w:t>Examples of a simple project include:</w:t>
      </w:r>
    </w:p>
    <w:p w14:paraId="0A4196ED" w14:textId="1CE413D0" w:rsidR="007B30CE" w:rsidRPr="0042214E" w:rsidRDefault="00034452" w:rsidP="005228F2">
      <w:pPr>
        <w:pStyle w:val="Bulletindent"/>
        <w:contextualSpacing/>
      </w:pPr>
      <w:r w:rsidRPr="0042214E">
        <w:t xml:space="preserve">minor </w:t>
      </w:r>
      <w:r w:rsidR="007B30CE" w:rsidRPr="0042214E">
        <w:t xml:space="preserve">refurbishment of a </w:t>
      </w:r>
      <w:proofErr w:type="gramStart"/>
      <w:r w:rsidR="007B30CE" w:rsidRPr="0042214E">
        <w:t>courthouse;</w:t>
      </w:r>
      <w:proofErr w:type="gramEnd"/>
    </w:p>
    <w:p w14:paraId="1147AF82" w14:textId="471CCE6A" w:rsidR="007B30CE" w:rsidRPr="0042214E" w:rsidRDefault="00034452" w:rsidP="005228F2">
      <w:pPr>
        <w:pStyle w:val="Bulletindent"/>
        <w:contextualSpacing/>
      </w:pPr>
      <w:r w:rsidRPr="0042214E">
        <w:t xml:space="preserve">simple </w:t>
      </w:r>
      <w:r w:rsidR="007B30CE" w:rsidRPr="0042214E">
        <w:t xml:space="preserve">sports and recreational </w:t>
      </w:r>
      <w:proofErr w:type="gramStart"/>
      <w:r w:rsidR="007B30CE" w:rsidRPr="0042214E">
        <w:t>build;</w:t>
      </w:r>
      <w:proofErr w:type="gramEnd"/>
    </w:p>
    <w:p w14:paraId="0624C48E" w14:textId="2F0A9B0D" w:rsidR="007B30CE" w:rsidRPr="0042214E" w:rsidRDefault="00034452" w:rsidP="005228F2">
      <w:pPr>
        <w:pStyle w:val="Bulletindent"/>
        <w:contextualSpacing/>
      </w:pPr>
      <w:r w:rsidRPr="0042214E">
        <w:t xml:space="preserve">something </w:t>
      </w:r>
      <w:r w:rsidR="007B30CE" w:rsidRPr="0042214E">
        <w:t>done many times before; and</w:t>
      </w:r>
    </w:p>
    <w:p w14:paraId="4B952326" w14:textId="748E8554" w:rsidR="007B30CE" w:rsidRPr="0042214E" w:rsidRDefault="00034452" w:rsidP="005228F2">
      <w:pPr>
        <w:pStyle w:val="Bulletindent"/>
        <w:contextualSpacing/>
      </w:pPr>
      <w:r w:rsidRPr="0042214E">
        <w:t xml:space="preserve">upgrading </w:t>
      </w:r>
      <w:r w:rsidR="007B30CE" w:rsidRPr="0042214E">
        <w:t>rolling stock.</w:t>
      </w:r>
    </w:p>
    <w:p w14:paraId="33723F0C" w14:textId="06FAF522" w:rsidR="007B30CE" w:rsidRPr="0042214E" w:rsidRDefault="007B30CE" w:rsidP="00034452">
      <w:pPr>
        <w:pStyle w:val="NormalIndent"/>
      </w:pPr>
      <w:r w:rsidRPr="0042214E">
        <w:t>Examples of a complex project</w:t>
      </w:r>
      <w:r w:rsidR="00FB6BC9" w:rsidRPr="0042214E">
        <w:t xml:space="preserve"> include</w:t>
      </w:r>
      <w:r w:rsidRPr="0042214E">
        <w:t>:</w:t>
      </w:r>
    </w:p>
    <w:p w14:paraId="40E98BD2" w14:textId="6023EDBF" w:rsidR="007B30CE" w:rsidRPr="0042214E" w:rsidRDefault="00FB6BC9" w:rsidP="005228F2">
      <w:pPr>
        <w:pStyle w:val="Bulletindent"/>
        <w:contextualSpacing/>
      </w:pPr>
      <w:r w:rsidRPr="0042214E">
        <w:t xml:space="preserve">a </w:t>
      </w:r>
      <w:r w:rsidR="00034452" w:rsidRPr="0042214E">
        <w:t xml:space="preserve">new </w:t>
      </w:r>
      <w:r w:rsidR="007B30CE" w:rsidRPr="0042214E">
        <w:t xml:space="preserve">freeway </w:t>
      </w:r>
      <w:proofErr w:type="gramStart"/>
      <w:r w:rsidR="007B30CE" w:rsidRPr="0042214E">
        <w:t>project;</w:t>
      </w:r>
      <w:proofErr w:type="gramEnd"/>
    </w:p>
    <w:p w14:paraId="5AA5D6AC" w14:textId="31E26867" w:rsidR="007B30CE" w:rsidRPr="0042214E" w:rsidRDefault="00FB6BC9" w:rsidP="005228F2">
      <w:pPr>
        <w:pStyle w:val="Bulletindent"/>
        <w:contextualSpacing/>
      </w:pPr>
      <w:r w:rsidRPr="0042214E">
        <w:t xml:space="preserve">a </w:t>
      </w:r>
      <w:r w:rsidR="00034452" w:rsidRPr="0042214E">
        <w:t xml:space="preserve">new </w:t>
      </w:r>
      <w:r w:rsidR="007B30CE" w:rsidRPr="0042214E">
        <w:t xml:space="preserve">public transport IT </w:t>
      </w:r>
      <w:proofErr w:type="gramStart"/>
      <w:r w:rsidR="007B30CE" w:rsidRPr="0042214E">
        <w:t>system;</w:t>
      </w:r>
      <w:proofErr w:type="gramEnd"/>
    </w:p>
    <w:p w14:paraId="27296718" w14:textId="5ED53234" w:rsidR="007B30CE" w:rsidRPr="0042214E" w:rsidRDefault="00FB6BC9" w:rsidP="005228F2">
      <w:pPr>
        <w:pStyle w:val="Bulletindent"/>
        <w:contextualSpacing/>
      </w:pPr>
      <w:r w:rsidRPr="0042214E">
        <w:t xml:space="preserve">a </w:t>
      </w:r>
      <w:r w:rsidR="00034452" w:rsidRPr="0042214E">
        <w:t xml:space="preserve">major </w:t>
      </w:r>
      <w:r w:rsidR="007B30CE" w:rsidRPr="0042214E">
        <w:t xml:space="preserve">sports centre </w:t>
      </w:r>
      <w:proofErr w:type="gramStart"/>
      <w:r w:rsidR="007B30CE" w:rsidRPr="0042214E">
        <w:t>build;</w:t>
      </w:r>
      <w:proofErr w:type="gramEnd"/>
    </w:p>
    <w:p w14:paraId="7A64B8B1" w14:textId="0BC17F16" w:rsidR="007B30CE" w:rsidRPr="0042214E" w:rsidRDefault="00FB6BC9" w:rsidP="005228F2">
      <w:pPr>
        <w:pStyle w:val="Bulletindent"/>
        <w:contextualSpacing/>
      </w:pPr>
      <w:r w:rsidRPr="0042214E">
        <w:t xml:space="preserve">a </w:t>
      </w:r>
      <w:r w:rsidR="00034452" w:rsidRPr="0042214E">
        <w:t xml:space="preserve">major </w:t>
      </w:r>
      <w:r w:rsidR="007B30CE" w:rsidRPr="0042214E">
        <w:t xml:space="preserve">regional development expansion </w:t>
      </w:r>
      <w:proofErr w:type="gramStart"/>
      <w:r w:rsidR="007B30CE" w:rsidRPr="0042214E">
        <w:t>project;</w:t>
      </w:r>
      <w:proofErr w:type="gramEnd"/>
    </w:p>
    <w:p w14:paraId="050E4841" w14:textId="0D27D126" w:rsidR="007B30CE" w:rsidRPr="0042214E" w:rsidRDefault="00034452" w:rsidP="005228F2">
      <w:pPr>
        <w:pStyle w:val="Bulletindent"/>
        <w:contextualSpacing/>
      </w:pPr>
      <w:r w:rsidRPr="0042214E">
        <w:t xml:space="preserve">projects </w:t>
      </w:r>
      <w:r w:rsidR="007B30CE" w:rsidRPr="0042214E">
        <w:t>that affect a complex group of stakeholders; and</w:t>
      </w:r>
    </w:p>
    <w:p w14:paraId="0FF69319" w14:textId="08E136B4" w:rsidR="007B30CE" w:rsidRPr="0042214E" w:rsidRDefault="00FB6BC9" w:rsidP="005228F2">
      <w:pPr>
        <w:pStyle w:val="Bulletindent"/>
        <w:contextualSpacing/>
      </w:pPr>
      <w:r w:rsidRPr="0042214E">
        <w:t xml:space="preserve">a </w:t>
      </w:r>
      <w:r w:rsidR="00034452" w:rsidRPr="0042214E">
        <w:t xml:space="preserve">project </w:t>
      </w:r>
      <w:r w:rsidR="007B30CE" w:rsidRPr="0042214E">
        <w:t>where there are many high risks.</w:t>
      </w:r>
    </w:p>
    <w:p w14:paraId="7BFCFDD2" w14:textId="4E7239CA" w:rsidR="007B30CE" w:rsidRPr="0042214E" w:rsidRDefault="007B30CE" w:rsidP="00034452">
      <w:pPr>
        <w:pStyle w:val="NormalIndent"/>
        <w:rPr>
          <w:rStyle w:val="Emphasis"/>
        </w:rPr>
      </w:pPr>
      <w:r w:rsidRPr="0042214E">
        <w:rPr>
          <w:rStyle w:val="Emphasis"/>
        </w:rPr>
        <w:t xml:space="preserve">Agencies should use their judgement to ensure relevant detail is presented. </w:t>
      </w:r>
    </w:p>
    <w:p w14:paraId="722017F5" w14:textId="77777777" w:rsidR="006547A4" w:rsidRPr="0042214E" w:rsidRDefault="00A67CFA" w:rsidP="005E1934">
      <w:pPr>
        <w:pStyle w:val="Heading3numbered"/>
      </w:pPr>
      <w:bookmarkStart w:id="21" w:name="_Toc121415287"/>
      <w:r w:rsidRPr="0042214E">
        <w:t xml:space="preserve">The two sections of a </w:t>
      </w:r>
      <w:r w:rsidR="00444B46" w:rsidRPr="0042214E">
        <w:t>business cas</w:t>
      </w:r>
      <w:r w:rsidRPr="0042214E">
        <w:t>e</w:t>
      </w:r>
      <w:bookmarkEnd w:id="21"/>
    </w:p>
    <w:p w14:paraId="16EAA3D7" w14:textId="77777777" w:rsidR="005B1D32" w:rsidRPr="0042214E" w:rsidRDefault="005B1D32" w:rsidP="00034452">
      <w:pPr>
        <w:pStyle w:val="NormalIndent"/>
      </w:pPr>
      <w:r w:rsidRPr="0042214E">
        <w:t xml:space="preserve">The </w:t>
      </w:r>
      <w:r w:rsidRPr="0042214E">
        <w:rPr>
          <w:rStyle w:val="Emphasis"/>
        </w:rPr>
        <w:t>business case is formed of two key components</w:t>
      </w:r>
      <w:r w:rsidRPr="0042214E">
        <w:t>:</w:t>
      </w:r>
    </w:p>
    <w:p w14:paraId="429C1A1D" w14:textId="72452081" w:rsidR="005B1D32" w:rsidRPr="0042214E" w:rsidRDefault="004C304E" w:rsidP="00034452">
      <w:pPr>
        <w:pStyle w:val="Bulletindent"/>
      </w:pPr>
      <w:r w:rsidRPr="0042214E">
        <w:rPr>
          <w:b/>
          <w:color w:val="E57200" w:themeColor="accent2"/>
        </w:rPr>
        <w:t>t</w:t>
      </w:r>
      <w:r w:rsidR="005B1D32" w:rsidRPr="0042214E">
        <w:rPr>
          <w:b/>
          <w:color w:val="E57200" w:themeColor="accent2"/>
        </w:rPr>
        <w:t xml:space="preserve">he </w:t>
      </w:r>
      <w:r w:rsidR="007345CE" w:rsidRPr="0042214E">
        <w:rPr>
          <w:b/>
          <w:color w:val="E57200" w:themeColor="accent2"/>
        </w:rPr>
        <w:t>i</w:t>
      </w:r>
      <w:r w:rsidR="005B1D32" w:rsidRPr="0042214E">
        <w:rPr>
          <w:b/>
          <w:color w:val="E57200" w:themeColor="accent2"/>
        </w:rPr>
        <w:t xml:space="preserve">nvestment </w:t>
      </w:r>
      <w:proofErr w:type="gramStart"/>
      <w:r w:rsidR="005B1D32" w:rsidRPr="0042214E">
        <w:rPr>
          <w:b/>
          <w:color w:val="E57200" w:themeColor="accent2"/>
        </w:rPr>
        <w:t>case</w:t>
      </w:r>
      <w:r w:rsidR="00CC1DF3" w:rsidRPr="0042214E">
        <w:rPr>
          <w:b/>
          <w:color w:val="E57200" w:themeColor="accent2"/>
        </w:rPr>
        <w:t>:</w:t>
      </w:r>
      <w:proofErr w:type="gramEnd"/>
      <w:r w:rsidR="005B1D32" w:rsidRPr="0042214E">
        <w:t xml:space="preserve"> </w:t>
      </w:r>
      <w:r w:rsidR="003B6FBC" w:rsidRPr="0042214E">
        <w:t>s</w:t>
      </w:r>
      <w:r w:rsidR="005B1D32" w:rsidRPr="0042214E">
        <w:t>ets out the rationale for the investment, provides evidence of the scale of need, measures the impact of the problem and analyses response options</w:t>
      </w:r>
      <w:r w:rsidR="00920F02" w:rsidRPr="0042214E">
        <w:t>;</w:t>
      </w:r>
      <w:r w:rsidR="00034452" w:rsidRPr="0042214E">
        <w:t> </w:t>
      </w:r>
      <w:r w:rsidR="00920F02" w:rsidRPr="0042214E">
        <w:t>and</w:t>
      </w:r>
    </w:p>
    <w:p w14:paraId="79A2AE69" w14:textId="2AD31202" w:rsidR="005B1D32" w:rsidRPr="0042214E" w:rsidRDefault="004C304E" w:rsidP="00034452">
      <w:pPr>
        <w:pStyle w:val="Bulletindent"/>
      </w:pPr>
      <w:r w:rsidRPr="0042214E">
        <w:rPr>
          <w:b/>
          <w:color w:val="E57200" w:themeColor="accent2"/>
        </w:rPr>
        <w:t>t</w:t>
      </w:r>
      <w:r w:rsidR="005B1D32" w:rsidRPr="0042214E">
        <w:rPr>
          <w:b/>
          <w:color w:val="E57200" w:themeColor="accent2"/>
        </w:rPr>
        <w:t xml:space="preserve">he </w:t>
      </w:r>
      <w:r w:rsidR="007345CE" w:rsidRPr="0042214E">
        <w:rPr>
          <w:b/>
          <w:color w:val="E57200" w:themeColor="accent2"/>
        </w:rPr>
        <w:t>d</w:t>
      </w:r>
      <w:r w:rsidR="005B1D32" w:rsidRPr="0042214E">
        <w:rPr>
          <w:b/>
          <w:color w:val="E57200" w:themeColor="accent2"/>
        </w:rPr>
        <w:t xml:space="preserve">elivery </w:t>
      </w:r>
      <w:proofErr w:type="gramStart"/>
      <w:r w:rsidR="005B1D32" w:rsidRPr="0042214E">
        <w:rPr>
          <w:b/>
          <w:color w:val="E57200" w:themeColor="accent2"/>
        </w:rPr>
        <w:t>case</w:t>
      </w:r>
      <w:r w:rsidR="00CC1DF3" w:rsidRPr="0042214E">
        <w:rPr>
          <w:b/>
          <w:color w:val="E57200" w:themeColor="accent2"/>
        </w:rPr>
        <w:t>:</w:t>
      </w:r>
      <w:proofErr w:type="gramEnd"/>
      <w:r w:rsidR="005B1D32" w:rsidRPr="0042214E">
        <w:t xml:space="preserve"> </w:t>
      </w:r>
      <w:r w:rsidR="003B6FBC" w:rsidRPr="0042214E">
        <w:t>d</w:t>
      </w:r>
      <w:r w:rsidR="005B1D32" w:rsidRPr="0042214E">
        <w:t>emonstrates how the preferred solution can successfully deliver the intended benefits on time and on budget.</w:t>
      </w:r>
    </w:p>
    <w:p w14:paraId="0577DBA3" w14:textId="44B3B6E9" w:rsidR="006809B9" w:rsidRPr="0042214E" w:rsidRDefault="005B1D32" w:rsidP="00034452">
      <w:pPr>
        <w:pStyle w:val="Caption"/>
        <w:ind w:left="792"/>
        <w:rPr>
          <w:rFonts w:asciiTheme="majorHAnsi" w:hAnsiTheme="majorHAnsi"/>
        </w:rPr>
      </w:pPr>
      <w:r w:rsidRPr="0042214E">
        <w:lastRenderedPageBreak/>
        <w:t>Figure 4: Business case chapters</w:t>
      </w:r>
    </w:p>
    <w:p w14:paraId="63967D6D" w14:textId="12F56FCD" w:rsidR="0092120F" w:rsidRPr="0042214E" w:rsidRDefault="0026779E" w:rsidP="0026779E">
      <w:pPr>
        <w:pStyle w:val="NormalIndent"/>
      </w:pPr>
      <w:r w:rsidRPr="0042214E">
        <w:object w:dxaOrig="11146" w:dyaOrig="6676" w14:anchorId="59A3D331">
          <v:shape id="_x0000_i1027" type="#_x0000_t75" style="width:424.5pt;height:252pt" o:ole="">
            <v:imagedata r:id="rId36" o:title=""/>
          </v:shape>
          <o:OLEObject Type="Embed" ProgID="Visio.Drawing.15" ShapeID="_x0000_i1027" DrawAspect="Content" ObjectID="_1736165082" r:id="rId37"/>
        </w:object>
      </w:r>
    </w:p>
    <w:p w14:paraId="205C5EFD" w14:textId="26BCE719" w:rsidR="00A67CFA" w:rsidRPr="0042214E" w:rsidRDefault="00862547" w:rsidP="007035C4">
      <w:pPr>
        <w:pStyle w:val="Caption"/>
        <w:pageBreakBefore/>
        <w:ind w:left="792"/>
      </w:pPr>
      <w:r w:rsidRPr="0042214E">
        <w:lastRenderedPageBreak/>
        <w:t xml:space="preserve">Table </w:t>
      </w:r>
      <w:fldSimple w:instr=" SEQ Table \* ARABIC ">
        <w:r w:rsidR="00295E8F">
          <w:rPr>
            <w:noProof/>
          </w:rPr>
          <w:t>3</w:t>
        </w:r>
      </w:fldSimple>
      <w:r w:rsidR="007E3BB4" w:rsidRPr="0042214E">
        <w:t xml:space="preserve">: </w:t>
      </w:r>
      <w:r w:rsidR="009E0D3F" w:rsidRPr="0042214E">
        <w:t>Line of inquiry for t</w:t>
      </w:r>
      <w:r w:rsidR="007E3BB4" w:rsidRPr="0042214E">
        <w:t xml:space="preserve">he two sections of </w:t>
      </w:r>
      <w:r w:rsidR="00E336AA" w:rsidRPr="0042214E">
        <w:t>the</w:t>
      </w:r>
      <w:r w:rsidR="007E3BB4" w:rsidRPr="0042214E">
        <w:t xml:space="preserve"> business case</w:t>
      </w:r>
    </w:p>
    <w:tbl>
      <w:tblPr>
        <w:tblStyle w:val="DTFtexttableindent"/>
        <w:tblW w:w="0" w:type="auto"/>
        <w:tblLook w:val="0420" w:firstRow="1" w:lastRow="0" w:firstColumn="0" w:lastColumn="0" w:noHBand="0" w:noVBand="1"/>
      </w:tblPr>
      <w:tblGrid>
        <w:gridCol w:w="4219"/>
        <w:gridCol w:w="4216"/>
      </w:tblGrid>
      <w:tr w:rsidR="00A67CFA" w:rsidRPr="0042214E" w14:paraId="3CE6510F" w14:textId="77777777" w:rsidTr="00A97326">
        <w:trPr>
          <w:cnfStyle w:val="100000000000" w:firstRow="1" w:lastRow="0" w:firstColumn="0" w:lastColumn="0" w:oddVBand="0" w:evenVBand="0" w:oddHBand="0" w:evenHBand="0" w:firstRowFirstColumn="0" w:firstRowLastColumn="0" w:lastRowFirstColumn="0" w:lastRowLastColumn="0"/>
        </w:trPr>
        <w:tc>
          <w:tcPr>
            <w:tcW w:w="8719" w:type="dxa"/>
            <w:gridSpan w:val="2"/>
            <w:shd w:val="clear" w:color="auto" w:fill="E57200" w:themeFill="accent2"/>
          </w:tcPr>
          <w:p w14:paraId="12B4CB42" w14:textId="1556ED4D" w:rsidR="00A67CFA" w:rsidRPr="0042214E" w:rsidRDefault="00A67CFA" w:rsidP="005371EE">
            <w:pPr>
              <w:pStyle w:val="Tableheader"/>
              <w:jc w:val="center"/>
            </w:pPr>
            <w:r w:rsidRPr="0042214E">
              <w:t xml:space="preserve">The </w:t>
            </w:r>
            <w:r w:rsidR="007035C4" w:rsidRPr="0042214E">
              <w:t>business case</w:t>
            </w:r>
          </w:p>
        </w:tc>
      </w:tr>
      <w:tr w:rsidR="00A67CFA" w:rsidRPr="0042214E" w14:paraId="3E5CFD44" w14:textId="77777777" w:rsidTr="000008A1">
        <w:tc>
          <w:tcPr>
            <w:tcW w:w="4359" w:type="dxa"/>
            <w:shd w:val="clear" w:color="auto" w:fill="E57200" w:themeFill="accent2"/>
          </w:tcPr>
          <w:p w14:paraId="6AC07B1F" w14:textId="03B6C48F" w:rsidR="00A67CFA" w:rsidRPr="0042214E" w:rsidRDefault="00A67CFA" w:rsidP="007035C4">
            <w:pPr>
              <w:pStyle w:val="Tableheader"/>
              <w:rPr>
                <w:b/>
              </w:rPr>
            </w:pPr>
            <w:r w:rsidRPr="0042214E">
              <w:rPr>
                <w:b/>
              </w:rPr>
              <w:t>Investment case</w:t>
            </w:r>
          </w:p>
        </w:tc>
        <w:tc>
          <w:tcPr>
            <w:tcW w:w="4360" w:type="dxa"/>
            <w:shd w:val="clear" w:color="auto" w:fill="E57200" w:themeFill="accent2"/>
          </w:tcPr>
          <w:p w14:paraId="754049D2" w14:textId="602222C6" w:rsidR="00A67CFA" w:rsidRPr="0042214E" w:rsidRDefault="00A67CFA" w:rsidP="007035C4">
            <w:pPr>
              <w:pStyle w:val="Tableheader"/>
              <w:rPr>
                <w:b/>
              </w:rPr>
            </w:pPr>
            <w:r w:rsidRPr="0042214E">
              <w:rPr>
                <w:b/>
              </w:rPr>
              <w:t>Delivery case</w:t>
            </w:r>
          </w:p>
        </w:tc>
      </w:tr>
      <w:tr w:rsidR="00A67CFA" w:rsidRPr="0042214E" w14:paraId="133B159A" w14:textId="77777777" w:rsidTr="006E1CF8">
        <w:trPr>
          <w:cnfStyle w:val="000000010000" w:firstRow="0" w:lastRow="0" w:firstColumn="0" w:lastColumn="0" w:oddVBand="0" w:evenVBand="0" w:oddHBand="0" w:evenHBand="1" w:firstRowFirstColumn="0" w:firstRowLastColumn="0" w:lastRowFirstColumn="0" w:lastRowLastColumn="0"/>
        </w:trPr>
        <w:tc>
          <w:tcPr>
            <w:tcW w:w="4359" w:type="dxa"/>
          </w:tcPr>
          <w:p w14:paraId="106CFCD6" w14:textId="77777777" w:rsidR="00466A69" w:rsidRPr="0042214E" w:rsidRDefault="00466A69" w:rsidP="005371EE">
            <w:pPr>
              <w:pStyle w:val="Tabletext"/>
            </w:pPr>
            <w:r w:rsidRPr="0042214E">
              <w:t xml:space="preserve">Initial examination of problems or opportunities that agencies believe warrant attention from </w:t>
            </w:r>
            <w:r w:rsidR="009E0D3F" w:rsidRPr="0042214E">
              <w:t>G</w:t>
            </w:r>
            <w:r w:rsidRPr="0042214E">
              <w:t xml:space="preserve">overnment. </w:t>
            </w:r>
            <w:r w:rsidR="00821E8C" w:rsidRPr="0042214E">
              <w:t>A</w:t>
            </w:r>
            <w:r w:rsidRPr="0042214E">
              <w:t>llows decision</w:t>
            </w:r>
            <w:r w:rsidRPr="0042214E">
              <w:rPr>
                <w:rFonts w:ascii="Cambria Math" w:hAnsi="Cambria Math" w:cs="Cambria Math"/>
              </w:rPr>
              <w:t>‐</w:t>
            </w:r>
            <w:r w:rsidRPr="0042214E">
              <w:t xml:space="preserve">makers to consider the merits of the proposal and to determine whether it justifies further investigation. </w:t>
            </w:r>
          </w:p>
          <w:p w14:paraId="402C5D22" w14:textId="77777777" w:rsidR="00A67CFA" w:rsidRPr="0042214E" w:rsidRDefault="00466A69" w:rsidP="005371EE">
            <w:pPr>
              <w:pStyle w:val="Tabletext"/>
              <w:rPr>
                <w:b/>
              </w:rPr>
            </w:pPr>
            <w:r w:rsidRPr="0042214E">
              <w:rPr>
                <w:b/>
              </w:rPr>
              <w:t>Key questions:</w:t>
            </w:r>
          </w:p>
          <w:p w14:paraId="00FDAE75" w14:textId="77777777" w:rsidR="00466A69" w:rsidRPr="0042214E" w:rsidRDefault="00466A69" w:rsidP="005371EE">
            <w:pPr>
              <w:pStyle w:val="Tablebullet"/>
            </w:pPr>
            <w:r w:rsidRPr="0042214E">
              <w:t>Is there a need?</w:t>
            </w:r>
          </w:p>
          <w:p w14:paraId="1F1A6E76" w14:textId="77777777" w:rsidR="00466A69" w:rsidRPr="0042214E" w:rsidRDefault="00466A69" w:rsidP="005371EE">
            <w:pPr>
              <w:pStyle w:val="Tablebullet"/>
            </w:pPr>
            <w:r w:rsidRPr="0042214E">
              <w:t>What is the problem or business need to be addressed?</w:t>
            </w:r>
          </w:p>
          <w:p w14:paraId="540C61EF" w14:textId="77777777" w:rsidR="00466A69" w:rsidRPr="0042214E" w:rsidRDefault="00466A69" w:rsidP="005371EE">
            <w:pPr>
              <w:pStyle w:val="Tablebullet"/>
            </w:pPr>
            <w:r w:rsidRPr="0042214E">
              <w:t xml:space="preserve">What benefits can the Government expect from successfully responding to the problem? </w:t>
            </w:r>
          </w:p>
          <w:p w14:paraId="7A15F496" w14:textId="77777777" w:rsidR="00466A69" w:rsidRPr="0042214E" w:rsidRDefault="00466A69" w:rsidP="005371EE">
            <w:pPr>
              <w:pStyle w:val="Tablebullet"/>
            </w:pPr>
            <w:r w:rsidRPr="0042214E">
              <w:t>What response options will best address the identified problem or business need?</w:t>
            </w:r>
          </w:p>
          <w:p w14:paraId="37551016" w14:textId="77777777" w:rsidR="00466A69" w:rsidRPr="0042214E" w:rsidRDefault="00466A69" w:rsidP="005371EE">
            <w:pPr>
              <w:pStyle w:val="Tablebullet"/>
            </w:pPr>
            <w:r w:rsidRPr="0042214E">
              <w:t>Is there any uncertainty impacting the problem definition, desired benefits, response options and/or the preferred response?</w:t>
            </w:r>
          </w:p>
          <w:p w14:paraId="5556DD8E" w14:textId="34A7CD43" w:rsidR="00466A69" w:rsidRPr="0042214E" w:rsidRDefault="00466A69" w:rsidP="00C404D8">
            <w:pPr>
              <w:pStyle w:val="Tablebullet"/>
            </w:pPr>
            <w:r w:rsidRPr="0042214E">
              <w:t>What is the best value</w:t>
            </w:r>
            <w:r w:rsidR="00C404D8" w:rsidRPr="0042214E">
              <w:t xml:space="preserve"> </w:t>
            </w:r>
            <w:r w:rsidRPr="0042214E">
              <w:t>for</w:t>
            </w:r>
            <w:r w:rsidR="00C404D8" w:rsidRPr="0042214E">
              <w:t xml:space="preserve"> </w:t>
            </w:r>
            <w:r w:rsidRPr="0042214E">
              <w:t xml:space="preserve">money project option that will address the problem and achieve the benefits? </w:t>
            </w:r>
          </w:p>
        </w:tc>
        <w:tc>
          <w:tcPr>
            <w:tcW w:w="4360" w:type="dxa"/>
          </w:tcPr>
          <w:p w14:paraId="007E67F5" w14:textId="77777777" w:rsidR="00466A69" w:rsidRPr="0042214E" w:rsidRDefault="00466A69" w:rsidP="005371EE">
            <w:pPr>
              <w:pStyle w:val="Tabletext"/>
            </w:pPr>
            <w:r w:rsidRPr="0042214E">
              <w:t>Presents the case supporting whether the investment can be delivered as planned. This includes evidence to support the deliverability of project options and the preferred solution.</w:t>
            </w:r>
          </w:p>
          <w:p w14:paraId="0C66CD8A" w14:textId="77777777" w:rsidR="00A67CFA" w:rsidRPr="0042214E" w:rsidRDefault="00466A69" w:rsidP="005371EE">
            <w:pPr>
              <w:pStyle w:val="Tabletext"/>
              <w:rPr>
                <w:b/>
              </w:rPr>
            </w:pPr>
            <w:r w:rsidRPr="0042214E">
              <w:rPr>
                <w:b/>
              </w:rPr>
              <w:t>Key questions:</w:t>
            </w:r>
          </w:p>
          <w:p w14:paraId="5EE7EF10" w14:textId="73A88F5E" w:rsidR="00466A69" w:rsidRPr="0042214E" w:rsidRDefault="00466A69" w:rsidP="005371EE">
            <w:pPr>
              <w:pStyle w:val="Tablebullet"/>
            </w:pPr>
            <w:r w:rsidRPr="0042214E">
              <w:t>Is there sufficient information to support the business case (</w:t>
            </w:r>
            <w:r w:rsidR="00825CA5" w:rsidRPr="0042214E">
              <w:t>e.g.,</w:t>
            </w:r>
            <w:r w:rsidRPr="0042214E">
              <w:t xml:space="preserve"> economic evaluations, risk workshops, procurement strategy</w:t>
            </w:r>
            <w:r w:rsidR="00177B15" w:rsidRPr="0042214E">
              <w:t>,</w:t>
            </w:r>
            <w:r w:rsidRPr="0042214E">
              <w:t xml:space="preserve"> etc.)</w:t>
            </w:r>
            <w:r w:rsidR="00177B15" w:rsidRPr="0042214E">
              <w:t>?</w:t>
            </w:r>
          </w:p>
          <w:p w14:paraId="02CB2C8B" w14:textId="77777777" w:rsidR="00466A69" w:rsidRPr="0042214E" w:rsidRDefault="00466A69" w:rsidP="005371EE">
            <w:pPr>
              <w:pStyle w:val="Tablebullet"/>
            </w:pPr>
            <w:r w:rsidRPr="0042214E">
              <w:t>What is the cost of the project and what benefits will be delivered?</w:t>
            </w:r>
          </w:p>
          <w:p w14:paraId="477885B2" w14:textId="77777777" w:rsidR="00466A69" w:rsidRPr="0042214E" w:rsidRDefault="00466A69" w:rsidP="005371EE">
            <w:pPr>
              <w:pStyle w:val="Tablebullet"/>
            </w:pPr>
            <w:r w:rsidRPr="0042214E">
              <w:t>What risks and uncertainties can be foreseen and how can these be managed?</w:t>
            </w:r>
          </w:p>
          <w:p w14:paraId="75ADD627" w14:textId="77777777" w:rsidR="00466A69" w:rsidRPr="0042214E" w:rsidRDefault="00466A69" w:rsidP="005371EE">
            <w:pPr>
              <w:pStyle w:val="Tablebullet"/>
            </w:pPr>
            <w:r w:rsidRPr="0042214E">
              <w:t>What confidence does the business case provide for the project’s costs and timescales?</w:t>
            </w:r>
          </w:p>
          <w:p w14:paraId="28FD9ADE" w14:textId="77777777" w:rsidR="00466A69" w:rsidRPr="0042214E" w:rsidRDefault="00466A69" w:rsidP="005371EE">
            <w:pPr>
              <w:pStyle w:val="Tablebullet"/>
            </w:pPr>
            <w:r w:rsidRPr="0042214E">
              <w:t>Is the procurement strategy robust?</w:t>
            </w:r>
          </w:p>
          <w:p w14:paraId="242B0480" w14:textId="77777777" w:rsidR="00EC4D08" w:rsidRPr="0042214E" w:rsidRDefault="00EC4D08" w:rsidP="005371EE">
            <w:pPr>
              <w:pStyle w:val="Tablebullet"/>
            </w:pPr>
            <w:r w:rsidRPr="0042214E">
              <w:t xml:space="preserve">Is the governance </w:t>
            </w:r>
            <w:r w:rsidR="00821E8C" w:rsidRPr="0042214E">
              <w:t>structure appropriate for the type and scale of the project?</w:t>
            </w:r>
          </w:p>
          <w:p w14:paraId="59119983" w14:textId="2F239A47" w:rsidR="00466A69" w:rsidRPr="0042214E" w:rsidRDefault="00466A69" w:rsidP="005371EE">
            <w:pPr>
              <w:pStyle w:val="Tablebullet"/>
            </w:pPr>
            <w:r w:rsidRPr="0042214E">
              <w:t xml:space="preserve">Can the </w:t>
            </w:r>
            <w:r w:rsidR="00904AFB" w:rsidRPr="0042214E">
              <w:t xml:space="preserve">project </w:t>
            </w:r>
            <w:r w:rsidRPr="0042214E">
              <w:t xml:space="preserve">solution be delivered as planned? </w:t>
            </w:r>
          </w:p>
        </w:tc>
      </w:tr>
    </w:tbl>
    <w:p w14:paraId="5CB874B5" w14:textId="77777777" w:rsidR="006547A4" w:rsidRPr="0042214E" w:rsidRDefault="006547A4" w:rsidP="005E1934">
      <w:pPr>
        <w:pStyle w:val="Heading3numbered"/>
      </w:pPr>
      <w:bookmarkStart w:id="22" w:name="_Toc121415288"/>
      <w:r w:rsidRPr="0042214E">
        <w:t>Types of business cases</w:t>
      </w:r>
      <w:bookmarkEnd w:id="22"/>
    </w:p>
    <w:p w14:paraId="2B6233B3" w14:textId="370A4A7A" w:rsidR="006547A4" w:rsidRPr="0042214E" w:rsidRDefault="006547A4" w:rsidP="005E1934">
      <w:pPr>
        <w:pStyle w:val="NormalIndent"/>
      </w:pPr>
      <w:r w:rsidRPr="0042214E">
        <w:t xml:space="preserve">There are two main recognised business cases: the </w:t>
      </w:r>
      <w:r w:rsidR="00227061" w:rsidRPr="0042214E">
        <w:t>p</w:t>
      </w:r>
      <w:r w:rsidRPr="0042214E">
        <w:t xml:space="preserve">reliminary </w:t>
      </w:r>
      <w:r w:rsidR="00227061" w:rsidRPr="0042214E">
        <w:t>b</w:t>
      </w:r>
      <w:r w:rsidRPr="0042214E">
        <w:t xml:space="preserve">usiness </w:t>
      </w:r>
      <w:r w:rsidR="00227061" w:rsidRPr="0042214E">
        <w:t>c</w:t>
      </w:r>
      <w:r w:rsidRPr="0042214E">
        <w:t xml:space="preserve">ase, and the </w:t>
      </w:r>
      <w:r w:rsidR="00227061" w:rsidRPr="0042214E">
        <w:t>f</w:t>
      </w:r>
      <w:r w:rsidRPr="0042214E">
        <w:t xml:space="preserve">ull </w:t>
      </w:r>
      <w:r w:rsidR="00227061" w:rsidRPr="0042214E">
        <w:t>b</w:t>
      </w:r>
      <w:r w:rsidRPr="0042214E">
        <w:t xml:space="preserve">usiness </w:t>
      </w:r>
      <w:r w:rsidR="00227061" w:rsidRPr="0042214E">
        <w:t>c</w:t>
      </w:r>
      <w:r w:rsidRPr="0042214E">
        <w:t xml:space="preserve">ase. Strategic assessments are also recognised </w:t>
      </w:r>
      <w:r w:rsidR="00496E34" w:rsidRPr="0042214E">
        <w:t>as</w:t>
      </w:r>
      <w:r w:rsidRPr="0042214E">
        <w:t xml:space="preserve"> a useful way </w:t>
      </w:r>
      <w:r w:rsidR="00496E34" w:rsidRPr="0042214E">
        <w:t xml:space="preserve">for departments to </w:t>
      </w:r>
      <w:r w:rsidRPr="0042214E">
        <w:t xml:space="preserve">filter </w:t>
      </w:r>
      <w:r w:rsidR="009E0D3F" w:rsidRPr="0042214E">
        <w:t xml:space="preserve">investments </w:t>
      </w:r>
      <w:r w:rsidRPr="0042214E">
        <w:t>before these are submitted to Government.</w:t>
      </w:r>
    </w:p>
    <w:p w14:paraId="754306F6" w14:textId="617341C4" w:rsidR="006547A4" w:rsidRPr="0042214E" w:rsidRDefault="006547A4" w:rsidP="005E1934">
      <w:pPr>
        <w:pStyle w:val="NormalIndent"/>
      </w:pPr>
      <w:r w:rsidRPr="0042214E">
        <w:t xml:space="preserve">The </w:t>
      </w:r>
      <w:r w:rsidR="00227061" w:rsidRPr="0042214E">
        <w:t>p</w:t>
      </w:r>
      <w:r w:rsidRPr="0042214E">
        <w:t xml:space="preserve">reliminary </w:t>
      </w:r>
      <w:r w:rsidR="00227061" w:rsidRPr="0042214E">
        <w:t>b</w:t>
      </w:r>
      <w:r w:rsidRPr="0042214E">
        <w:t xml:space="preserve">usiness </w:t>
      </w:r>
      <w:r w:rsidR="00227061" w:rsidRPr="0042214E">
        <w:t>c</w:t>
      </w:r>
      <w:r w:rsidRPr="0042214E">
        <w:t xml:space="preserve">ase allows departments and agencies to test the investment case with Government prior to committing to the development of a </w:t>
      </w:r>
      <w:r w:rsidR="00227061" w:rsidRPr="0042214E">
        <w:t>f</w:t>
      </w:r>
      <w:r w:rsidRPr="0042214E">
        <w:t xml:space="preserve">ull </w:t>
      </w:r>
      <w:r w:rsidR="00227061" w:rsidRPr="0042214E">
        <w:t>b</w:t>
      </w:r>
      <w:r w:rsidRPr="0042214E">
        <w:t xml:space="preserve">usiness </w:t>
      </w:r>
      <w:r w:rsidR="00227061" w:rsidRPr="0042214E">
        <w:t>c</w:t>
      </w:r>
      <w:r w:rsidRPr="0042214E">
        <w:t>ase. In some circumstances</w:t>
      </w:r>
      <w:r w:rsidR="009E0D3F" w:rsidRPr="0042214E">
        <w:t>, particularly for large and complex projects,</w:t>
      </w:r>
      <w:r w:rsidRPr="0042214E">
        <w:t xml:space="preserve"> it may be appropriate </w:t>
      </w:r>
      <w:r w:rsidR="00177B15" w:rsidRPr="0042214E">
        <w:t xml:space="preserve">to develop a </w:t>
      </w:r>
      <w:r w:rsidR="00227061" w:rsidRPr="0042214E">
        <w:t>p</w:t>
      </w:r>
      <w:r w:rsidR="00177B15" w:rsidRPr="0042214E">
        <w:t xml:space="preserve">reliminary </w:t>
      </w:r>
      <w:r w:rsidR="00227061" w:rsidRPr="0042214E">
        <w:t>b</w:t>
      </w:r>
      <w:r w:rsidR="00177B15" w:rsidRPr="0042214E">
        <w:t xml:space="preserve">usiness </w:t>
      </w:r>
      <w:r w:rsidR="00227061" w:rsidRPr="0042214E">
        <w:t>c</w:t>
      </w:r>
      <w:r w:rsidR="00177B15" w:rsidRPr="0042214E">
        <w:t xml:space="preserve">ase </w:t>
      </w:r>
      <w:r w:rsidR="00CC1DF3" w:rsidRPr="0042214E">
        <w:t xml:space="preserve">that </w:t>
      </w:r>
      <w:r w:rsidR="00177B15" w:rsidRPr="0042214E">
        <w:t xml:space="preserve">seeks </w:t>
      </w:r>
      <w:r w:rsidRPr="0042214E">
        <w:t xml:space="preserve">funding for </w:t>
      </w:r>
      <w:r w:rsidR="00177B15" w:rsidRPr="0042214E">
        <w:t xml:space="preserve">further </w:t>
      </w:r>
      <w:r w:rsidRPr="0042214E">
        <w:t xml:space="preserve">development </w:t>
      </w:r>
      <w:r w:rsidR="00177B15" w:rsidRPr="0042214E">
        <w:t xml:space="preserve">into </w:t>
      </w:r>
      <w:r w:rsidRPr="0042214E">
        <w:t xml:space="preserve">a </w:t>
      </w:r>
      <w:r w:rsidR="00227061" w:rsidRPr="0042214E">
        <w:t>f</w:t>
      </w:r>
      <w:r w:rsidRPr="0042214E">
        <w:t xml:space="preserve">ull </w:t>
      </w:r>
      <w:r w:rsidR="00227061" w:rsidRPr="0042214E">
        <w:t>b</w:t>
      </w:r>
      <w:r w:rsidRPr="0042214E">
        <w:t xml:space="preserve">usiness </w:t>
      </w:r>
      <w:r w:rsidR="00227061" w:rsidRPr="0042214E">
        <w:t>c</w:t>
      </w:r>
      <w:r w:rsidRPr="0042214E">
        <w:t>ase.</w:t>
      </w:r>
    </w:p>
    <w:p w14:paraId="276EFB63" w14:textId="49A1D907" w:rsidR="006547A4" w:rsidRPr="0042214E" w:rsidRDefault="006547A4" w:rsidP="005E1934">
      <w:pPr>
        <w:pStyle w:val="NormalIndent"/>
      </w:pPr>
      <w:r w:rsidRPr="0042214E">
        <w:t xml:space="preserve">The </w:t>
      </w:r>
      <w:r w:rsidR="00227061" w:rsidRPr="0042214E">
        <w:t>f</w:t>
      </w:r>
      <w:r w:rsidRPr="0042214E">
        <w:t xml:space="preserve">ull </w:t>
      </w:r>
      <w:r w:rsidR="00227061" w:rsidRPr="0042214E">
        <w:t>b</w:t>
      </w:r>
      <w:r w:rsidRPr="0042214E">
        <w:t xml:space="preserve">usiness </w:t>
      </w:r>
      <w:r w:rsidR="00227061" w:rsidRPr="0042214E">
        <w:t>c</w:t>
      </w:r>
      <w:r w:rsidRPr="0042214E">
        <w:t>ase is the most comprehensive business case and should be used for investment decision</w:t>
      </w:r>
      <w:r w:rsidR="00C404D8" w:rsidRPr="0042214E">
        <w:t>-</w:t>
      </w:r>
      <w:r w:rsidRPr="0042214E">
        <w:t xml:space="preserve">making. </w:t>
      </w:r>
      <w:r w:rsidR="00227061" w:rsidRPr="0042214E">
        <w:t xml:space="preserve">The investment case provides the foundation for the full business case. For a full business case, the investment case should be comprehensive and contain the substantial evidence base establishing the case for </w:t>
      </w:r>
      <w:r w:rsidR="00805F22" w:rsidRPr="0042214E">
        <w:t>G</w:t>
      </w:r>
      <w:r w:rsidR="00227061" w:rsidRPr="0042214E">
        <w:t>overnment to invest and provides the confidence it can be delivered as planned.</w:t>
      </w:r>
    </w:p>
    <w:p w14:paraId="24F05B07" w14:textId="42A26447" w:rsidR="007035DC" w:rsidRPr="0042214E" w:rsidRDefault="00B74499" w:rsidP="005E1934">
      <w:pPr>
        <w:pStyle w:val="NormalIndent"/>
      </w:pPr>
      <w:r>
        <w:fldChar w:fldCharType="begin"/>
      </w:r>
      <w:r>
        <w:instrText xml:space="preserve"> REF _Ref24627652 \h </w:instrText>
      </w:r>
      <w:r>
        <w:fldChar w:fldCharType="separate"/>
      </w:r>
      <w:r w:rsidR="00295E8F" w:rsidRPr="0042214E">
        <w:t xml:space="preserve">Table </w:t>
      </w:r>
      <w:r w:rsidR="00295E8F">
        <w:rPr>
          <w:noProof/>
        </w:rPr>
        <w:t>4</w:t>
      </w:r>
      <w:r>
        <w:fldChar w:fldCharType="end"/>
      </w:r>
      <w:r w:rsidR="006547A4" w:rsidRPr="0042214E">
        <w:t xml:space="preserve"> below indicates the </w:t>
      </w:r>
      <w:bookmarkStart w:id="23" w:name="_Hlk25912512"/>
      <w:r w:rsidR="006547A4" w:rsidRPr="0042214E">
        <w:t xml:space="preserve">level of evidence and effort expected </w:t>
      </w:r>
      <w:r w:rsidR="00496E34" w:rsidRPr="0042214E">
        <w:t xml:space="preserve">for different </w:t>
      </w:r>
      <w:r w:rsidR="006547A4" w:rsidRPr="0042214E">
        <w:t>type</w:t>
      </w:r>
      <w:r w:rsidR="00496E34" w:rsidRPr="0042214E">
        <w:t>s</w:t>
      </w:r>
      <w:r w:rsidR="006547A4" w:rsidRPr="0042214E">
        <w:t xml:space="preserve"> of project</w:t>
      </w:r>
      <w:r w:rsidR="00944AF6">
        <w:t>s</w:t>
      </w:r>
      <w:r w:rsidR="006547A4" w:rsidRPr="0042214E">
        <w:t xml:space="preserve"> and business case</w:t>
      </w:r>
      <w:r w:rsidR="00496E34" w:rsidRPr="0042214E">
        <w:t>s</w:t>
      </w:r>
      <w:bookmarkEnd w:id="23"/>
      <w:r w:rsidR="006547A4" w:rsidRPr="0042214E">
        <w:t>.</w:t>
      </w:r>
      <w:r w:rsidR="00E51845" w:rsidRPr="0042214E">
        <w:t xml:space="preserve"> This should be considered a guide only and </w:t>
      </w:r>
      <w:r w:rsidR="00496E34" w:rsidRPr="0042214E">
        <w:t>may</w:t>
      </w:r>
      <w:r w:rsidR="00E51845" w:rsidRPr="0042214E">
        <w:t xml:space="preserve"> depend on other project</w:t>
      </w:r>
      <w:r w:rsidR="00C404D8" w:rsidRPr="0042214E">
        <w:t>-</w:t>
      </w:r>
      <w:r w:rsidR="00E51845" w:rsidRPr="0042214E">
        <w:t xml:space="preserve">specific </w:t>
      </w:r>
      <w:r w:rsidR="008E2CAD" w:rsidRPr="0042214E">
        <w:t>issues</w:t>
      </w:r>
      <w:r w:rsidR="00E51845" w:rsidRPr="0042214E">
        <w:t>.</w:t>
      </w:r>
      <w:r w:rsidR="00496E34" w:rsidRPr="0042214E">
        <w:t xml:space="preserve"> For HVHR projects, the appropriate business case and level of development should be discussed with DTF.</w:t>
      </w:r>
      <w:r w:rsidR="00E51845" w:rsidRPr="0042214E">
        <w:t xml:space="preserve"> </w:t>
      </w:r>
    </w:p>
    <w:p w14:paraId="77A6DFB7" w14:textId="13383262" w:rsidR="007035DC" w:rsidRPr="0042214E" w:rsidRDefault="00862547" w:rsidP="006E1CF8">
      <w:pPr>
        <w:pStyle w:val="Caption"/>
        <w:pageBreakBefore/>
        <w:ind w:left="792"/>
        <w:jc w:val="both"/>
      </w:pPr>
      <w:bookmarkStart w:id="24" w:name="_Ref24627652"/>
      <w:r w:rsidRPr="0042214E">
        <w:lastRenderedPageBreak/>
        <w:t xml:space="preserve">Table </w:t>
      </w:r>
      <w:fldSimple w:instr=" SEQ Table \* ARABIC ">
        <w:r w:rsidR="00295E8F">
          <w:rPr>
            <w:noProof/>
          </w:rPr>
          <w:t>4</w:t>
        </w:r>
      </w:fldSimple>
      <w:bookmarkEnd w:id="24"/>
      <w:r w:rsidR="00020646" w:rsidRPr="0042214E">
        <w:t>:</w:t>
      </w:r>
      <w:r w:rsidR="00E51845" w:rsidRPr="0042214E">
        <w:t xml:space="preserve"> </w:t>
      </w:r>
      <w:bookmarkStart w:id="25" w:name="_Hlk19539531"/>
      <w:r w:rsidR="00E51845" w:rsidRPr="0042214E">
        <w:t>Types of business cases</w:t>
      </w:r>
      <w:r w:rsidR="00F2378F" w:rsidRPr="0042214E">
        <w:t xml:space="preserve"> for capital projects</w:t>
      </w:r>
      <w:r w:rsidR="00E51845" w:rsidRPr="0042214E">
        <w:t xml:space="preserve"> and expected level of evidence and effort </w:t>
      </w:r>
      <w:bookmarkEnd w:id="25"/>
    </w:p>
    <w:p w14:paraId="3746B17F" w14:textId="46EE59DF" w:rsidR="007035DC" w:rsidRPr="0042214E" w:rsidRDefault="007035DC" w:rsidP="006E1CF8">
      <w:pPr>
        <w:pStyle w:val="Spacer"/>
      </w:pPr>
    </w:p>
    <w:tbl>
      <w:tblPr>
        <w:tblStyle w:val="DTFtexttable0"/>
        <w:tblW w:w="8449" w:type="dxa"/>
        <w:tblInd w:w="792" w:type="dxa"/>
        <w:tblLayout w:type="fixed"/>
        <w:tblLook w:val="06A0" w:firstRow="1" w:lastRow="0" w:firstColumn="1" w:lastColumn="0" w:noHBand="1" w:noVBand="1"/>
      </w:tblPr>
      <w:tblGrid>
        <w:gridCol w:w="435"/>
        <w:gridCol w:w="1890"/>
        <w:gridCol w:w="1531"/>
        <w:gridCol w:w="1531"/>
        <w:gridCol w:w="1531"/>
        <w:gridCol w:w="1531"/>
      </w:tblGrid>
      <w:tr w:rsidR="006E1CF8" w:rsidRPr="0042214E" w14:paraId="57040FB2" w14:textId="77777777" w:rsidTr="00A97326">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435" w:type="dxa"/>
            <w:vMerge w:val="restart"/>
            <w:shd w:val="clear" w:color="auto" w:fill="E57200" w:themeFill="accent2"/>
          </w:tcPr>
          <w:p w14:paraId="51015DCA" w14:textId="77777777" w:rsidR="006E1CF8" w:rsidRPr="0042214E" w:rsidRDefault="006E1CF8" w:rsidP="006E1CF8">
            <w:pPr>
              <w:pStyle w:val="Tableheader"/>
              <w:jc w:val="center"/>
            </w:pPr>
          </w:p>
        </w:tc>
        <w:tc>
          <w:tcPr>
            <w:tcW w:w="1890" w:type="dxa"/>
            <w:vMerge w:val="restart"/>
            <w:shd w:val="clear" w:color="auto" w:fill="E57200" w:themeFill="accent2"/>
          </w:tcPr>
          <w:p w14:paraId="3C77ED05" w14:textId="5C6AD524" w:rsidR="006E1CF8" w:rsidRPr="0042214E" w:rsidRDefault="006E1CF8" w:rsidP="006E1CF8">
            <w:pPr>
              <w:pStyle w:val="Tableheader"/>
              <w:cnfStyle w:val="100000000000" w:firstRow="1" w:lastRow="0" w:firstColumn="0" w:lastColumn="0" w:oddVBand="0" w:evenVBand="0" w:oddHBand="0" w:evenHBand="0" w:firstRowFirstColumn="0" w:firstRowLastColumn="0" w:lastRowFirstColumn="0" w:lastRowLastColumn="0"/>
            </w:pPr>
            <w:r w:rsidRPr="0042214E">
              <w:t>Step</w:t>
            </w:r>
          </w:p>
        </w:tc>
        <w:tc>
          <w:tcPr>
            <w:tcW w:w="1531" w:type="dxa"/>
            <w:vMerge w:val="restart"/>
            <w:shd w:val="clear" w:color="auto" w:fill="E57200" w:themeFill="accent2"/>
          </w:tcPr>
          <w:p w14:paraId="5FCC9C1A" w14:textId="5EA78F7D" w:rsidR="006E1CF8" w:rsidRPr="0042214E" w:rsidRDefault="006E1CF8" w:rsidP="006E1CF8">
            <w:pPr>
              <w:pStyle w:val="Tableheader"/>
              <w:cnfStyle w:val="100000000000" w:firstRow="1" w:lastRow="0" w:firstColumn="0" w:lastColumn="0" w:oddVBand="0" w:evenVBand="0" w:oddHBand="0" w:evenHBand="0" w:firstRowFirstColumn="0" w:firstRowLastColumn="0" w:lastRowFirstColumn="0" w:lastRowLastColumn="0"/>
            </w:pPr>
            <w:r w:rsidRPr="0042214E">
              <w:t>Strategic assessment</w:t>
            </w:r>
          </w:p>
        </w:tc>
        <w:tc>
          <w:tcPr>
            <w:tcW w:w="1531" w:type="dxa"/>
            <w:vMerge w:val="restart"/>
            <w:shd w:val="clear" w:color="auto" w:fill="E57200" w:themeFill="accent2"/>
          </w:tcPr>
          <w:p w14:paraId="478D6FA1" w14:textId="5D3887CC" w:rsidR="006E1CF8" w:rsidRPr="0042214E" w:rsidRDefault="006E1CF8" w:rsidP="006E1CF8">
            <w:pPr>
              <w:pStyle w:val="Tableheader"/>
              <w:cnfStyle w:val="100000000000" w:firstRow="1" w:lastRow="0" w:firstColumn="0" w:lastColumn="0" w:oddVBand="0" w:evenVBand="0" w:oddHBand="0" w:evenHBand="0" w:firstRowFirstColumn="0" w:firstRowLastColumn="0" w:lastRowFirstColumn="0" w:lastRowLastColumn="0"/>
            </w:pPr>
            <w:r w:rsidRPr="0042214E">
              <w:t>Preliminary business case</w:t>
            </w:r>
          </w:p>
        </w:tc>
        <w:tc>
          <w:tcPr>
            <w:tcW w:w="3062" w:type="dxa"/>
            <w:gridSpan w:val="2"/>
            <w:tcBorders>
              <w:top w:val="nil"/>
              <w:bottom w:val="single" w:sz="6" w:space="0" w:color="FFFFFF" w:themeColor="background1"/>
            </w:tcBorders>
            <w:shd w:val="clear" w:color="auto" w:fill="E57200" w:themeFill="accent2"/>
          </w:tcPr>
          <w:p w14:paraId="503687C9" w14:textId="754A6332" w:rsidR="006E1CF8" w:rsidRPr="0042214E" w:rsidRDefault="006E1CF8" w:rsidP="006E1CF8">
            <w:pPr>
              <w:pStyle w:val="Tableheader"/>
              <w:jc w:val="center"/>
              <w:cnfStyle w:val="100000000000" w:firstRow="1" w:lastRow="0" w:firstColumn="0" w:lastColumn="0" w:oddVBand="0" w:evenVBand="0" w:oddHBand="0" w:evenHBand="0" w:firstRowFirstColumn="0" w:firstRowLastColumn="0" w:lastRowFirstColumn="0" w:lastRowLastColumn="0"/>
            </w:pPr>
            <w:r w:rsidRPr="0042214E">
              <w:t>Full business case</w:t>
            </w:r>
          </w:p>
        </w:tc>
      </w:tr>
      <w:tr w:rsidR="006E1CF8" w:rsidRPr="0042214E" w14:paraId="5E9A7C32" w14:textId="77777777" w:rsidTr="00A97326">
        <w:trPr>
          <w:trHeight w:val="283"/>
        </w:trPr>
        <w:tc>
          <w:tcPr>
            <w:cnfStyle w:val="001000000000" w:firstRow="0" w:lastRow="0" w:firstColumn="1" w:lastColumn="0" w:oddVBand="0" w:evenVBand="0" w:oddHBand="0" w:evenHBand="0" w:firstRowFirstColumn="0" w:firstRowLastColumn="0" w:lastRowFirstColumn="0" w:lastRowLastColumn="0"/>
            <w:tcW w:w="435" w:type="dxa"/>
            <w:vMerge/>
            <w:tcBorders>
              <w:bottom w:val="single" w:sz="6" w:space="0" w:color="A5A59D" w:themeColor="background2" w:themeShade="BF"/>
            </w:tcBorders>
            <w:shd w:val="clear" w:color="auto" w:fill="E57200" w:themeFill="accent2"/>
          </w:tcPr>
          <w:p w14:paraId="4A08F6AA" w14:textId="77777777" w:rsidR="006E1CF8" w:rsidRPr="0042214E" w:rsidRDefault="006E1CF8" w:rsidP="006E1CF8">
            <w:pPr>
              <w:pStyle w:val="Tableheader"/>
            </w:pPr>
          </w:p>
        </w:tc>
        <w:tc>
          <w:tcPr>
            <w:tcW w:w="1890" w:type="dxa"/>
            <w:vMerge/>
            <w:tcBorders>
              <w:bottom w:val="single" w:sz="6" w:space="0" w:color="A5A59D" w:themeColor="background2" w:themeShade="BF"/>
            </w:tcBorders>
            <w:shd w:val="clear" w:color="auto" w:fill="E57200" w:themeFill="accent2"/>
          </w:tcPr>
          <w:p w14:paraId="54EBBA4A" w14:textId="4435BB9A" w:rsidR="006E1CF8" w:rsidRPr="0042214E" w:rsidRDefault="006E1CF8" w:rsidP="006E1CF8">
            <w:pPr>
              <w:pStyle w:val="Tableheader"/>
              <w:cnfStyle w:val="000000000000" w:firstRow="0" w:lastRow="0" w:firstColumn="0" w:lastColumn="0" w:oddVBand="0" w:evenVBand="0" w:oddHBand="0" w:evenHBand="0" w:firstRowFirstColumn="0" w:firstRowLastColumn="0" w:lastRowFirstColumn="0" w:lastRowLastColumn="0"/>
            </w:pPr>
          </w:p>
        </w:tc>
        <w:tc>
          <w:tcPr>
            <w:tcW w:w="1531" w:type="dxa"/>
            <w:vMerge/>
            <w:tcBorders>
              <w:bottom w:val="single" w:sz="6" w:space="0" w:color="A5A59D" w:themeColor="background2" w:themeShade="BF"/>
            </w:tcBorders>
            <w:shd w:val="clear" w:color="auto" w:fill="E57200" w:themeFill="accent2"/>
          </w:tcPr>
          <w:p w14:paraId="72567D40" w14:textId="1C4BBB00" w:rsidR="006E1CF8" w:rsidRPr="0042214E" w:rsidRDefault="006E1CF8" w:rsidP="006E1CF8">
            <w:pPr>
              <w:pStyle w:val="Tableheader"/>
              <w:cnfStyle w:val="000000000000" w:firstRow="0" w:lastRow="0" w:firstColumn="0" w:lastColumn="0" w:oddVBand="0" w:evenVBand="0" w:oddHBand="0" w:evenHBand="0" w:firstRowFirstColumn="0" w:firstRowLastColumn="0" w:lastRowFirstColumn="0" w:lastRowLastColumn="0"/>
            </w:pPr>
          </w:p>
        </w:tc>
        <w:tc>
          <w:tcPr>
            <w:tcW w:w="1531" w:type="dxa"/>
            <w:vMerge/>
            <w:tcBorders>
              <w:bottom w:val="single" w:sz="6" w:space="0" w:color="A5A59D" w:themeColor="background2" w:themeShade="BF"/>
            </w:tcBorders>
            <w:shd w:val="clear" w:color="auto" w:fill="E57200" w:themeFill="accent2"/>
          </w:tcPr>
          <w:p w14:paraId="7B0FEE51" w14:textId="22B562CF" w:rsidR="006E1CF8" w:rsidRPr="0042214E" w:rsidRDefault="006E1CF8" w:rsidP="006E1CF8">
            <w:pPr>
              <w:pStyle w:val="Tableheader"/>
              <w:cnfStyle w:val="000000000000" w:firstRow="0" w:lastRow="0" w:firstColumn="0" w:lastColumn="0" w:oddVBand="0" w:evenVBand="0" w:oddHBand="0" w:evenHBand="0" w:firstRowFirstColumn="0" w:firstRowLastColumn="0" w:lastRowFirstColumn="0" w:lastRowLastColumn="0"/>
            </w:pPr>
          </w:p>
        </w:tc>
        <w:tc>
          <w:tcPr>
            <w:tcW w:w="1531" w:type="dxa"/>
            <w:tcBorders>
              <w:top w:val="single" w:sz="6" w:space="0" w:color="FFFFFF" w:themeColor="background1"/>
              <w:bottom w:val="single" w:sz="6" w:space="0" w:color="A5A59D" w:themeColor="background2" w:themeShade="BF"/>
            </w:tcBorders>
            <w:shd w:val="clear" w:color="auto" w:fill="E57200" w:themeFill="accent2"/>
          </w:tcPr>
          <w:p w14:paraId="2D369330" w14:textId="3B78128D" w:rsidR="006E1CF8" w:rsidRPr="0042214E" w:rsidRDefault="006E1CF8" w:rsidP="006E1CF8">
            <w:pPr>
              <w:pStyle w:val="Tableheader"/>
              <w:jc w:val="center"/>
              <w:cnfStyle w:val="000000000000" w:firstRow="0" w:lastRow="0" w:firstColumn="0" w:lastColumn="0" w:oddVBand="0" w:evenVBand="0" w:oddHBand="0" w:evenHBand="0" w:firstRowFirstColumn="0" w:firstRowLastColumn="0" w:lastRowFirstColumn="0" w:lastRowLastColumn="0"/>
              <w:rPr>
                <w:b/>
              </w:rPr>
            </w:pPr>
            <w:r w:rsidRPr="0042214E">
              <w:rPr>
                <w:b/>
              </w:rPr>
              <w:t>HVHR</w:t>
            </w:r>
          </w:p>
        </w:tc>
        <w:tc>
          <w:tcPr>
            <w:tcW w:w="1531" w:type="dxa"/>
            <w:tcBorders>
              <w:top w:val="single" w:sz="6" w:space="0" w:color="FFFFFF" w:themeColor="background1"/>
              <w:bottom w:val="single" w:sz="6" w:space="0" w:color="A5A59D" w:themeColor="background2" w:themeShade="BF"/>
            </w:tcBorders>
            <w:shd w:val="clear" w:color="auto" w:fill="E57200" w:themeFill="accent2"/>
          </w:tcPr>
          <w:p w14:paraId="5D99568E" w14:textId="459BE9F6" w:rsidR="006E1CF8" w:rsidRPr="0042214E" w:rsidRDefault="006E1CF8" w:rsidP="00C404D8">
            <w:pPr>
              <w:pStyle w:val="Tableheader"/>
              <w:jc w:val="center"/>
              <w:cnfStyle w:val="000000000000" w:firstRow="0" w:lastRow="0" w:firstColumn="0" w:lastColumn="0" w:oddVBand="0" w:evenVBand="0" w:oddHBand="0" w:evenHBand="0" w:firstRowFirstColumn="0" w:firstRowLastColumn="0" w:lastRowFirstColumn="0" w:lastRowLastColumn="0"/>
              <w:rPr>
                <w:b/>
              </w:rPr>
            </w:pPr>
            <w:r w:rsidRPr="0042214E">
              <w:rPr>
                <w:b/>
              </w:rPr>
              <w:t>Non</w:t>
            </w:r>
            <w:r w:rsidRPr="0042214E">
              <w:rPr>
                <w:b/>
              </w:rPr>
              <w:noBreakHyphen/>
              <w:t>HVHR</w:t>
            </w:r>
          </w:p>
        </w:tc>
      </w:tr>
      <w:tr w:rsidR="00594CA6" w:rsidRPr="0042214E" w14:paraId="1C34824A" w14:textId="77777777" w:rsidTr="00FC26D2">
        <w:trPr>
          <w:trHeight w:val="454"/>
        </w:trPr>
        <w:tc>
          <w:tcPr>
            <w:cnfStyle w:val="001000000000" w:firstRow="0" w:lastRow="0" w:firstColumn="1" w:lastColumn="0" w:oddVBand="0" w:evenVBand="0" w:oddHBand="0" w:evenHBand="0" w:firstRowFirstColumn="0" w:firstRowLastColumn="0" w:lastRowFirstColumn="0" w:lastRowLastColumn="0"/>
            <w:tcW w:w="435" w:type="dxa"/>
            <w:vMerge w:val="restart"/>
            <w:tcBorders>
              <w:top w:val="single" w:sz="6" w:space="0" w:color="A5A59D" w:themeColor="background2" w:themeShade="BF"/>
              <w:bottom w:val="single" w:sz="6" w:space="0" w:color="A5A59D" w:themeColor="background2" w:themeShade="BF"/>
            </w:tcBorders>
            <w:textDirection w:val="btLr"/>
          </w:tcPr>
          <w:p w14:paraId="679B789B" w14:textId="64A62C3A" w:rsidR="00594CA6" w:rsidRPr="0042214E" w:rsidRDefault="00594CA6" w:rsidP="006E1CF8">
            <w:pPr>
              <w:pStyle w:val="Tabletext"/>
              <w:spacing w:line="240" w:lineRule="auto"/>
              <w:jc w:val="center"/>
              <w:rPr>
                <w:b/>
              </w:rPr>
            </w:pPr>
            <w:r w:rsidRPr="0042214E">
              <w:rPr>
                <w:b/>
              </w:rPr>
              <w:t xml:space="preserve">Investment </w:t>
            </w:r>
            <w:r w:rsidR="006E1CF8" w:rsidRPr="0042214E">
              <w:rPr>
                <w:b/>
              </w:rPr>
              <w:t>case</w:t>
            </w:r>
          </w:p>
        </w:tc>
        <w:tc>
          <w:tcPr>
            <w:tcW w:w="1890" w:type="dxa"/>
            <w:tcBorders>
              <w:top w:val="single" w:sz="6" w:space="0" w:color="A5A59D" w:themeColor="background2" w:themeShade="BF"/>
              <w:bottom w:val="single" w:sz="6" w:space="0" w:color="A5A59D" w:themeColor="background2" w:themeShade="BF"/>
            </w:tcBorders>
          </w:tcPr>
          <w:p w14:paraId="526EC878" w14:textId="3AD532A7" w:rsidR="00594CA6" w:rsidRPr="0042214E" w:rsidRDefault="00594CA6" w:rsidP="006E1CF8">
            <w:pPr>
              <w:pStyle w:val="Tablenum1"/>
              <w:tabs>
                <w:tab w:val="clear" w:pos="360"/>
              </w:tabs>
              <w:ind w:left="317" w:hanging="317"/>
              <w:cnfStyle w:val="000000000000" w:firstRow="0" w:lastRow="0" w:firstColumn="0" w:lastColumn="0" w:oddVBand="0" w:evenVBand="0" w:oddHBand="0" w:evenHBand="0" w:firstRowFirstColumn="0" w:firstRowLastColumn="0" w:lastRowFirstColumn="0" w:lastRowLastColumn="0"/>
            </w:pPr>
            <w:r w:rsidRPr="0042214E">
              <w:t>Problem definition</w:t>
            </w:r>
          </w:p>
        </w:tc>
        <w:tc>
          <w:tcPr>
            <w:tcW w:w="1531" w:type="dxa"/>
            <w:tcBorders>
              <w:top w:val="single" w:sz="6" w:space="0" w:color="A5A59D" w:themeColor="background2" w:themeShade="BF"/>
              <w:bottom w:val="single" w:sz="6" w:space="0" w:color="A5A59D" w:themeColor="background2" w:themeShade="BF"/>
            </w:tcBorders>
            <w:shd w:val="clear" w:color="auto" w:fill="FDDA24"/>
          </w:tcPr>
          <w:p w14:paraId="7F0D8E96" w14:textId="053E93E9" w:rsidR="00594CA6"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pPr>
            <w:r w:rsidRPr="0042214E">
              <w:t>Conceptual</w:t>
            </w:r>
          </w:p>
        </w:tc>
        <w:tc>
          <w:tcPr>
            <w:tcW w:w="1531" w:type="dxa"/>
            <w:tcBorders>
              <w:top w:val="single" w:sz="6" w:space="0" w:color="A5A59D" w:themeColor="background2" w:themeShade="BF"/>
              <w:bottom w:val="single" w:sz="6" w:space="0" w:color="A5A59D" w:themeColor="background2" w:themeShade="BF"/>
            </w:tcBorders>
            <w:shd w:val="clear" w:color="auto" w:fill="F49600" w:themeFill="accent3"/>
          </w:tcPr>
          <w:p w14:paraId="46241F61" w14:textId="6D2E67DA" w:rsidR="00594CA6"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pPr>
            <w:r w:rsidRPr="0042214E">
              <w:t>Developed</w:t>
            </w:r>
          </w:p>
        </w:tc>
        <w:tc>
          <w:tcPr>
            <w:tcW w:w="1531" w:type="dxa"/>
            <w:tcBorders>
              <w:top w:val="single" w:sz="6" w:space="0" w:color="A5A59D" w:themeColor="background2" w:themeShade="BF"/>
              <w:bottom w:val="single" w:sz="6" w:space="0" w:color="A5A59D" w:themeColor="background2" w:themeShade="BF"/>
            </w:tcBorders>
            <w:shd w:val="clear" w:color="auto" w:fill="ABF152"/>
          </w:tcPr>
          <w:p w14:paraId="72D4B50F" w14:textId="30BD3F3C" w:rsidR="00594CA6"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p>
        </w:tc>
        <w:tc>
          <w:tcPr>
            <w:tcW w:w="1531" w:type="dxa"/>
            <w:tcBorders>
              <w:top w:val="single" w:sz="6" w:space="0" w:color="A5A59D" w:themeColor="background2" w:themeShade="BF"/>
              <w:bottom w:val="single" w:sz="6" w:space="0" w:color="A5A59D" w:themeColor="background2" w:themeShade="BF"/>
            </w:tcBorders>
            <w:shd w:val="clear" w:color="auto" w:fill="ABF152"/>
          </w:tcPr>
          <w:p w14:paraId="715670DB" w14:textId="26239BEC" w:rsidR="00594CA6"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r w:rsidRPr="0042214E" w:rsidDel="003A7C00">
              <w:rPr>
                <w:rFonts w:ascii="Segoe UI Symbol" w:hAnsi="Segoe UI Symbol" w:cs="Segoe UI Symbol"/>
              </w:rPr>
              <w:t xml:space="preserve"> </w:t>
            </w:r>
          </w:p>
        </w:tc>
      </w:tr>
      <w:tr w:rsidR="00594CA6" w:rsidRPr="0042214E" w14:paraId="73018A7D" w14:textId="77777777" w:rsidTr="00FC26D2">
        <w:trPr>
          <w:trHeight w:val="454"/>
        </w:trPr>
        <w:tc>
          <w:tcPr>
            <w:cnfStyle w:val="001000000000" w:firstRow="0" w:lastRow="0" w:firstColumn="1" w:lastColumn="0" w:oddVBand="0" w:evenVBand="0" w:oddHBand="0" w:evenHBand="0" w:firstRowFirstColumn="0" w:firstRowLastColumn="0" w:lastRowFirstColumn="0" w:lastRowLastColumn="0"/>
            <w:tcW w:w="435" w:type="dxa"/>
            <w:vMerge/>
            <w:tcBorders>
              <w:top w:val="single" w:sz="6" w:space="0" w:color="A5A59D" w:themeColor="background2" w:themeShade="BF"/>
              <w:bottom w:val="single" w:sz="6" w:space="0" w:color="A5A59D" w:themeColor="background2" w:themeShade="BF"/>
            </w:tcBorders>
          </w:tcPr>
          <w:p w14:paraId="257706C2" w14:textId="77777777" w:rsidR="00594CA6" w:rsidRPr="0042214E" w:rsidRDefault="00594CA6" w:rsidP="006E1CF8">
            <w:pPr>
              <w:pStyle w:val="Tabletext"/>
              <w:spacing w:line="240" w:lineRule="auto"/>
              <w:jc w:val="center"/>
              <w:rPr>
                <w:b/>
              </w:rPr>
            </w:pPr>
          </w:p>
        </w:tc>
        <w:tc>
          <w:tcPr>
            <w:tcW w:w="1890" w:type="dxa"/>
            <w:tcBorders>
              <w:top w:val="single" w:sz="6" w:space="0" w:color="A5A59D" w:themeColor="background2" w:themeShade="BF"/>
              <w:bottom w:val="single" w:sz="6" w:space="0" w:color="A5A59D" w:themeColor="background2" w:themeShade="BF"/>
            </w:tcBorders>
          </w:tcPr>
          <w:p w14:paraId="624B0AF4" w14:textId="3B8D9C68" w:rsidR="00594CA6" w:rsidRPr="0042214E" w:rsidRDefault="00594CA6" w:rsidP="006E1CF8">
            <w:pPr>
              <w:pStyle w:val="Tablenum1"/>
              <w:tabs>
                <w:tab w:val="clear" w:pos="360"/>
              </w:tabs>
              <w:ind w:left="317" w:hanging="317"/>
              <w:cnfStyle w:val="000000000000" w:firstRow="0" w:lastRow="0" w:firstColumn="0" w:lastColumn="0" w:oddVBand="0" w:evenVBand="0" w:oddHBand="0" w:evenHBand="0" w:firstRowFirstColumn="0" w:firstRowLastColumn="0" w:lastRowFirstColumn="0" w:lastRowLastColumn="0"/>
            </w:pPr>
            <w:r w:rsidRPr="0042214E">
              <w:t>Case for change</w:t>
            </w:r>
          </w:p>
        </w:tc>
        <w:tc>
          <w:tcPr>
            <w:tcW w:w="1531" w:type="dxa"/>
            <w:tcBorders>
              <w:top w:val="single" w:sz="6" w:space="0" w:color="A5A59D" w:themeColor="background2" w:themeShade="BF"/>
              <w:bottom w:val="single" w:sz="6" w:space="0" w:color="A5A59D" w:themeColor="background2" w:themeShade="BF"/>
            </w:tcBorders>
            <w:shd w:val="clear" w:color="auto" w:fill="FDDA24"/>
          </w:tcPr>
          <w:p w14:paraId="73F0219B" w14:textId="363B0976" w:rsidR="00594CA6"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pPr>
            <w:r w:rsidRPr="0042214E">
              <w:t>Conceptual</w:t>
            </w:r>
          </w:p>
        </w:tc>
        <w:tc>
          <w:tcPr>
            <w:tcW w:w="1531" w:type="dxa"/>
            <w:tcBorders>
              <w:top w:val="single" w:sz="6" w:space="0" w:color="A5A59D" w:themeColor="background2" w:themeShade="BF"/>
              <w:bottom w:val="single" w:sz="6" w:space="0" w:color="A5A59D" w:themeColor="background2" w:themeShade="BF"/>
            </w:tcBorders>
            <w:shd w:val="clear" w:color="auto" w:fill="F49600" w:themeFill="accent3"/>
          </w:tcPr>
          <w:p w14:paraId="5E4637E2" w14:textId="1698AD69" w:rsidR="00594CA6"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pPr>
            <w:r w:rsidRPr="0042214E">
              <w:t>Developed</w:t>
            </w:r>
          </w:p>
        </w:tc>
        <w:tc>
          <w:tcPr>
            <w:tcW w:w="1531" w:type="dxa"/>
            <w:tcBorders>
              <w:top w:val="single" w:sz="6" w:space="0" w:color="A5A59D" w:themeColor="background2" w:themeShade="BF"/>
              <w:bottom w:val="single" w:sz="6" w:space="0" w:color="A5A59D" w:themeColor="background2" w:themeShade="BF"/>
            </w:tcBorders>
            <w:shd w:val="clear" w:color="auto" w:fill="ABF152"/>
          </w:tcPr>
          <w:p w14:paraId="46DACD9D" w14:textId="5EAAE9A6" w:rsidR="00594CA6"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p>
        </w:tc>
        <w:tc>
          <w:tcPr>
            <w:tcW w:w="1531" w:type="dxa"/>
            <w:tcBorders>
              <w:top w:val="single" w:sz="6" w:space="0" w:color="A5A59D" w:themeColor="background2" w:themeShade="BF"/>
              <w:bottom w:val="single" w:sz="6" w:space="0" w:color="A5A59D" w:themeColor="background2" w:themeShade="BF"/>
            </w:tcBorders>
            <w:shd w:val="clear" w:color="auto" w:fill="ABF152"/>
          </w:tcPr>
          <w:p w14:paraId="7E613A2B" w14:textId="59AE90D7" w:rsidR="00594CA6"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r w:rsidRPr="0042214E" w:rsidDel="003A7C00">
              <w:rPr>
                <w:rFonts w:ascii="Segoe UI Symbol" w:hAnsi="Segoe UI Symbol" w:cs="Segoe UI Symbol"/>
              </w:rPr>
              <w:t xml:space="preserve"> </w:t>
            </w:r>
          </w:p>
        </w:tc>
      </w:tr>
      <w:tr w:rsidR="00AC1EFA" w:rsidRPr="0042214E" w14:paraId="6140A87C" w14:textId="77777777" w:rsidTr="00FC26D2">
        <w:trPr>
          <w:trHeight w:val="20"/>
        </w:trPr>
        <w:tc>
          <w:tcPr>
            <w:cnfStyle w:val="001000000000" w:firstRow="0" w:lastRow="0" w:firstColumn="1" w:lastColumn="0" w:oddVBand="0" w:evenVBand="0" w:oddHBand="0" w:evenHBand="0" w:firstRowFirstColumn="0" w:firstRowLastColumn="0" w:lastRowFirstColumn="0" w:lastRowLastColumn="0"/>
            <w:tcW w:w="435" w:type="dxa"/>
            <w:vMerge/>
            <w:tcBorders>
              <w:top w:val="single" w:sz="6" w:space="0" w:color="A5A59D" w:themeColor="background2" w:themeShade="BF"/>
              <w:bottom w:val="single" w:sz="6" w:space="0" w:color="A5A59D" w:themeColor="background2" w:themeShade="BF"/>
            </w:tcBorders>
          </w:tcPr>
          <w:p w14:paraId="1D2ADBD1" w14:textId="77777777" w:rsidR="00AC1EFA" w:rsidRPr="0042214E" w:rsidRDefault="00AC1EFA" w:rsidP="006E1CF8">
            <w:pPr>
              <w:pStyle w:val="Tabletext"/>
              <w:spacing w:line="240" w:lineRule="auto"/>
              <w:jc w:val="center"/>
              <w:rPr>
                <w:b/>
              </w:rPr>
            </w:pPr>
          </w:p>
        </w:tc>
        <w:tc>
          <w:tcPr>
            <w:tcW w:w="1890" w:type="dxa"/>
            <w:tcBorders>
              <w:top w:val="single" w:sz="6" w:space="0" w:color="A5A59D" w:themeColor="background2" w:themeShade="BF"/>
              <w:bottom w:val="single" w:sz="6" w:space="0" w:color="A5A59D" w:themeColor="background2" w:themeShade="BF"/>
            </w:tcBorders>
          </w:tcPr>
          <w:p w14:paraId="103FA4E4" w14:textId="62D13146" w:rsidR="00AC1EFA" w:rsidRPr="0042214E" w:rsidRDefault="00AC1EFA" w:rsidP="006E1CF8">
            <w:pPr>
              <w:pStyle w:val="Tablenum1"/>
              <w:tabs>
                <w:tab w:val="clear" w:pos="360"/>
              </w:tabs>
              <w:ind w:left="317" w:hanging="317"/>
              <w:cnfStyle w:val="000000000000" w:firstRow="0" w:lastRow="0" w:firstColumn="0" w:lastColumn="0" w:oddVBand="0" w:evenVBand="0" w:oddHBand="0" w:evenHBand="0" w:firstRowFirstColumn="0" w:firstRowLastColumn="0" w:lastRowFirstColumn="0" w:lastRowLastColumn="0"/>
            </w:pPr>
            <w:r w:rsidRPr="0042214E">
              <w:t>Response option development</w:t>
            </w:r>
          </w:p>
        </w:tc>
        <w:tc>
          <w:tcPr>
            <w:tcW w:w="1531" w:type="dxa"/>
            <w:tcBorders>
              <w:top w:val="single" w:sz="6" w:space="0" w:color="A5A59D" w:themeColor="background2" w:themeShade="BF"/>
              <w:bottom w:val="single" w:sz="6" w:space="0" w:color="A5A59D" w:themeColor="background2" w:themeShade="BF"/>
            </w:tcBorders>
            <w:shd w:val="clear" w:color="auto" w:fill="FDDA24"/>
          </w:tcPr>
          <w:p w14:paraId="74A568A3" w14:textId="6349B7BF"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pPr>
            <w:r w:rsidRPr="0042214E">
              <w:t>Conceptual</w:t>
            </w:r>
          </w:p>
        </w:tc>
        <w:tc>
          <w:tcPr>
            <w:tcW w:w="1531" w:type="dxa"/>
            <w:tcBorders>
              <w:top w:val="single" w:sz="6" w:space="0" w:color="A5A59D" w:themeColor="background2" w:themeShade="BF"/>
              <w:bottom w:val="single" w:sz="6" w:space="0" w:color="A5A59D" w:themeColor="background2" w:themeShade="BF"/>
            </w:tcBorders>
            <w:shd w:val="clear" w:color="auto" w:fill="F49600" w:themeFill="accent3"/>
          </w:tcPr>
          <w:p w14:paraId="08AC1CB2" w14:textId="3D1EEA41"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pPr>
            <w:r w:rsidRPr="0042214E">
              <w:t>Developed</w:t>
            </w:r>
          </w:p>
        </w:tc>
        <w:tc>
          <w:tcPr>
            <w:tcW w:w="1531" w:type="dxa"/>
            <w:tcBorders>
              <w:top w:val="single" w:sz="6" w:space="0" w:color="A5A59D" w:themeColor="background2" w:themeShade="BF"/>
              <w:bottom w:val="single" w:sz="6" w:space="0" w:color="A5A59D" w:themeColor="background2" w:themeShade="BF"/>
            </w:tcBorders>
            <w:shd w:val="clear" w:color="auto" w:fill="ABF152"/>
          </w:tcPr>
          <w:p w14:paraId="4DD5864B" w14:textId="549C927F"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p>
        </w:tc>
        <w:tc>
          <w:tcPr>
            <w:tcW w:w="1531" w:type="dxa"/>
            <w:tcBorders>
              <w:top w:val="single" w:sz="6" w:space="0" w:color="A5A59D" w:themeColor="background2" w:themeShade="BF"/>
              <w:bottom w:val="single" w:sz="6" w:space="0" w:color="A5A59D" w:themeColor="background2" w:themeShade="BF"/>
            </w:tcBorders>
            <w:shd w:val="clear" w:color="auto" w:fill="F49600" w:themeFill="accent3"/>
          </w:tcPr>
          <w:p w14:paraId="445DE5AB" w14:textId="71A75CAE"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Developed</w:t>
            </w:r>
            <w:r w:rsidRPr="0042214E" w:rsidDel="003A7C00">
              <w:rPr>
                <w:rFonts w:ascii="Segoe UI Symbol" w:hAnsi="Segoe UI Symbol" w:cs="Segoe UI Symbol"/>
              </w:rPr>
              <w:t xml:space="preserve"> </w:t>
            </w:r>
          </w:p>
        </w:tc>
      </w:tr>
      <w:tr w:rsidR="00AC1EFA" w:rsidRPr="0042214E" w14:paraId="3D8239CF" w14:textId="77777777" w:rsidTr="00FC26D2">
        <w:trPr>
          <w:trHeight w:val="369"/>
        </w:trPr>
        <w:tc>
          <w:tcPr>
            <w:cnfStyle w:val="001000000000" w:firstRow="0" w:lastRow="0" w:firstColumn="1" w:lastColumn="0" w:oddVBand="0" w:evenVBand="0" w:oddHBand="0" w:evenHBand="0" w:firstRowFirstColumn="0" w:firstRowLastColumn="0" w:lastRowFirstColumn="0" w:lastRowLastColumn="0"/>
            <w:tcW w:w="435" w:type="dxa"/>
            <w:vMerge/>
            <w:tcBorders>
              <w:top w:val="single" w:sz="6" w:space="0" w:color="A5A59D" w:themeColor="background2" w:themeShade="BF"/>
              <w:bottom w:val="single" w:sz="12" w:space="0" w:color="E35205" w:themeColor="accent1"/>
            </w:tcBorders>
          </w:tcPr>
          <w:p w14:paraId="088C954F" w14:textId="77777777" w:rsidR="00AC1EFA" w:rsidRPr="0042214E" w:rsidRDefault="00AC1EFA" w:rsidP="006E1CF8">
            <w:pPr>
              <w:pStyle w:val="Tabletext"/>
              <w:spacing w:line="240" w:lineRule="auto"/>
              <w:jc w:val="center"/>
              <w:rPr>
                <w:b/>
              </w:rPr>
            </w:pPr>
          </w:p>
        </w:tc>
        <w:tc>
          <w:tcPr>
            <w:tcW w:w="1890" w:type="dxa"/>
            <w:tcBorders>
              <w:top w:val="single" w:sz="6" w:space="0" w:color="A5A59D" w:themeColor="background2" w:themeShade="BF"/>
              <w:bottom w:val="single" w:sz="12" w:space="0" w:color="E35205" w:themeColor="accent1"/>
            </w:tcBorders>
          </w:tcPr>
          <w:p w14:paraId="1448BFA2" w14:textId="6F4B4C27" w:rsidR="00AC1EFA" w:rsidRPr="0042214E" w:rsidRDefault="00AC1EFA" w:rsidP="006E1CF8">
            <w:pPr>
              <w:pStyle w:val="Tablenum1"/>
              <w:tabs>
                <w:tab w:val="clear" w:pos="360"/>
              </w:tabs>
              <w:ind w:left="317" w:hanging="317"/>
              <w:cnfStyle w:val="000000000000" w:firstRow="0" w:lastRow="0" w:firstColumn="0" w:lastColumn="0" w:oddVBand="0" w:evenVBand="0" w:oddHBand="0" w:evenHBand="0" w:firstRowFirstColumn="0" w:firstRowLastColumn="0" w:lastRowFirstColumn="0" w:lastRowLastColumn="0"/>
            </w:pPr>
            <w:r w:rsidRPr="0042214E">
              <w:t>Response option assessment</w:t>
            </w:r>
          </w:p>
        </w:tc>
        <w:tc>
          <w:tcPr>
            <w:tcW w:w="1531" w:type="dxa"/>
            <w:tcBorders>
              <w:top w:val="single" w:sz="6" w:space="0" w:color="A5A59D" w:themeColor="background2" w:themeShade="BF"/>
              <w:bottom w:val="single" w:sz="12" w:space="0" w:color="E35205" w:themeColor="accent1"/>
            </w:tcBorders>
            <w:shd w:val="clear" w:color="auto" w:fill="D9D9D9" w:themeFill="background1" w:themeFillShade="D9"/>
          </w:tcPr>
          <w:p w14:paraId="45EC6BB7" w14:textId="4D109FC7" w:rsidR="00AC1EFA" w:rsidRPr="0042214E" w:rsidRDefault="004D7F8C" w:rsidP="006E1CF8">
            <w:pPr>
              <w:pStyle w:val="Tabletext"/>
              <w:cnfStyle w:val="000000000000" w:firstRow="0" w:lastRow="0" w:firstColumn="0" w:lastColumn="0" w:oddVBand="0" w:evenVBand="0" w:oddHBand="0" w:evenHBand="0" w:firstRowFirstColumn="0" w:firstRowLastColumn="0" w:lastRowFirstColumn="0" w:lastRowLastColumn="0"/>
            </w:pPr>
            <w:r w:rsidRPr="0042214E">
              <w:t>N/A</w:t>
            </w:r>
          </w:p>
        </w:tc>
        <w:tc>
          <w:tcPr>
            <w:tcW w:w="1531" w:type="dxa"/>
            <w:tcBorders>
              <w:top w:val="single" w:sz="6" w:space="0" w:color="A5A59D" w:themeColor="background2" w:themeShade="BF"/>
              <w:bottom w:val="single" w:sz="12" w:space="0" w:color="E35205" w:themeColor="accent1"/>
            </w:tcBorders>
            <w:shd w:val="clear" w:color="auto" w:fill="F49600" w:themeFill="accent3"/>
          </w:tcPr>
          <w:p w14:paraId="19ED185C" w14:textId="0BC17AFE"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pPr>
            <w:r w:rsidRPr="0042214E">
              <w:t>Developed</w:t>
            </w:r>
          </w:p>
        </w:tc>
        <w:tc>
          <w:tcPr>
            <w:tcW w:w="1531" w:type="dxa"/>
            <w:tcBorders>
              <w:top w:val="single" w:sz="6" w:space="0" w:color="A5A59D" w:themeColor="background2" w:themeShade="BF"/>
              <w:bottom w:val="single" w:sz="12" w:space="0" w:color="E35205" w:themeColor="accent1"/>
            </w:tcBorders>
            <w:shd w:val="clear" w:color="auto" w:fill="ABF152"/>
          </w:tcPr>
          <w:p w14:paraId="37CC42D6" w14:textId="79E3015B"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p>
        </w:tc>
        <w:tc>
          <w:tcPr>
            <w:tcW w:w="1531" w:type="dxa"/>
            <w:tcBorders>
              <w:top w:val="single" w:sz="6" w:space="0" w:color="A5A59D" w:themeColor="background2" w:themeShade="BF"/>
              <w:bottom w:val="single" w:sz="12" w:space="0" w:color="E35205" w:themeColor="accent1"/>
            </w:tcBorders>
            <w:shd w:val="clear" w:color="auto" w:fill="F49600" w:themeFill="accent3"/>
          </w:tcPr>
          <w:p w14:paraId="7CFAD31F" w14:textId="2835C343"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Developed</w:t>
            </w:r>
          </w:p>
        </w:tc>
      </w:tr>
      <w:tr w:rsidR="00AC1EFA" w:rsidRPr="0042214E" w14:paraId="7644F0D1" w14:textId="77777777" w:rsidTr="00FC26D2">
        <w:trPr>
          <w:trHeight w:val="454"/>
        </w:trPr>
        <w:tc>
          <w:tcPr>
            <w:cnfStyle w:val="001000000000" w:firstRow="0" w:lastRow="0" w:firstColumn="1" w:lastColumn="0" w:oddVBand="0" w:evenVBand="0" w:oddHBand="0" w:evenHBand="0" w:firstRowFirstColumn="0" w:firstRowLastColumn="0" w:lastRowFirstColumn="0" w:lastRowLastColumn="0"/>
            <w:tcW w:w="435" w:type="dxa"/>
            <w:vMerge w:val="restart"/>
            <w:tcBorders>
              <w:top w:val="single" w:sz="12" w:space="0" w:color="E35205" w:themeColor="accent1"/>
            </w:tcBorders>
            <w:textDirection w:val="btLr"/>
          </w:tcPr>
          <w:p w14:paraId="47F08341" w14:textId="6F86C8EF" w:rsidR="00AC1EFA" w:rsidRPr="0042214E" w:rsidRDefault="00AC1EFA" w:rsidP="006E1CF8">
            <w:pPr>
              <w:pStyle w:val="Tabletext"/>
              <w:spacing w:line="240" w:lineRule="auto"/>
              <w:jc w:val="center"/>
              <w:rPr>
                <w:b/>
              </w:rPr>
            </w:pPr>
            <w:r w:rsidRPr="0042214E">
              <w:rPr>
                <w:b/>
              </w:rPr>
              <w:t xml:space="preserve">Delivery </w:t>
            </w:r>
            <w:r w:rsidR="006E1CF8" w:rsidRPr="0042214E">
              <w:rPr>
                <w:b/>
              </w:rPr>
              <w:t>case</w:t>
            </w:r>
          </w:p>
        </w:tc>
        <w:tc>
          <w:tcPr>
            <w:tcW w:w="1890" w:type="dxa"/>
            <w:tcBorders>
              <w:top w:val="single" w:sz="12" w:space="0" w:color="E35205" w:themeColor="accent1"/>
            </w:tcBorders>
          </w:tcPr>
          <w:p w14:paraId="70E83245" w14:textId="6FDA20C7" w:rsidR="00AC1EFA" w:rsidRPr="0042214E" w:rsidRDefault="00AC1EFA" w:rsidP="006E1CF8">
            <w:pPr>
              <w:pStyle w:val="Tablenum1"/>
              <w:tabs>
                <w:tab w:val="clear" w:pos="360"/>
              </w:tabs>
              <w:ind w:left="317" w:hanging="317"/>
              <w:cnfStyle w:val="000000000000" w:firstRow="0" w:lastRow="0" w:firstColumn="0" w:lastColumn="0" w:oddVBand="0" w:evenVBand="0" w:oddHBand="0" w:evenHBand="0" w:firstRowFirstColumn="0" w:firstRowLastColumn="0" w:lastRowFirstColumn="0" w:lastRowLastColumn="0"/>
            </w:pPr>
            <w:r w:rsidRPr="0042214E">
              <w:t>Project solution</w:t>
            </w:r>
          </w:p>
        </w:tc>
        <w:tc>
          <w:tcPr>
            <w:tcW w:w="1531" w:type="dxa"/>
            <w:tcBorders>
              <w:top w:val="single" w:sz="12" w:space="0" w:color="E35205" w:themeColor="accent1"/>
            </w:tcBorders>
            <w:shd w:val="clear" w:color="auto" w:fill="D9D9D9" w:themeFill="background1" w:themeFillShade="D9"/>
          </w:tcPr>
          <w:p w14:paraId="16DD8338" w14:textId="4909AC03" w:rsidR="00AC1EFA" w:rsidRPr="0042214E" w:rsidRDefault="004D7F8C" w:rsidP="006E1CF8">
            <w:pPr>
              <w:pStyle w:val="Tabletext"/>
              <w:cnfStyle w:val="000000000000" w:firstRow="0" w:lastRow="0" w:firstColumn="0" w:lastColumn="0" w:oddVBand="0" w:evenVBand="0" w:oddHBand="0" w:evenHBand="0" w:firstRowFirstColumn="0" w:firstRowLastColumn="0" w:lastRowFirstColumn="0" w:lastRowLastColumn="0"/>
            </w:pPr>
            <w:r w:rsidRPr="0042214E">
              <w:t>N/A</w:t>
            </w:r>
          </w:p>
        </w:tc>
        <w:tc>
          <w:tcPr>
            <w:tcW w:w="1531" w:type="dxa"/>
            <w:tcBorders>
              <w:top w:val="single" w:sz="12" w:space="0" w:color="E35205" w:themeColor="accent1"/>
            </w:tcBorders>
            <w:shd w:val="clear" w:color="auto" w:fill="FDDA24"/>
          </w:tcPr>
          <w:p w14:paraId="4AFFC273" w14:textId="3871A1CF"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pPr>
            <w:r w:rsidRPr="0042214E">
              <w:t>Conceptual</w:t>
            </w:r>
          </w:p>
        </w:tc>
        <w:tc>
          <w:tcPr>
            <w:tcW w:w="1531" w:type="dxa"/>
            <w:tcBorders>
              <w:top w:val="single" w:sz="12" w:space="0" w:color="E35205" w:themeColor="accent1"/>
            </w:tcBorders>
            <w:shd w:val="clear" w:color="auto" w:fill="ABF152"/>
          </w:tcPr>
          <w:p w14:paraId="50D39E14" w14:textId="7BFEC56A"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p>
        </w:tc>
        <w:tc>
          <w:tcPr>
            <w:tcW w:w="1531" w:type="dxa"/>
            <w:tcBorders>
              <w:top w:val="single" w:sz="12" w:space="0" w:color="E35205" w:themeColor="accent1"/>
            </w:tcBorders>
            <w:shd w:val="clear" w:color="auto" w:fill="ABF152"/>
          </w:tcPr>
          <w:p w14:paraId="5CEFCAD3" w14:textId="780808EE"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r w:rsidRPr="0042214E" w:rsidDel="003A7C00">
              <w:rPr>
                <w:rFonts w:ascii="Segoe UI Symbol" w:hAnsi="Segoe UI Symbol" w:cs="Segoe UI Symbol"/>
              </w:rPr>
              <w:t xml:space="preserve"> </w:t>
            </w:r>
          </w:p>
        </w:tc>
      </w:tr>
      <w:tr w:rsidR="00AC1EFA" w:rsidRPr="0042214E" w14:paraId="7BA3FD6B" w14:textId="77777777" w:rsidTr="00FC26D2">
        <w:trPr>
          <w:trHeight w:val="20"/>
        </w:trPr>
        <w:tc>
          <w:tcPr>
            <w:cnfStyle w:val="001000000000" w:firstRow="0" w:lastRow="0" w:firstColumn="1" w:lastColumn="0" w:oddVBand="0" w:evenVBand="0" w:oddHBand="0" w:evenHBand="0" w:firstRowFirstColumn="0" w:firstRowLastColumn="0" w:lastRowFirstColumn="0" w:lastRowLastColumn="0"/>
            <w:tcW w:w="435" w:type="dxa"/>
            <w:vMerge/>
          </w:tcPr>
          <w:p w14:paraId="4DD77EE8" w14:textId="77777777" w:rsidR="00AC1EFA" w:rsidRPr="0042214E" w:rsidRDefault="00AC1EFA" w:rsidP="006E1CF8">
            <w:pPr>
              <w:pStyle w:val="Tabletext"/>
            </w:pPr>
          </w:p>
        </w:tc>
        <w:tc>
          <w:tcPr>
            <w:tcW w:w="1890" w:type="dxa"/>
          </w:tcPr>
          <w:p w14:paraId="5F2C6338" w14:textId="2FDCC872" w:rsidR="00AC1EFA" w:rsidRPr="0042214E" w:rsidRDefault="00AC1EFA" w:rsidP="006E1CF8">
            <w:pPr>
              <w:pStyle w:val="Tablenum1"/>
              <w:tabs>
                <w:tab w:val="clear" w:pos="360"/>
              </w:tabs>
              <w:ind w:left="317" w:hanging="317"/>
              <w:cnfStyle w:val="000000000000" w:firstRow="0" w:lastRow="0" w:firstColumn="0" w:lastColumn="0" w:oddVBand="0" w:evenVBand="0" w:oddHBand="0" w:evenHBand="0" w:firstRowFirstColumn="0" w:firstRowLastColumn="0" w:lastRowFirstColumn="0" w:lastRowLastColumn="0"/>
            </w:pPr>
            <w:r w:rsidRPr="0042214E">
              <w:t>Commercial and procurement</w:t>
            </w:r>
          </w:p>
        </w:tc>
        <w:tc>
          <w:tcPr>
            <w:tcW w:w="1531" w:type="dxa"/>
            <w:shd w:val="clear" w:color="auto" w:fill="D9D9D9" w:themeFill="background1" w:themeFillShade="D9"/>
          </w:tcPr>
          <w:p w14:paraId="44E74C7C" w14:textId="494AF1E4" w:rsidR="00AC1EFA" w:rsidRPr="0042214E" w:rsidRDefault="004D7F8C" w:rsidP="006E1CF8">
            <w:pPr>
              <w:pStyle w:val="Tabletext"/>
              <w:cnfStyle w:val="000000000000" w:firstRow="0" w:lastRow="0" w:firstColumn="0" w:lastColumn="0" w:oddVBand="0" w:evenVBand="0" w:oddHBand="0" w:evenHBand="0" w:firstRowFirstColumn="0" w:firstRowLastColumn="0" w:lastRowFirstColumn="0" w:lastRowLastColumn="0"/>
            </w:pPr>
            <w:r w:rsidRPr="0042214E">
              <w:t>N/A</w:t>
            </w:r>
          </w:p>
        </w:tc>
        <w:tc>
          <w:tcPr>
            <w:tcW w:w="1531" w:type="dxa"/>
            <w:shd w:val="clear" w:color="auto" w:fill="D9D9D9" w:themeFill="background1" w:themeFillShade="D9"/>
          </w:tcPr>
          <w:p w14:paraId="786E1586" w14:textId="191323B1" w:rsidR="00AC1EFA" w:rsidRPr="0042214E" w:rsidRDefault="004D7F8C" w:rsidP="006E1CF8">
            <w:pPr>
              <w:pStyle w:val="Tabletext"/>
              <w:cnfStyle w:val="000000000000" w:firstRow="0" w:lastRow="0" w:firstColumn="0" w:lastColumn="0" w:oddVBand="0" w:evenVBand="0" w:oddHBand="0" w:evenHBand="0" w:firstRowFirstColumn="0" w:firstRowLastColumn="0" w:lastRowFirstColumn="0" w:lastRowLastColumn="0"/>
            </w:pPr>
            <w:r w:rsidRPr="0042214E">
              <w:t>N/A</w:t>
            </w:r>
          </w:p>
        </w:tc>
        <w:tc>
          <w:tcPr>
            <w:tcW w:w="1531" w:type="dxa"/>
            <w:shd w:val="clear" w:color="auto" w:fill="ABF152"/>
          </w:tcPr>
          <w:p w14:paraId="323CA5C6" w14:textId="6284BBBF"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p>
        </w:tc>
        <w:tc>
          <w:tcPr>
            <w:tcW w:w="1531" w:type="dxa"/>
            <w:shd w:val="clear" w:color="auto" w:fill="ABF152"/>
          </w:tcPr>
          <w:p w14:paraId="1A4246D4" w14:textId="2A9C915D"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r w:rsidRPr="0042214E" w:rsidDel="003A7C00">
              <w:rPr>
                <w:rFonts w:ascii="Segoe UI Symbol" w:hAnsi="Segoe UI Symbol" w:cs="Segoe UI Symbol"/>
              </w:rPr>
              <w:t xml:space="preserve"> </w:t>
            </w:r>
          </w:p>
        </w:tc>
      </w:tr>
      <w:tr w:rsidR="00AC1EFA" w:rsidRPr="0042214E" w14:paraId="213CE30A" w14:textId="77777777" w:rsidTr="00FC26D2">
        <w:trPr>
          <w:trHeight w:val="20"/>
        </w:trPr>
        <w:tc>
          <w:tcPr>
            <w:cnfStyle w:val="001000000000" w:firstRow="0" w:lastRow="0" w:firstColumn="1" w:lastColumn="0" w:oddVBand="0" w:evenVBand="0" w:oddHBand="0" w:evenHBand="0" w:firstRowFirstColumn="0" w:firstRowLastColumn="0" w:lastRowFirstColumn="0" w:lastRowLastColumn="0"/>
            <w:tcW w:w="435" w:type="dxa"/>
            <w:vMerge/>
          </w:tcPr>
          <w:p w14:paraId="2871B4C0" w14:textId="77777777" w:rsidR="00AC1EFA" w:rsidRPr="0042214E" w:rsidRDefault="00AC1EFA" w:rsidP="006E1CF8">
            <w:pPr>
              <w:pStyle w:val="Tabletext"/>
            </w:pPr>
          </w:p>
        </w:tc>
        <w:tc>
          <w:tcPr>
            <w:tcW w:w="1890" w:type="dxa"/>
          </w:tcPr>
          <w:p w14:paraId="2D2FECD0" w14:textId="22FFED0D" w:rsidR="00AC1EFA" w:rsidRPr="0042214E" w:rsidRDefault="00F43325" w:rsidP="006E1CF8">
            <w:pPr>
              <w:pStyle w:val="Tablenum1"/>
              <w:tabs>
                <w:tab w:val="clear" w:pos="360"/>
              </w:tabs>
              <w:ind w:left="317" w:hanging="317"/>
              <w:cnfStyle w:val="000000000000" w:firstRow="0" w:lastRow="0" w:firstColumn="0" w:lastColumn="0" w:oddVBand="0" w:evenVBand="0" w:oddHBand="0" w:evenHBand="0" w:firstRowFirstColumn="0" w:firstRowLastColumn="0" w:lastRowFirstColumn="0" w:lastRowLastColumn="0"/>
            </w:pPr>
            <w:r w:rsidRPr="00667D0D">
              <w:t xml:space="preserve">Planning, environment, land, </w:t>
            </w:r>
            <w:proofErr w:type="gramStart"/>
            <w:r w:rsidRPr="00667D0D">
              <w:t>heritage</w:t>
            </w:r>
            <w:proofErr w:type="gramEnd"/>
            <w:r w:rsidRPr="00667D0D">
              <w:t xml:space="preserve"> and culture</w:t>
            </w:r>
            <w:r>
              <w:t xml:space="preserve"> </w:t>
            </w:r>
          </w:p>
        </w:tc>
        <w:tc>
          <w:tcPr>
            <w:tcW w:w="1531" w:type="dxa"/>
            <w:shd w:val="clear" w:color="auto" w:fill="D9D9D9" w:themeFill="background1" w:themeFillShade="D9"/>
          </w:tcPr>
          <w:p w14:paraId="229CB0D8" w14:textId="740DF8D1" w:rsidR="00AC1EFA" w:rsidRPr="0042214E" w:rsidRDefault="004D7F8C" w:rsidP="006E1CF8">
            <w:pPr>
              <w:pStyle w:val="Tabletext"/>
              <w:cnfStyle w:val="000000000000" w:firstRow="0" w:lastRow="0" w:firstColumn="0" w:lastColumn="0" w:oddVBand="0" w:evenVBand="0" w:oddHBand="0" w:evenHBand="0" w:firstRowFirstColumn="0" w:firstRowLastColumn="0" w:lastRowFirstColumn="0" w:lastRowLastColumn="0"/>
            </w:pPr>
            <w:r w:rsidRPr="0042214E">
              <w:t>N/A</w:t>
            </w:r>
          </w:p>
        </w:tc>
        <w:tc>
          <w:tcPr>
            <w:tcW w:w="1531" w:type="dxa"/>
            <w:shd w:val="clear" w:color="auto" w:fill="FDDA24"/>
          </w:tcPr>
          <w:p w14:paraId="70391AAB" w14:textId="0C9B5B5D"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Conceptual</w:t>
            </w:r>
          </w:p>
        </w:tc>
        <w:tc>
          <w:tcPr>
            <w:tcW w:w="1531" w:type="dxa"/>
            <w:shd w:val="clear" w:color="auto" w:fill="ABF152"/>
          </w:tcPr>
          <w:p w14:paraId="59C107E8" w14:textId="25118A93"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p>
        </w:tc>
        <w:tc>
          <w:tcPr>
            <w:tcW w:w="1531" w:type="dxa"/>
            <w:shd w:val="clear" w:color="auto" w:fill="ABF152"/>
          </w:tcPr>
          <w:p w14:paraId="43A4B83D" w14:textId="76B415C5"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r w:rsidRPr="0042214E" w:rsidDel="003A7C00">
              <w:rPr>
                <w:rFonts w:ascii="Segoe UI Symbol" w:hAnsi="Segoe UI Symbol" w:cs="Segoe UI Symbol"/>
              </w:rPr>
              <w:t xml:space="preserve"> </w:t>
            </w:r>
          </w:p>
        </w:tc>
      </w:tr>
      <w:tr w:rsidR="00AC1EFA" w:rsidRPr="0042214E" w14:paraId="40427EB6" w14:textId="77777777" w:rsidTr="00FC26D2">
        <w:trPr>
          <w:trHeight w:val="454"/>
        </w:trPr>
        <w:tc>
          <w:tcPr>
            <w:cnfStyle w:val="001000000000" w:firstRow="0" w:lastRow="0" w:firstColumn="1" w:lastColumn="0" w:oddVBand="0" w:evenVBand="0" w:oddHBand="0" w:evenHBand="0" w:firstRowFirstColumn="0" w:firstRowLastColumn="0" w:lastRowFirstColumn="0" w:lastRowLastColumn="0"/>
            <w:tcW w:w="435" w:type="dxa"/>
            <w:vMerge/>
          </w:tcPr>
          <w:p w14:paraId="54E0D02F" w14:textId="77777777" w:rsidR="00AC1EFA" w:rsidRPr="0042214E" w:rsidRDefault="00AC1EFA" w:rsidP="006E1CF8">
            <w:pPr>
              <w:pStyle w:val="Tabletext"/>
            </w:pPr>
          </w:p>
        </w:tc>
        <w:tc>
          <w:tcPr>
            <w:tcW w:w="1890" w:type="dxa"/>
          </w:tcPr>
          <w:p w14:paraId="4F9F6B06" w14:textId="03118D14" w:rsidR="00AC1EFA" w:rsidRPr="0042214E" w:rsidRDefault="00AC1EFA" w:rsidP="006E1CF8">
            <w:pPr>
              <w:pStyle w:val="Tablenum1"/>
              <w:tabs>
                <w:tab w:val="clear" w:pos="360"/>
              </w:tabs>
              <w:ind w:left="317" w:hanging="317"/>
              <w:cnfStyle w:val="000000000000" w:firstRow="0" w:lastRow="0" w:firstColumn="0" w:lastColumn="0" w:oddVBand="0" w:evenVBand="0" w:oddHBand="0" w:evenHBand="0" w:firstRowFirstColumn="0" w:firstRowLastColumn="0" w:lastRowFirstColumn="0" w:lastRowLastColumn="0"/>
            </w:pPr>
            <w:r w:rsidRPr="0042214E">
              <w:t>Project schedule</w:t>
            </w:r>
          </w:p>
        </w:tc>
        <w:tc>
          <w:tcPr>
            <w:tcW w:w="1531" w:type="dxa"/>
            <w:shd w:val="clear" w:color="auto" w:fill="D9D9D9" w:themeFill="background1" w:themeFillShade="D9"/>
          </w:tcPr>
          <w:p w14:paraId="31D997C0" w14:textId="6A135D3B" w:rsidR="00AC1EFA" w:rsidRPr="0042214E" w:rsidRDefault="004D7F8C" w:rsidP="006E1CF8">
            <w:pPr>
              <w:pStyle w:val="Tabletext"/>
              <w:cnfStyle w:val="000000000000" w:firstRow="0" w:lastRow="0" w:firstColumn="0" w:lastColumn="0" w:oddVBand="0" w:evenVBand="0" w:oddHBand="0" w:evenHBand="0" w:firstRowFirstColumn="0" w:firstRowLastColumn="0" w:lastRowFirstColumn="0" w:lastRowLastColumn="0"/>
            </w:pPr>
            <w:r w:rsidRPr="0042214E">
              <w:t>N/A</w:t>
            </w:r>
          </w:p>
        </w:tc>
        <w:tc>
          <w:tcPr>
            <w:tcW w:w="1531" w:type="dxa"/>
            <w:shd w:val="clear" w:color="auto" w:fill="FDDA24"/>
          </w:tcPr>
          <w:p w14:paraId="039F8109" w14:textId="1C51875A"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Conceptual</w:t>
            </w:r>
          </w:p>
        </w:tc>
        <w:tc>
          <w:tcPr>
            <w:tcW w:w="1531" w:type="dxa"/>
            <w:shd w:val="clear" w:color="auto" w:fill="ABF152"/>
          </w:tcPr>
          <w:p w14:paraId="1925F968" w14:textId="6F21F005"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p>
        </w:tc>
        <w:tc>
          <w:tcPr>
            <w:tcW w:w="1531" w:type="dxa"/>
            <w:shd w:val="clear" w:color="auto" w:fill="ABF152"/>
          </w:tcPr>
          <w:p w14:paraId="3A2889FD" w14:textId="22D45D76"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r w:rsidRPr="0042214E" w:rsidDel="003A7C00">
              <w:rPr>
                <w:rFonts w:ascii="Segoe UI Symbol" w:hAnsi="Segoe UI Symbol" w:cs="Segoe UI Symbol"/>
              </w:rPr>
              <w:t xml:space="preserve"> </w:t>
            </w:r>
          </w:p>
        </w:tc>
      </w:tr>
      <w:tr w:rsidR="00AC1EFA" w:rsidRPr="0042214E" w14:paraId="7D71B7CC" w14:textId="77777777" w:rsidTr="00FC26D2">
        <w:trPr>
          <w:trHeight w:val="454"/>
        </w:trPr>
        <w:tc>
          <w:tcPr>
            <w:cnfStyle w:val="001000000000" w:firstRow="0" w:lastRow="0" w:firstColumn="1" w:lastColumn="0" w:oddVBand="0" w:evenVBand="0" w:oddHBand="0" w:evenHBand="0" w:firstRowFirstColumn="0" w:firstRowLastColumn="0" w:lastRowFirstColumn="0" w:lastRowLastColumn="0"/>
            <w:tcW w:w="435" w:type="dxa"/>
            <w:vMerge/>
          </w:tcPr>
          <w:p w14:paraId="5D3DD9DF" w14:textId="77777777" w:rsidR="00AC1EFA" w:rsidRPr="0042214E" w:rsidRDefault="00AC1EFA" w:rsidP="006E1CF8">
            <w:pPr>
              <w:pStyle w:val="Tabletext"/>
            </w:pPr>
          </w:p>
        </w:tc>
        <w:tc>
          <w:tcPr>
            <w:tcW w:w="1890" w:type="dxa"/>
          </w:tcPr>
          <w:p w14:paraId="28DC1E59" w14:textId="255E016D" w:rsidR="00AC1EFA" w:rsidRPr="0042214E" w:rsidRDefault="00AC1EFA" w:rsidP="006E1CF8">
            <w:pPr>
              <w:pStyle w:val="Tablenum1"/>
              <w:tabs>
                <w:tab w:val="clear" w:pos="360"/>
              </w:tabs>
              <w:ind w:left="317" w:hanging="317"/>
              <w:cnfStyle w:val="000000000000" w:firstRow="0" w:lastRow="0" w:firstColumn="0" w:lastColumn="0" w:oddVBand="0" w:evenVBand="0" w:oddHBand="0" w:evenHBand="0" w:firstRowFirstColumn="0" w:firstRowLastColumn="0" w:lastRowFirstColumn="0" w:lastRowLastColumn="0"/>
            </w:pPr>
            <w:r w:rsidRPr="0042214E">
              <w:t>Project budget</w:t>
            </w:r>
          </w:p>
        </w:tc>
        <w:tc>
          <w:tcPr>
            <w:tcW w:w="1531" w:type="dxa"/>
            <w:shd w:val="clear" w:color="auto" w:fill="D9D9D9" w:themeFill="background1" w:themeFillShade="D9"/>
          </w:tcPr>
          <w:p w14:paraId="1F850A1C" w14:textId="02DD4C11" w:rsidR="00AC1EFA" w:rsidRPr="0042214E" w:rsidRDefault="004D7F8C" w:rsidP="006E1CF8">
            <w:pPr>
              <w:pStyle w:val="Tabletext"/>
              <w:cnfStyle w:val="000000000000" w:firstRow="0" w:lastRow="0" w:firstColumn="0" w:lastColumn="0" w:oddVBand="0" w:evenVBand="0" w:oddHBand="0" w:evenHBand="0" w:firstRowFirstColumn="0" w:firstRowLastColumn="0" w:lastRowFirstColumn="0" w:lastRowLastColumn="0"/>
            </w:pPr>
            <w:r w:rsidRPr="0042214E">
              <w:t>N/A</w:t>
            </w:r>
          </w:p>
        </w:tc>
        <w:tc>
          <w:tcPr>
            <w:tcW w:w="1531" w:type="dxa"/>
            <w:shd w:val="clear" w:color="auto" w:fill="FDDA24"/>
          </w:tcPr>
          <w:p w14:paraId="4DE19C7A" w14:textId="25FAE15D"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Conceptual</w:t>
            </w:r>
          </w:p>
        </w:tc>
        <w:tc>
          <w:tcPr>
            <w:tcW w:w="1531" w:type="dxa"/>
            <w:shd w:val="clear" w:color="auto" w:fill="ABF152"/>
          </w:tcPr>
          <w:p w14:paraId="633CD906" w14:textId="759FCD1A"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p>
        </w:tc>
        <w:tc>
          <w:tcPr>
            <w:tcW w:w="1531" w:type="dxa"/>
            <w:shd w:val="clear" w:color="auto" w:fill="ABF152"/>
          </w:tcPr>
          <w:p w14:paraId="383FAA36" w14:textId="17A15AC2"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r w:rsidRPr="0042214E" w:rsidDel="003A7C00">
              <w:rPr>
                <w:rFonts w:ascii="Segoe UI Symbol" w:hAnsi="Segoe UI Symbol" w:cs="Segoe UI Symbol"/>
              </w:rPr>
              <w:t xml:space="preserve"> </w:t>
            </w:r>
          </w:p>
        </w:tc>
      </w:tr>
      <w:tr w:rsidR="00AC1EFA" w:rsidRPr="0042214E" w14:paraId="5DA71309" w14:textId="77777777" w:rsidTr="00FC26D2">
        <w:trPr>
          <w:trHeight w:val="454"/>
        </w:trPr>
        <w:tc>
          <w:tcPr>
            <w:cnfStyle w:val="001000000000" w:firstRow="0" w:lastRow="0" w:firstColumn="1" w:lastColumn="0" w:oddVBand="0" w:evenVBand="0" w:oddHBand="0" w:evenHBand="0" w:firstRowFirstColumn="0" w:firstRowLastColumn="0" w:lastRowFirstColumn="0" w:lastRowLastColumn="0"/>
            <w:tcW w:w="435" w:type="dxa"/>
            <w:vMerge/>
          </w:tcPr>
          <w:p w14:paraId="471183E0" w14:textId="77777777" w:rsidR="00AC1EFA" w:rsidRPr="0042214E" w:rsidRDefault="00AC1EFA" w:rsidP="006E1CF8">
            <w:pPr>
              <w:pStyle w:val="Tabletext"/>
            </w:pPr>
          </w:p>
        </w:tc>
        <w:tc>
          <w:tcPr>
            <w:tcW w:w="1890" w:type="dxa"/>
          </w:tcPr>
          <w:p w14:paraId="05FD1387" w14:textId="3405651C" w:rsidR="00AC1EFA" w:rsidRPr="0042214E" w:rsidRDefault="00AC1EFA" w:rsidP="006E1CF8">
            <w:pPr>
              <w:pStyle w:val="Tablenum1"/>
              <w:tabs>
                <w:tab w:val="clear" w:pos="360"/>
              </w:tabs>
              <w:ind w:left="317" w:hanging="317"/>
              <w:cnfStyle w:val="000000000000" w:firstRow="0" w:lastRow="0" w:firstColumn="0" w:lastColumn="0" w:oddVBand="0" w:evenVBand="0" w:oddHBand="0" w:evenHBand="0" w:firstRowFirstColumn="0" w:firstRowLastColumn="0" w:lastRowFirstColumn="0" w:lastRowLastColumn="0"/>
            </w:pPr>
            <w:r w:rsidRPr="0042214E">
              <w:t>Management</w:t>
            </w:r>
          </w:p>
        </w:tc>
        <w:tc>
          <w:tcPr>
            <w:tcW w:w="1531" w:type="dxa"/>
            <w:shd w:val="clear" w:color="auto" w:fill="D9D9D9" w:themeFill="background1" w:themeFillShade="D9"/>
          </w:tcPr>
          <w:p w14:paraId="58E2CBC7" w14:textId="37105E0D" w:rsidR="00AC1EFA" w:rsidRPr="0042214E" w:rsidRDefault="004D7F8C" w:rsidP="006E1CF8">
            <w:pPr>
              <w:pStyle w:val="Tabletext"/>
              <w:cnfStyle w:val="000000000000" w:firstRow="0" w:lastRow="0" w:firstColumn="0" w:lastColumn="0" w:oddVBand="0" w:evenVBand="0" w:oddHBand="0" w:evenHBand="0" w:firstRowFirstColumn="0" w:firstRowLastColumn="0" w:lastRowFirstColumn="0" w:lastRowLastColumn="0"/>
            </w:pPr>
            <w:r w:rsidRPr="0042214E">
              <w:t>N/A</w:t>
            </w:r>
          </w:p>
        </w:tc>
        <w:tc>
          <w:tcPr>
            <w:tcW w:w="1531" w:type="dxa"/>
            <w:shd w:val="clear" w:color="auto" w:fill="D9D9D9" w:themeFill="background1" w:themeFillShade="D9"/>
          </w:tcPr>
          <w:p w14:paraId="0FB071CE" w14:textId="2E038376" w:rsidR="00AC1EFA" w:rsidRPr="0042214E" w:rsidRDefault="004D7F8C" w:rsidP="006E1CF8">
            <w:pPr>
              <w:pStyle w:val="Tabletext"/>
              <w:cnfStyle w:val="000000000000" w:firstRow="0" w:lastRow="0" w:firstColumn="0" w:lastColumn="0" w:oddVBand="0" w:evenVBand="0" w:oddHBand="0" w:evenHBand="0" w:firstRowFirstColumn="0" w:firstRowLastColumn="0" w:lastRowFirstColumn="0" w:lastRowLastColumn="0"/>
            </w:pPr>
            <w:r w:rsidRPr="0042214E">
              <w:t>N/A</w:t>
            </w:r>
          </w:p>
        </w:tc>
        <w:tc>
          <w:tcPr>
            <w:tcW w:w="1531" w:type="dxa"/>
            <w:shd w:val="clear" w:color="auto" w:fill="ABF152"/>
          </w:tcPr>
          <w:p w14:paraId="7F0A9D83" w14:textId="17647C7D"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p>
        </w:tc>
        <w:tc>
          <w:tcPr>
            <w:tcW w:w="1531" w:type="dxa"/>
            <w:shd w:val="clear" w:color="auto" w:fill="ABF152"/>
          </w:tcPr>
          <w:p w14:paraId="02DFC577" w14:textId="09CF6FDB" w:rsidR="00AC1EFA" w:rsidRPr="0042214E" w:rsidRDefault="003A7C00" w:rsidP="006E1CF8">
            <w:pPr>
              <w:pStyle w:val="Tabletex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42214E">
              <w:t>Comprehensive</w:t>
            </w:r>
            <w:r w:rsidRPr="0042214E" w:rsidDel="003A7C00">
              <w:rPr>
                <w:rFonts w:ascii="Segoe UI Symbol" w:hAnsi="Segoe UI Symbol" w:cs="Segoe UI Symbol"/>
              </w:rPr>
              <w:t xml:space="preserve"> </w:t>
            </w:r>
          </w:p>
        </w:tc>
      </w:tr>
    </w:tbl>
    <w:p w14:paraId="697101B7" w14:textId="30249653" w:rsidR="006E1CF8" w:rsidRPr="0042214E" w:rsidRDefault="006E1CF8" w:rsidP="00FC26D2">
      <w:pPr>
        <w:pStyle w:val="Spacer"/>
      </w:pPr>
      <w:bookmarkStart w:id="26" w:name="_Toc499215084"/>
    </w:p>
    <w:p w14:paraId="06A7A8AD" w14:textId="77777777" w:rsidR="00FC26D2" w:rsidRPr="0042214E" w:rsidRDefault="00FC26D2" w:rsidP="00FC26D2">
      <w:pPr>
        <w:pStyle w:val="Spacer"/>
      </w:pPr>
    </w:p>
    <w:tbl>
      <w:tblPr>
        <w:tblStyle w:val="TableGrid"/>
        <w:tblW w:w="0" w:type="auto"/>
        <w:tblInd w:w="792" w:type="dxa"/>
        <w:tblLook w:val="04A0" w:firstRow="1" w:lastRow="0" w:firstColumn="1" w:lastColumn="0" w:noHBand="0" w:noVBand="1"/>
      </w:tblPr>
      <w:tblGrid>
        <w:gridCol w:w="2819"/>
        <w:gridCol w:w="2791"/>
        <w:gridCol w:w="2796"/>
      </w:tblGrid>
      <w:tr w:rsidR="00FC26D2" w:rsidRPr="0042214E" w14:paraId="7519B4A6" w14:textId="77777777" w:rsidTr="00FC26D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06" w:type="dxa"/>
            <w:shd w:val="clear" w:color="auto" w:fill="ABF152"/>
            <w:vAlign w:val="center"/>
          </w:tcPr>
          <w:p w14:paraId="0868CE96" w14:textId="77777777" w:rsidR="006E1CF8" w:rsidRPr="0042214E" w:rsidRDefault="006E1CF8" w:rsidP="000008A1">
            <w:pPr>
              <w:spacing w:before="0" w:after="0"/>
              <w:jc w:val="center"/>
              <w:rPr>
                <w:color w:val="auto"/>
                <w:sz w:val="18"/>
                <w:szCs w:val="18"/>
              </w:rPr>
            </w:pPr>
            <w:r w:rsidRPr="0042214E">
              <w:rPr>
                <w:b/>
                <w:color w:val="auto"/>
                <w:sz w:val="18"/>
                <w:szCs w:val="18"/>
              </w:rPr>
              <w:t>Comprehensive</w:t>
            </w:r>
          </w:p>
        </w:tc>
        <w:tc>
          <w:tcPr>
            <w:tcW w:w="2906" w:type="dxa"/>
            <w:shd w:val="clear" w:color="auto" w:fill="F49600" w:themeFill="accent3"/>
            <w:vAlign w:val="center"/>
          </w:tcPr>
          <w:p w14:paraId="37C9FD13" w14:textId="77777777" w:rsidR="006E1CF8" w:rsidRPr="0042214E" w:rsidRDefault="006E1CF8" w:rsidP="000008A1">
            <w:pPr>
              <w:spacing w:before="0" w:after="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42214E">
              <w:rPr>
                <w:b/>
                <w:color w:val="auto"/>
                <w:sz w:val="18"/>
                <w:szCs w:val="18"/>
              </w:rPr>
              <w:t>Developed</w:t>
            </w:r>
          </w:p>
        </w:tc>
        <w:tc>
          <w:tcPr>
            <w:tcW w:w="2907" w:type="dxa"/>
            <w:shd w:val="clear" w:color="auto" w:fill="FDDA24"/>
            <w:vAlign w:val="center"/>
          </w:tcPr>
          <w:p w14:paraId="5AFE9EAA" w14:textId="77777777" w:rsidR="006E1CF8" w:rsidRPr="0042214E" w:rsidRDefault="006E1CF8" w:rsidP="000008A1">
            <w:pPr>
              <w:spacing w:before="0" w:after="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42214E">
              <w:rPr>
                <w:b/>
                <w:color w:val="auto"/>
                <w:sz w:val="18"/>
                <w:szCs w:val="18"/>
              </w:rPr>
              <w:t>Conceptual</w:t>
            </w:r>
          </w:p>
        </w:tc>
      </w:tr>
    </w:tbl>
    <w:p w14:paraId="168E3936" w14:textId="7ADFDE25" w:rsidR="006E1CF8" w:rsidRPr="0042214E" w:rsidRDefault="006E1CF8" w:rsidP="00A111F3"/>
    <w:p w14:paraId="3A0DAB6D" w14:textId="77777777" w:rsidR="00A111F3" w:rsidRPr="0042214E" w:rsidRDefault="00A111F3" w:rsidP="005E1934">
      <w:pPr>
        <w:pStyle w:val="Heading2numbered"/>
      </w:pPr>
      <w:bookmarkStart w:id="27" w:name="_Toc121415289"/>
      <w:r w:rsidRPr="0042214E">
        <w:t>Whether to prepare a submission for a program or an individual investment?</w:t>
      </w:r>
      <w:bookmarkEnd w:id="26"/>
      <w:bookmarkEnd w:id="27"/>
      <w:r w:rsidRPr="0042214E">
        <w:t xml:space="preserve"> </w:t>
      </w:r>
    </w:p>
    <w:p w14:paraId="39764AD7" w14:textId="00B31416" w:rsidR="00A111F3" w:rsidRPr="0042214E" w:rsidRDefault="00A111F3" w:rsidP="005E1934">
      <w:pPr>
        <w:pStyle w:val="NormalIndent"/>
      </w:pPr>
      <w:r w:rsidRPr="0042214E">
        <w:t>Programs bring together multiple projects under a single coordinating structure, where each project contributes to the program outcomes. Programs can include pieces of work that are not projects (</w:t>
      </w:r>
      <w:r w:rsidR="00825CA5" w:rsidRPr="0042214E">
        <w:t>e.g.,</w:t>
      </w:r>
      <w:r w:rsidRPr="0042214E">
        <w:t xml:space="preserve"> ongoing business as usual work) and can have a variety of structures. While investing in programs can improve network planning, efficiencies in procurement and reporting and provide a flexible approach to managing cost pressures across projects, it is important to maintain an appropriate level of scrutiny and accountability at the project level. </w:t>
      </w:r>
    </w:p>
    <w:p w14:paraId="0A21F692" w14:textId="77777777" w:rsidR="00A111F3" w:rsidRPr="0042214E" w:rsidRDefault="00A111F3" w:rsidP="005E1934">
      <w:pPr>
        <w:pStyle w:val="NormalIndent"/>
      </w:pPr>
      <w:r w:rsidRPr="0042214E">
        <w:t xml:space="preserve">Program thinking is useful to: </w:t>
      </w:r>
    </w:p>
    <w:p w14:paraId="53FCF80F" w14:textId="242719CE" w:rsidR="00A111F3" w:rsidRPr="0042214E" w:rsidRDefault="00A111F3" w:rsidP="00FC26D2">
      <w:pPr>
        <w:pStyle w:val="Bulletindent"/>
      </w:pPr>
      <w:r w:rsidRPr="0042214E">
        <w:t>identify and respond to unmet priorities of an organisation (</w:t>
      </w:r>
      <w:r w:rsidR="00126E61" w:rsidRPr="0042214E">
        <w:t>e.g.,</w:t>
      </w:r>
      <w:r w:rsidR="00805F22" w:rsidRPr="0042214E">
        <w:t xml:space="preserve"> </w:t>
      </w:r>
      <w:r w:rsidRPr="0042214E">
        <w:t>what are our investment priorities over the next 10 years?</w:t>
      </w:r>
      <w:proofErr w:type="gramStart"/>
      <w:r w:rsidRPr="0042214E">
        <w:t>);</w:t>
      </w:r>
      <w:proofErr w:type="gramEnd"/>
    </w:p>
    <w:p w14:paraId="2AC53A0E" w14:textId="77777777" w:rsidR="00A111F3" w:rsidRPr="0042214E" w:rsidRDefault="00A111F3" w:rsidP="00FC26D2">
      <w:pPr>
        <w:pStyle w:val="Bulletindent"/>
      </w:pPr>
      <w:r w:rsidRPr="0042214E">
        <w:t xml:space="preserve">help shape, </w:t>
      </w:r>
      <w:proofErr w:type="gramStart"/>
      <w:r w:rsidRPr="0042214E">
        <w:t>manage</w:t>
      </w:r>
      <w:proofErr w:type="gramEnd"/>
      <w:r w:rsidRPr="0042214E">
        <w:t xml:space="preserve"> and evaluate an interconnected collection of activities that contribute to a common outcome (such as an innovation strategy for the state); and</w:t>
      </w:r>
    </w:p>
    <w:p w14:paraId="6B51066C" w14:textId="77777777" w:rsidR="00A111F3" w:rsidRPr="0042214E" w:rsidRDefault="00A111F3" w:rsidP="00FC26D2">
      <w:pPr>
        <w:pStyle w:val="Bulletindent"/>
      </w:pPr>
      <w:r w:rsidRPr="0042214E">
        <w:t>prioritise and manage a program of works (such as a series of rail/road separations).</w:t>
      </w:r>
    </w:p>
    <w:p w14:paraId="1E70472F" w14:textId="7194E5E4" w:rsidR="00A111F3" w:rsidRPr="0042214E" w:rsidRDefault="00A111F3" w:rsidP="005E1934">
      <w:pPr>
        <w:pStyle w:val="NormalIndent"/>
      </w:pPr>
      <w:r w:rsidRPr="0042214E">
        <w:lastRenderedPageBreak/>
        <w:t xml:space="preserve">When deciding whether to prepare a </w:t>
      </w:r>
      <w:proofErr w:type="gramStart"/>
      <w:r w:rsidR="0058392E">
        <w:t>G</w:t>
      </w:r>
      <w:r w:rsidR="0058392E" w:rsidRPr="0042214E">
        <w:t>overnment</w:t>
      </w:r>
      <w:proofErr w:type="gramEnd"/>
      <w:r w:rsidR="0058392E" w:rsidRPr="0042214E">
        <w:t xml:space="preserve"> </w:t>
      </w:r>
      <w:r w:rsidRPr="0042214E">
        <w:t xml:space="preserve">submission presenting the case for a program, or an individual initiative that is part of a program, </w:t>
      </w:r>
      <w:r w:rsidR="00380B35" w:rsidRPr="0042214E">
        <w:t>agencies</w:t>
      </w:r>
      <w:r w:rsidRPr="0042214E">
        <w:t xml:space="preserve"> should consider whether the core logic that is established in initiating an investment can be used for any of the following purposes:</w:t>
      </w:r>
    </w:p>
    <w:p w14:paraId="5467A9EB" w14:textId="26936CA5" w:rsidR="00A111F3" w:rsidRPr="0042214E" w:rsidRDefault="00A111F3" w:rsidP="00FC26D2">
      <w:pPr>
        <w:pStyle w:val="Bulletindent"/>
      </w:pPr>
      <w:r w:rsidRPr="0042214E">
        <w:t xml:space="preserve">to obtain </w:t>
      </w:r>
      <w:r w:rsidR="0058392E">
        <w:t>G</w:t>
      </w:r>
      <w:r w:rsidR="0058392E" w:rsidRPr="0042214E">
        <w:t xml:space="preserve">overnment </w:t>
      </w:r>
      <w:r w:rsidRPr="0042214E">
        <w:t xml:space="preserve">approval for the development of a proposed program of </w:t>
      </w:r>
      <w:proofErr w:type="gramStart"/>
      <w:r w:rsidRPr="0042214E">
        <w:t>activities;</w:t>
      </w:r>
      <w:proofErr w:type="gramEnd"/>
    </w:p>
    <w:p w14:paraId="27EE8007" w14:textId="73ADEDDE" w:rsidR="00A111F3" w:rsidRPr="0042214E" w:rsidRDefault="00A111F3" w:rsidP="00FC26D2">
      <w:pPr>
        <w:pStyle w:val="Bulletindent"/>
      </w:pPr>
      <w:r w:rsidRPr="0042214E">
        <w:t xml:space="preserve">to obtain </w:t>
      </w:r>
      <w:r w:rsidR="0058392E">
        <w:t>G</w:t>
      </w:r>
      <w:r w:rsidR="0058392E" w:rsidRPr="0042214E">
        <w:t xml:space="preserve">overnment </w:t>
      </w:r>
      <w:r w:rsidRPr="0042214E">
        <w:t xml:space="preserve">approval for the prioritisation of similarly intended investment proposals; or </w:t>
      </w:r>
    </w:p>
    <w:p w14:paraId="03B2565A" w14:textId="1348E218" w:rsidR="00A111F3" w:rsidRPr="0042214E" w:rsidRDefault="00A111F3" w:rsidP="00FC26D2">
      <w:pPr>
        <w:pStyle w:val="Bulletindent"/>
      </w:pPr>
      <w:r w:rsidRPr="0042214E">
        <w:t xml:space="preserve">to strengthen the case for </w:t>
      </w:r>
      <w:r w:rsidR="00380B35" w:rsidRPr="0042214E">
        <w:t>the</w:t>
      </w:r>
      <w:r w:rsidRPr="0042214E">
        <w:t xml:space="preserve"> individual initiative if it is part of a program.</w:t>
      </w:r>
    </w:p>
    <w:p w14:paraId="6BA76AF2" w14:textId="77777777" w:rsidR="00A111F3" w:rsidRPr="0042214E" w:rsidRDefault="00A111F3" w:rsidP="005E1934">
      <w:pPr>
        <w:pStyle w:val="NormalIndent"/>
      </w:pPr>
      <w:r w:rsidRPr="0042214E">
        <w:t xml:space="preserve">If it is appropriate to present a program submission, the submission could be presented in one of two formats: </w:t>
      </w:r>
    </w:p>
    <w:p w14:paraId="01A0C034" w14:textId="5DE56B65" w:rsidR="00A111F3" w:rsidRPr="0042214E" w:rsidRDefault="00164680" w:rsidP="00FC26D2">
      <w:pPr>
        <w:pStyle w:val="Bulletindent"/>
      </w:pPr>
      <w:r w:rsidRPr="0042214E">
        <w:t xml:space="preserve">for </w:t>
      </w:r>
      <w:r w:rsidR="00A111F3" w:rsidRPr="0042214E">
        <w:t>programs consisting of several major, complex projects (for example, multiple HVHR projects), it may be appropriate to present a preliminary business case outlining the program ‘master plan’ and justifying the program logic. If supported, a full business case for the program can then be developed as an underlying support for the component projects</w:t>
      </w:r>
      <w:r w:rsidR="00E617C6" w:rsidRPr="0042214E">
        <w:t xml:space="preserve">. </w:t>
      </w:r>
      <w:r w:rsidR="00A111F3" w:rsidRPr="0042214E">
        <w:t>Agencies should then prepare separate business cases for major projects that are part of that master plan. It is important that transparency and responsibility for project outcomes are maintained and therefore the information supporting each project within a program should be as detailed as one developed for a stand</w:t>
      </w:r>
      <w:r w:rsidR="00034452" w:rsidRPr="0042214E">
        <w:noBreakHyphen/>
      </w:r>
      <w:r w:rsidR="00A111F3" w:rsidRPr="0042214E">
        <w:t>alone project</w:t>
      </w:r>
      <w:r w:rsidR="00920F02" w:rsidRPr="0042214E">
        <w:t>; or</w:t>
      </w:r>
    </w:p>
    <w:p w14:paraId="0EFA299D" w14:textId="0EAFD811" w:rsidR="00A111F3" w:rsidRPr="0042214E" w:rsidRDefault="00164680" w:rsidP="00FC26D2">
      <w:pPr>
        <w:pStyle w:val="Bulletindent"/>
      </w:pPr>
      <w:r w:rsidRPr="0042214E">
        <w:t xml:space="preserve">for </w:t>
      </w:r>
      <w:r w:rsidR="00A111F3" w:rsidRPr="0042214E">
        <w:t xml:space="preserve">programs consisting of smaller, less complex projects, it may be appropriate to present a preliminary business case outlining the program logic, and then setting out the governance framework and criteria used to select projects within the program. </w:t>
      </w:r>
    </w:p>
    <w:p w14:paraId="2E1B31A5" w14:textId="729CFAD4" w:rsidR="00A111F3" w:rsidRPr="0042214E" w:rsidRDefault="00D867F7" w:rsidP="005E1934">
      <w:pPr>
        <w:pStyle w:val="NormalIndent"/>
      </w:pPr>
      <w:r w:rsidRPr="0042214E">
        <w:t xml:space="preserve">For further guidance on </w:t>
      </w:r>
      <w:r w:rsidR="00A111F3" w:rsidRPr="0042214E">
        <w:t>how to present proposal</w:t>
      </w:r>
      <w:r w:rsidRPr="0042214E">
        <w:t>s</w:t>
      </w:r>
      <w:r w:rsidR="00A111F3" w:rsidRPr="0042214E">
        <w:t xml:space="preserve"> in a </w:t>
      </w:r>
      <w:r w:rsidR="004E47CB" w:rsidRPr="0042214E">
        <w:t xml:space="preserve">program </w:t>
      </w:r>
      <w:r w:rsidR="00A111F3" w:rsidRPr="0042214E">
        <w:t>submission contact DTF</w:t>
      </w:r>
      <w:r w:rsidR="00BD6A4E" w:rsidRPr="0042214E">
        <w:t xml:space="preserve">. </w:t>
      </w:r>
    </w:p>
    <w:p w14:paraId="644C6277" w14:textId="68713573" w:rsidR="00A111F3" w:rsidRPr="0042214E" w:rsidRDefault="00A111F3" w:rsidP="005E1934">
      <w:pPr>
        <w:pStyle w:val="NormalIndent"/>
      </w:pPr>
      <w:r w:rsidRPr="0042214E">
        <w:t>The governance of a program can consider individual projects at the same time</w:t>
      </w:r>
      <w:r w:rsidR="00164680" w:rsidRPr="0042214E">
        <w:t>;</w:t>
      </w:r>
      <w:r w:rsidRPr="0042214E">
        <w:t xml:space="preserve"> however</w:t>
      </w:r>
      <w:r w:rsidR="00164680" w:rsidRPr="0042214E">
        <w:t>,</w:t>
      </w:r>
      <w:r w:rsidRPr="0042214E">
        <w:t xml:space="preserve"> this should not reduce the robustness of the information presented for each project.</w:t>
      </w:r>
    </w:p>
    <w:p w14:paraId="616A576B" w14:textId="77777777" w:rsidR="00A111F3" w:rsidRPr="0042214E" w:rsidRDefault="00A111F3" w:rsidP="005E1934">
      <w:pPr>
        <w:pStyle w:val="Heading2numbered"/>
      </w:pPr>
      <w:bookmarkStart w:id="28" w:name="_Toc121415290"/>
      <w:bookmarkStart w:id="29" w:name="_Toc499215085"/>
      <w:r w:rsidRPr="0042214E">
        <w:t>Accuracy of estimates in the business case</w:t>
      </w:r>
      <w:bookmarkEnd w:id="28"/>
    </w:p>
    <w:p w14:paraId="47A8807B" w14:textId="4A0DEAD0" w:rsidR="001C149C" w:rsidRPr="0042214E" w:rsidRDefault="00A111F3" w:rsidP="00440874">
      <w:pPr>
        <w:pStyle w:val="NormalIndent"/>
      </w:pPr>
      <w:r w:rsidRPr="0042214E">
        <w:t xml:space="preserve">The accuracy of cost estimates </w:t>
      </w:r>
      <w:r w:rsidR="00176A04" w:rsidRPr="0042214E">
        <w:t>and design</w:t>
      </w:r>
      <w:r w:rsidR="00FC3536" w:rsidRPr="0042214E">
        <w:t>s</w:t>
      </w:r>
      <w:r w:rsidR="00176A04" w:rsidRPr="0042214E">
        <w:t xml:space="preserve"> </w:t>
      </w:r>
      <w:r w:rsidRPr="0042214E">
        <w:t xml:space="preserve">depends on the type of project and the type of business case. The table below indicates the expected estimate accuracy. </w:t>
      </w:r>
    </w:p>
    <w:p w14:paraId="1A4471E5" w14:textId="22CA7CC3" w:rsidR="00C078B2" w:rsidRPr="0042214E" w:rsidRDefault="00C078B2" w:rsidP="00440874">
      <w:pPr>
        <w:pStyle w:val="Caption"/>
        <w:ind w:left="792"/>
      </w:pPr>
      <w:r w:rsidRPr="0042214E">
        <w:t xml:space="preserve">Table </w:t>
      </w:r>
      <w:fldSimple w:instr=" SEQ Table \* ARABIC ">
        <w:r w:rsidR="00295E8F">
          <w:rPr>
            <w:noProof/>
          </w:rPr>
          <w:t>5</w:t>
        </w:r>
      </w:fldSimple>
      <w:r w:rsidRPr="0042214E">
        <w:t xml:space="preserve">: Summary of accuracy </w:t>
      </w:r>
      <w:r w:rsidRPr="00440874">
        <w:t>required</w:t>
      </w:r>
    </w:p>
    <w:tbl>
      <w:tblPr>
        <w:tblStyle w:val="TableGrid"/>
        <w:tblW w:w="8522" w:type="dxa"/>
        <w:tblInd w:w="79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115" w:type="dxa"/>
          <w:right w:w="115" w:type="dxa"/>
        </w:tblCellMar>
        <w:tblLook w:val="04A0" w:firstRow="1" w:lastRow="0" w:firstColumn="1" w:lastColumn="0" w:noHBand="0" w:noVBand="1"/>
      </w:tblPr>
      <w:tblGrid>
        <w:gridCol w:w="1753"/>
        <w:gridCol w:w="1710"/>
        <w:gridCol w:w="1800"/>
        <w:gridCol w:w="3259"/>
      </w:tblGrid>
      <w:tr w:rsidR="001C149C" w:rsidRPr="0042214E" w14:paraId="1DCF1AF7" w14:textId="77777777" w:rsidTr="00C078B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3" w:type="dxa"/>
            <w:tcBorders>
              <w:top w:val="nil"/>
            </w:tcBorders>
            <w:shd w:val="clear" w:color="auto" w:fill="E57200" w:themeFill="accent2"/>
          </w:tcPr>
          <w:p w14:paraId="26D8306B" w14:textId="7ADA8F2B" w:rsidR="001C149C" w:rsidRPr="0042214E" w:rsidRDefault="001C149C" w:rsidP="000008A1">
            <w:pPr>
              <w:pStyle w:val="Tableheader"/>
            </w:pPr>
            <w:r w:rsidRPr="0042214E">
              <w:rPr>
                <w:b/>
                <w:color w:val="FFFFFF"/>
                <w:sz w:val="18"/>
                <w:szCs w:val="18"/>
              </w:rPr>
              <w:t>Section</w:t>
            </w:r>
          </w:p>
        </w:tc>
        <w:tc>
          <w:tcPr>
            <w:tcW w:w="1710" w:type="dxa"/>
            <w:tcBorders>
              <w:top w:val="nil"/>
            </w:tcBorders>
            <w:shd w:val="clear" w:color="auto" w:fill="E57200" w:themeFill="accent2"/>
          </w:tcPr>
          <w:p w14:paraId="4EC64D77" w14:textId="77777777" w:rsidR="001C149C" w:rsidRPr="0042214E" w:rsidRDefault="001C149C" w:rsidP="000008A1">
            <w:pPr>
              <w:pStyle w:val="Tableheader"/>
              <w:cnfStyle w:val="100000000000" w:firstRow="1" w:lastRow="0" w:firstColumn="0" w:lastColumn="0" w:oddVBand="0" w:evenVBand="0" w:oddHBand="0" w:evenHBand="0" w:firstRowFirstColumn="0" w:firstRowLastColumn="0" w:lastRowFirstColumn="0" w:lastRowLastColumn="0"/>
            </w:pPr>
            <w:r w:rsidRPr="0042214E">
              <w:rPr>
                <w:b/>
                <w:color w:val="FFFFFF"/>
                <w:sz w:val="18"/>
                <w:szCs w:val="18"/>
              </w:rPr>
              <w:t>Processes</w:t>
            </w:r>
          </w:p>
        </w:tc>
        <w:tc>
          <w:tcPr>
            <w:tcW w:w="1800" w:type="dxa"/>
            <w:tcBorders>
              <w:top w:val="nil"/>
            </w:tcBorders>
            <w:shd w:val="clear" w:color="auto" w:fill="E57200" w:themeFill="accent2"/>
          </w:tcPr>
          <w:p w14:paraId="2896AAD8" w14:textId="77777777" w:rsidR="001C149C" w:rsidRPr="0042214E" w:rsidRDefault="001C149C" w:rsidP="000008A1">
            <w:pPr>
              <w:pStyle w:val="Tableheader"/>
              <w:cnfStyle w:val="100000000000" w:firstRow="1" w:lastRow="0" w:firstColumn="0" w:lastColumn="0" w:oddVBand="0" w:evenVBand="0" w:oddHBand="0" w:evenHBand="0" w:firstRowFirstColumn="0" w:firstRowLastColumn="0" w:lastRowFirstColumn="0" w:lastRowLastColumn="0"/>
            </w:pPr>
            <w:r w:rsidRPr="0042214E">
              <w:rPr>
                <w:b/>
                <w:color w:val="FFFFFF"/>
                <w:sz w:val="18"/>
                <w:szCs w:val="18"/>
              </w:rPr>
              <w:t xml:space="preserve">Estimate </w:t>
            </w:r>
          </w:p>
        </w:tc>
        <w:tc>
          <w:tcPr>
            <w:tcW w:w="3259" w:type="dxa"/>
            <w:tcBorders>
              <w:top w:val="nil"/>
            </w:tcBorders>
            <w:shd w:val="clear" w:color="auto" w:fill="E57200" w:themeFill="accent2"/>
          </w:tcPr>
          <w:p w14:paraId="3724E76D" w14:textId="77777777" w:rsidR="001C149C" w:rsidRPr="0042214E" w:rsidRDefault="001C149C" w:rsidP="000008A1">
            <w:pPr>
              <w:pStyle w:val="Tableheader"/>
              <w:cnfStyle w:val="100000000000" w:firstRow="1" w:lastRow="0" w:firstColumn="0" w:lastColumn="0" w:oddVBand="0" w:evenVBand="0" w:oddHBand="0" w:evenHBand="0" w:firstRowFirstColumn="0" w:firstRowLastColumn="0" w:lastRowFirstColumn="0" w:lastRowLastColumn="0"/>
            </w:pPr>
            <w:r w:rsidRPr="0042214E">
              <w:rPr>
                <w:b/>
                <w:color w:val="FFFFFF"/>
                <w:sz w:val="18"/>
                <w:szCs w:val="18"/>
              </w:rPr>
              <w:t>Description and design accuracy</w:t>
            </w:r>
          </w:p>
        </w:tc>
      </w:tr>
      <w:tr w:rsidR="001C149C" w:rsidRPr="0042214E" w14:paraId="3448DE57" w14:textId="77777777" w:rsidTr="00C078B2">
        <w:trPr>
          <w:cantSplit/>
        </w:trPr>
        <w:tc>
          <w:tcPr>
            <w:cnfStyle w:val="001000000000" w:firstRow="0" w:lastRow="0" w:firstColumn="1" w:lastColumn="0" w:oddVBand="0" w:evenVBand="0" w:oddHBand="0" w:evenHBand="0" w:firstRowFirstColumn="0" w:firstRowLastColumn="0" w:lastRowFirstColumn="0" w:lastRowLastColumn="0"/>
            <w:tcW w:w="1753" w:type="dxa"/>
            <w:vMerge w:val="restart"/>
            <w:shd w:val="clear" w:color="auto" w:fill="DBDCDE" w:themeFill="text2" w:themeFillTint="33"/>
          </w:tcPr>
          <w:p w14:paraId="25E884F0" w14:textId="77777777" w:rsidR="001C149C" w:rsidRPr="0042214E" w:rsidRDefault="001C149C" w:rsidP="000008A1">
            <w:pPr>
              <w:pStyle w:val="Tabletext"/>
              <w:rPr>
                <w:b/>
                <w:sz w:val="18"/>
                <w:szCs w:val="18"/>
              </w:rPr>
            </w:pPr>
            <w:r w:rsidRPr="0042214E">
              <w:rPr>
                <w:b/>
                <w:sz w:val="18"/>
                <w:szCs w:val="18"/>
              </w:rPr>
              <w:t>Investment case</w:t>
            </w:r>
          </w:p>
          <w:p w14:paraId="2D4A2B75" w14:textId="27C078F6" w:rsidR="001C149C" w:rsidRPr="0042214E" w:rsidRDefault="001C149C" w:rsidP="000008A1">
            <w:pPr>
              <w:pStyle w:val="Tabletext"/>
            </w:pPr>
            <w:r w:rsidRPr="0042214E">
              <w:rPr>
                <w:sz w:val="18"/>
                <w:szCs w:val="18"/>
              </w:rPr>
              <w:t>(A focus for the Preliminary Business case)</w:t>
            </w:r>
          </w:p>
        </w:tc>
        <w:tc>
          <w:tcPr>
            <w:tcW w:w="1710" w:type="dxa"/>
            <w:shd w:val="clear" w:color="auto" w:fill="DBDCDE" w:themeFill="text2" w:themeFillTint="33"/>
          </w:tcPr>
          <w:p w14:paraId="1171E40D" w14:textId="77777777" w:rsidR="001C149C" w:rsidRPr="0042214E" w:rsidRDefault="001C149C" w:rsidP="000008A1">
            <w:pPr>
              <w:pStyle w:val="Tabletext"/>
              <w:cnfStyle w:val="000000000000" w:firstRow="0" w:lastRow="0" w:firstColumn="0" w:lastColumn="0" w:oddVBand="0" w:evenVBand="0" w:oddHBand="0" w:evenHBand="0" w:firstRowFirstColumn="0" w:firstRowLastColumn="0" w:lastRowFirstColumn="0" w:lastRowLastColumn="0"/>
              <w:rPr>
                <w:color w:val="000000"/>
                <w:sz w:val="18"/>
                <w:szCs w:val="18"/>
              </w:rPr>
            </w:pPr>
            <w:r w:rsidRPr="0042214E">
              <w:rPr>
                <w:b/>
                <w:color w:val="000000"/>
                <w:sz w:val="18"/>
                <w:szCs w:val="18"/>
              </w:rPr>
              <w:t>Investment logic</w:t>
            </w:r>
          </w:p>
          <w:p w14:paraId="59467135" w14:textId="77777777" w:rsidR="001C149C" w:rsidRPr="0042214E" w:rsidRDefault="001C149C" w:rsidP="000008A1">
            <w:pPr>
              <w:pStyle w:val="Tabletext"/>
              <w:cnfStyle w:val="000000000000" w:firstRow="0" w:lastRow="0" w:firstColumn="0" w:lastColumn="0" w:oddVBand="0" w:evenVBand="0" w:oddHBand="0" w:evenHBand="0" w:firstRowFirstColumn="0" w:firstRowLastColumn="0" w:lastRowFirstColumn="0" w:lastRowLastColumn="0"/>
            </w:pPr>
            <w:r w:rsidRPr="0042214E">
              <w:t>Problem, benefits identification, response options, indicative solutions</w:t>
            </w:r>
          </w:p>
        </w:tc>
        <w:tc>
          <w:tcPr>
            <w:tcW w:w="1800" w:type="dxa"/>
            <w:shd w:val="clear" w:color="auto" w:fill="D9D9D9" w:themeFill="background1" w:themeFillShade="D9"/>
          </w:tcPr>
          <w:p w14:paraId="7E71D7B7" w14:textId="1EB128EB" w:rsidR="001C149C" w:rsidRPr="0042214E" w:rsidRDefault="001C149C" w:rsidP="00454DC5">
            <w:pPr>
              <w:pStyle w:val="Tabletext"/>
              <w:cnfStyle w:val="000000000000" w:firstRow="0" w:lastRow="0" w:firstColumn="0" w:lastColumn="0" w:oddVBand="0" w:evenVBand="0" w:oddHBand="0" w:evenHBand="0" w:firstRowFirstColumn="0" w:firstRowLastColumn="0" w:lastRowFirstColumn="0" w:lastRowLastColumn="0"/>
            </w:pPr>
            <w:r w:rsidRPr="0042214E">
              <w:t xml:space="preserve">Order of magnitude estimate type </w:t>
            </w:r>
            <w:r w:rsidRPr="0042214E">
              <w:br/>
            </w:r>
            <w:r w:rsidRPr="0042214E">
              <w:noBreakHyphen/>
              <w:t>40% to +60%</w:t>
            </w:r>
          </w:p>
        </w:tc>
        <w:tc>
          <w:tcPr>
            <w:tcW w:w="3259" w:type="dxa"/>
            <w:shd w:val="clear" w:color="auto" w:fill="D9D9D9" w:themeFill="background1" w:themeFillShade="D9"/>
          </w:tcPr>
          <w:p w14:paraId="706D8309" w14:textId="0993276D" w:rsidR="001C149C" w:rsidRPr="0042214E" w:rsidRDefault="001C149C" w:rsidP="00846DDD">
            <w:pPr>
              <w:pStyle w:val="Tabletext"/>
              <w:cnfStyle w:val="000000000000" w:firstRow="0" w:lastRow="0" w:firstColumn="0" w:lastColumn="0" w:oddVBand="0" w:evenVBand="0" w:oddHBand="0" w:evenHBand="0" w:firstRowFirstColumn="0" w:firstRowLastColumn="0" w:lastRowFirstColumn="0" w:lastRowLastColumn="0"/>
            </w:pPr>
            <w:r w:rsidRPr="0042214E">
              <w:t xml:space="preserve">This estimate is used for screening and is based on historical information. Order of magnitude estimates are developed when a quick estimate is needed, and few details are available. It is typically developed to support </w:t>
            </w:r>
            <w:r w:rsidR="00846DDD" w:rsidRPr="0042214E">
              <w:t>‘</w:t>
            </w:r>
            <w:r w:rsidRPr="0042214E">
              <w:t>what if</w:t>
            </w:r>
            <w:r w:rsidR="00846DDD" w:rsidRPr="0042214E">
              <w:t>’</w:t>
            </w:r>
            <w:r w:rsidRPr="0042214E">
              <w:t xml:space="preserve"> analyses. It is helpful for examining differences in </w:t>
            </w:r>
            <w:r w:rsidR="00846DDD" w:rsidRPr="0042214E">
              <w:t>high-</w:t>
            </w:r>
            <w:r w:rsidRPr="0042214E">
              <w:t xml:space="preserve">level alternatives to see which are the most feasible. Because it is developed from limited data and in a short time, a rough order of magnitude analysis should never be considered a </w:t>
            </w:r>
            <w:r w:rsidR="00846DDD" w:rsidRPr="0042214E">
              <w:t>budget-</w:t>
            </w:r>
            <w:r w:rsidRPr="0042214E">
              <w:t>quality cost estimate.</w:t>
            </w:r>
          </w:p>
        </w:tc>
      </w:tr>
      <w:tr w:rsidR="001C149C" w:rsidRPr="0042214E" w14:paraId="53FA7197" w14:textId="77777777" w:rsidTr="00C078B2">
        <w:trPr>
          <w:cantSplit/>
        </w:trPr>
        <w:tc>
          <w:tcPr>
            <w:cnfStyle w:val="001000000000" w:firstRow="0" w:lastRow="0" w:firstColumn="1" w:lastColumn="0" w:oddVBand="0" w:evenVBand="0" w:oddHBand="0" w:evenHBand="0" w:firstRowFirstColumn="0" w:firstRowLastColumn="0" w:lastRowFirstColumn="0" w:lastRowLastColumn="0"/>
            <w:tcW w:w="1753" w:type="dxa"/>
            <w:vMerge/>
            <w:shd w:val="clear" w:color="auto" w:fill="DBDCDE" w:themeFill="text2" w:themeFillTint="33"/>
          </w:tcPr>
          <w:p w14:paraId="6A868300" w14:textId="77777777" w:rsidR="001C149C" w:rsidRPr="0042214E" w:rsidRDefault="001C149C" w:rsidP="000008A1">
            <w:pPr>
              <w:pStyle w:val="Tabletext"/>
              <w:rPr>
                <w:b/>
                <w:color w:val="005B9B"/>
                <w:sz w:val="18"/>
                <w:szCs w:val="18"/>
              </w:rPr>
            </w:pPr>
          </w:p>
        </w:tc>
        <w:tc>
          <w:tcPr>
            <w:tcW w:w="1710" w:type="dxa"/>
            <w:shd w:val="clear" w:color="auto" w:fill="DBDCDE" w:themeFill="text2" w:themeFillTint="33"/>
          </w:tcPr>
          <w:p w14:paraId="455C7735" w14:textId="77777777" w:rsidR="001C149C" w:rsidRPr="0042214E" w:rsidRDefault="001C149C" w:rsidP="000008A1">
            <w:pPr>
              <w:pStyle w:val="Tabletext"/>
              <w:cnfStyle w:val="000000000000" w:firstRow="0" w:lastRow="0" w:firstColumn="0" w:lastColumn="0" w:oddVBand="0" w:evenVBand="0" w:oddHBand="0" w:evenHBand="0" w:firstRowFirstColumn="0" w:firstRowLastColumn="0" w:lastRowFirstColumn="0" w:lastRowLastColumn="0"/>
              <w:rPr>
                <w:b/>
              </w:rPr>
            </w:pPr>
            <w:r w:rsidRPr="0042214E">
              <w:rPr>
                <w:b/>
              </w:rPr>
              <w:t>Project scoping</w:t>
            </w:r>
          </w:p>
          <w:p w14:paraId="07560ECA" w14:textId="77777777" w:rsidR="001C149C" w:rsidRPr="0042214E" w:rsidRDefault="001C149C" w:rsidP="000008A1">
            <w:pPr>
              <w:pStyle w:val="Tabletext"/>
              <w:cnfStyle w:val="000000000000" w:firstRow="0" w:lastRow="0" w:firstColumn="0" w:lastColumn="0" w:oddVBand="0" w:evenVBand="0" w:oddHBand="0" w:evenHBand="0" w:firstRowFirstColumn="0" w:firstRowLastColumn="0" w:lastRowFirstColumn="0" w:lastRowLastColumn="0"/>
              <w:rPr>
                <w:b/>
              </w:rPr>
            </w:pPr>
            <w:r w:rsidRPr="0042214E">
              <w:t>Project option appraisal, define project scope (and options for further consideration) with concept design</w:t>
            </w:r>
          </w:p>
        </w:tc>
        <w:tc>
          <w:tcPr>
            <w:tcW w:w="1800" w:type="dxa"/>
            <w:shd w:val="clear" w:color="auto" w:fill="D9D9D9" w:themeFill="background1" w:themeFillShade="D9"/>
          </w:tcPr>
          <w:p w14:paraId="0B820964" w14:textId="77777777" w:rsidR="001C149C" w:rsidRPr="0042214E" w:rsidRDefault="001C149C" w:rsidP="000008A1">
            <w:pPr>
              <w:pStyle w:val="Tabletext"/>
              <w:cnfStyle w:val="000000000000" w:firstRow="0" w:lastRow="0" w:firstColumn="0" w:lastColumn="0" w:oddVBand="0" w:evenVBand="0" w:oddHBand="0" w:evenHBand="0" w:firstRowFirstColumn="0" w:firstRowLastColumn="0" w:lastRowFirstColumn="0" w:lastRowLastColumn="0"/>
            </w:pPr>
            <w:r w:rsidRPr="0042214E">
              <w:t>Concept estimate</w:t>
            </w:r>
            <w:r w:rsidRPr="0042214E">
              <w:br/>
            </w:r>
            <w:r w:rsidRPr="0042214E">
              <w:noBreakHyphen/>
              <w:t>30% to +60%</w:t>
            </w:r>
          </w:p>
        </w:tc>
        <w:tc>
          <w:tcPr>
            <w:tcW w:w="3259" w:type="dxa"/>
            <w:shd w:val="clear" w:color="auto" w:fill="D9D9D9" w:themeFill="background1" w:themeFillShade="D9"/>
          </w:tcPr>
          <w:p w14:paraId="16AF090A" w14:textId="1624DE0B" w:rsidR="001C149C" w:rsidRPr="0042214E" w:rsidRDefault="001C149C" w:rsidP="00454DC5">
            <w:pPr>
              <w:pStyle w:val="Tabletext"/>
              <w:cnfStyle w:val="000000000000" w:firstRow="0" w:lastRow="0" w:firstColumn="0" w:lastColumn="0" w:oddVBand="0" w:evenVBand="0" w:oddHBand="0" w:evenHBand="0" w:firstRowFirstColumn="0" w:firstRowLastColumn="0" w:lastRowFirstColumn="0" w:lastRowLastColumn="0"/>
            </w:pPr>
            <w:r w:rsidRPr="0042214E">
              <w:t>This estimate is based on concept design data. For less complex projects</w:t>
            </w:r>
            <w:r w:rsidR="00846DDD" w:rsidRPr="0042214E">
              <w:t>,</w:t>
            </w:r>
            <w:r w:rsidRPr="0042214E">
              <w:t xml:space="preserve"> this level of estimate accuracy is sufficient to robustly compare project options. Project definition is likely to be in the order of 1</w:t>
            </w:r>
            <w:r w:rsidR="00846DDD" w:rsidRPr="0042214E">
              <w:t xml:space="preserve"> per cent </w:t>
            </w:r>
            <w:r w:rsidRPr="0042214E">
              <w:t>to 10</w:t>
            </w:r>
            <w:r w:rsidR="00846DDD" w:rsidRPr="0042214E">
              <w:t xml:space="preserve"> per cent </w:t>
            </w:r>
            <w:r w:rsidRPr="0042214E">
              <w:t>complete. In many cases there will be benchmark project data that will considerably reduce uncertainty (increase accuracy). For example</w:t>
            </w:r>
            <w:r w:rsidR="00454DC5" w:rsidRPr="0042214E">
              <w:t>,</w:t>
            </w:r>
            <w:r w:rsidRPr="0042214E">
              <w:t xml:space="preserve"> if the project were a new school</w:t>
            </w:r>
            <w:r w:rsidR="003B1473" w:rsidRPr="0042214E">
              <w:t>,</w:t>
            </w:r>
            <w:r w:rsidRPr="0042214E">
              <w:t xml:space="preserve"> then there is extensive industry benchmark data from previous school developments.</w:t>
            </w:r>
          </w:p>
        </w:tc>
      </w:tr>
      <w:tr w:rsidR="00C078B2" w:rsidRPr="0042214E" w14:paraId="435E358B" w14:textId="77777777" w:rsidTr="00C078B2">
        <w:trPr>
          <w:cantSplit/>
        </w:trPr>
        <w:tc>
          <w:tcPr>
            <w:cnfStyle w:val="001000000000" w:firstRow="0" w:lastRow="0" w:firstColumn="1" w:lastColumn="0" w:oddVBand="0" w:evenVBand="0" w:oddHBand="0" w:evenHBand="0" w:firstRowFirstColumn="0" w:firstRowLastColumn="0" w:lastRowFirstColumn="0" w:lastRowLastColumn="0"/>
            <w:tcW w:w="1753" w:type="dxa"/>
            <w:vMerge w:val="restart"/>
            <w:shd w:val="clear" w:color="auto" w:fill="DBDCDE" w:themeFill="text2" w:themeFillTint="33"/>
          </w:tcPr>
          <w:p w14:paraId="10B070E5" w14:textId="77777777" w:rsidR="00C078B2" w:rsidRPr="0042214E" w:rsidRDefault="00C078B2" w:rsidP="000008A1">
            <w:pPr>
              <w:pStyle w:val="Tabletext"/>
              <w:keepNext/>
              <w:rPr>
                <w:b/>
                <w:sz w:val="18"/>
                <w:szCs w:val="18"/>
              </w:rPr>
            </w:pPr>
            <w:r w:rsidRPr="0042214E">
              <w:rPr>
                <w:b/>
                <w:sz w:val="18"/>
                <w:szCs w:val="18"/>
              </w:rPr>
              <w:t>Delivery case</w:t>
            </w:r>
          </w:p>
          <w:p w14:paraId="49E48718" w14:textId="030C4985" w:rsidR="00C078B2" w:rsidRPr="0042214E" w:rsidRDefault="00C078B2" w:rsidP="000008A1">
            <w:pPr>
              <w:pStyle w:val="Tabletext"/>
              <w:keepNext/>
              <w:rPr>
                <w:b/>
                <w:sz w:val="18"/>
                <w:szCs w:val="18"/>
              </w:rPr>
            </w:pPr>
            <w:r w:rsidRPr="0042214E">
              <w:rPr>
                <w:sz w:val="18"/>
                <w:szCs w:val="18"/>
              </w:rPr>
              <w:t xml:space="preserve">(A focus for the </w:t>
            </w:r>
            <w:r w:rsidR="00440874" w:rsidRPr="0042214E">
              <w:rPr>
                <w:sz w:val="18"/>
                <w:szCs w:val="18"/>
              </w:rPr>
              <w:t>full business case</w:t>
            </w:r>
            <w:r w:rsidRPr="0042214E">
              <w:rPr>
                <w:sz w:val="18"/>
                <w:szCs w:val="18"/>
              </w:rPr>
              <w:t>)</w:t>
            </w:r>
          </w:p>
        </w:tc>
        <w:tc>
          <w:tcPr>
            <w:tcW w:w="1710" w:type="dxa"/>
            <w:shd w:val="clear" w:color="auto" w:fill="DBDCDE" w:themeFill="text2" w:themeFillTint="33"/>
          </w:tcPr>
          <w:p w14:paraId="5F1F8A5E" w14:textId="77777777" w:rsidR="00C078B2" w:rsidRPr="0042214E" w:rsidRDefault="00C078B2" w:rsidP="000008A1">
            <w:pPr>
              <w:pStyle w:val="Tabletext"/>
              <w:cnfStyle w:val="000000000000" w:firstRow="0" w:lastRow="0" w:firstColumn="0" w:lastColumn="0" w:oddVBand="0" w:evenVBand="0" w:oddHBand="0" w:evenHBand="0" w:firstRowFirstColumn="0" w:firstRowLastColumn="0" w:lastRowFirstColumn="0" w:lastRowLastColumn="0"/>
              <w:rPr>
                <w:b/>
              </w:rPr>
            </w:pPr>
            <w:r w:rsidRPr="0042214E">
              <w:rPr>
                <w:b/>
              </w:rPr>
              <w:t>Pre</w:t>
            </w:r>
            <w:r w:rsidRPr="0042214E">
              <w:rPr>
                <w:b/>
              </w:rPr>
              <w:noBreakHyphen/>
              <w:t>feasibility</w:t>
            </w:r>
          </w:p>
          <w:p w14:paraId="580C3281" w14:textId="77777777" w:rsidR="00C078B2" w:rsidRPr="0042214E" w:rsidRDefault="00C078B2" w:rsidP="000008A1">
            <w:pPr>
              <w:pStyle w:val="Tabletext"/>
              <w:cnfStyle w:val="000000000000" w:firstRow="0" w:lastRow="0" w:firstColumn="0" w:lastColumn="0" w:oddVBand="0" w:evenVBand="0" w:oddHBand="0" w:evenHBand="0" w:firstRowFirstColumn="0" w:firstRowLastColumn="0" w:lastRowFirstColumn="0" w:lastRowLastColumn="0"/>
              <w:rPr>
                <w:b/>
              </w:rPr>
            </w:pPr>
            <w:r w:rsidRPr="0042214E">
              <w:t xml:space="preserve">Assessment of project options, initial </w:t>
            </w:r>
            <w:proofErr w:type="gramStart"/>
            <w:r w:rsidRPr="0042214E">
              <w:t>risk</w:t>
            </w:r>
            <w:proofErr w:type="gramEnd"/>
            <w:r w:rsidRPr="0042214E">
              <w:t xml:space="preserve"> and environmental assessment</w:t>
            </w:r>
          </w:p>
        </w:tc>
        <w:tc>
          <w:tcPr>
            <w:tcW w:w="1800" w:type="dxa"/>
            <w:shd w:val="clear" w:color="auto" w:fill="D9D9D9" w:themeFill="background1" w:themeFillShade="D9"/>
          </w:tcPr>
          <w:p w14:paraId="66FA7074" w14:textId="77777777" w:rsidR="00C078B2" w:rsidRPr="0042214E" w:rsidRDefault="00C078B2" w:rsidP="000008A1">
            <w:pPr>
              <w:pStyle w:val="Tabletext"/>
              <w:cnfStyle w:val="000000000000" w:firstRow="0" w:lastRow="0" w:firstColumn="0" w:lastColumn="0" w:oddVBand="0" w:evenVBand="0" w:oddHBand="0" w:evenHBand="0" w:firstRowFirstColumn="0" w:firstRowLastColumn="0" w:lastRowFirstColumn="0" w:lastRowLastColumn="0"/>
            </w:pPr>
            <w:r w:rsidRPr="0042214E">
              <w:t>Developed concept estimate</w:t>
            </w:r>
            <w:r w:rsidRPr="0042214E">
              <w:br/>
            </w:r>
            <w:r w:rsidRPr="0042214E">
              <w:noBreakHyphen/>
              <w:t>20% to +25%</w:t>
            </w:r>
          </w:p>
        </w:tc>
        <w:tc>
          <w:tcPr>
            <w:tcW w:w="3259" w:type="dxa"/>
            <w:shd w:val="clear" w:color="auto" w:fill="D9D9D9" w:themeFill="background1" w:themeFillShade="D9"/>
          </w:tcPr>
          <w:p w14:paraId="30B8FA11" w14:textId="148C4038" w:rsidR="00C078B2" w:rsidRPr="0042214E" w:rsidRDefault="00C078B2" w:rsidP="00C078B2">
            <w:pPr>
              <w:pStyle w:val="Tabletext"/>
              <w:cnfStyle w:val="000000000000" w:firstRow="0" w:lastRow="0" w:firstColumn="0" w:lastColumn="0" w:oddVBand="0" w:evenVBand="0" w:oddHBand="0" w:evenHBand="0" w:firstRowFirstColumn="0" w:firstRowLastColumn="0" w:lastRowFirstColumn="0" w:lastRowLastColumn="0"/>
            </w:pPr>
            <w:r w:rsidRPr="0042214E">
              <w:t xml:space="preserve">For more complex projects, more design information would be expected to reasonably compare project options. Project design is likely to be in the order of 5 per cent to 15 per cent. These levels are probably more suitable for the ‘one off’, </w:t>
            </w:r>
            <w:r w:rsidR="003B1473" w:rsidRPr="0042214E">
              <w:t>‘</w:t>
            </w:r>
            <w:r w:rsidRPr="0042214E">
              <w:t>never been done before</w:t>
            </w:r>
            <w:r w:rsidR="003B1473" w:rsidRPr="0042214E">
              <w:t>’</w:t>
            </w:r>
            <w:r w:rsidRPr="0042214E">
              <w:t xml:space="preserve"> type schemes.</w:t>
            </w:r>
          </w:p>
        </w:tc>
      </w:tr>
      <w:tr w:rsidR="00C078B2" w:rsidRPr="0042214E" w14:paraId="2837656E" w14:textId="77777777" w:rsidTr="00C078B2">
        <w:trPr>
          <w:cantSplit/>
        </w:trPr>
        <w:tc>
          <w:tcPr>
            <w:cnfStyle w:val="001000000000" w:firstRow="0" w:lastRow="0" w:firstColumn="1" w:lastColumn="0" w:oddVBand="0" w:evenVBand="0" w:oddHBand="0" w:evenHBand="0" w:firstRowFirstColumn="0" w:firstRowLastColumn="0" w:lastRowFirstColumn="0" w:lastRowLastColumn="0"/>
            <w:tcW w:w="1753" w:type="dxa"/>
            <w:vMerge/>
            <w:shd w:val="clear" w:color="auto" w:fill="DBDCDE" w:themeFill="text2" w:themeFillTint="33"/>
          </w:tcPr>
          <w:p w14:paraId="1038E765" w14:textId="77777777" w:rsidR="00C078B2" w:rsidRPr="0042214E" w:rsidRDefault="00C078B2" w:rsidP="000008A1">
            <w:pPr>
              <w:pStyle w:val="Tabletext"/>
              <w:rPr>
                <w:b/>
                <w:sz w:val="18"/>
                <w:szCs w:val="18"/>
              </w:rPr>
            </w:pPr>
          </w:p>
        </w:tc>
        <w:tc>
          <w:tcPr>
            <w:tcW w:w="1710" w:type="dxa"/>
            <w:shd w:val="clear" w:color="auto" w:fill="DBDCDE" w:themeFill="text2" w:themeFillTint="33"/>
          </w:tcPr>
          <w:p w14:paraId="7211D59F" w14:textId="77777777" w:rsidR="00C078B2" w:rsidRPr="0042214E" w:rsidRDefault="00C078B2" w:rsidP="000008A1">
            <w:pPr>
              <w:pStyle w:val="Tabletext"/>
              <w:cnfStyle w:val="000000000000" w:firstRow="0" w:lastRow="0" w:firstColumn="0" w:lastColumn="0" w:oddVBand="0" w:evenVBand="0" w:oddHBand="0" w:evenHBand="0" w:firstRowFirstColumn="0" w:firstRowLastColumn="0" w:lastRowFirstColumn="0" w:lastRowLastColumn="0"/>
              <w:rPr>
                <w:b/>
              </w:rPr>
            </w:pPr>
            <w:r w:rsidRPr="0042214E">
              <w:rPr>
                <w:b/>
              </w:rPr>
              <w:t>Feasibility</w:t>
            </w:r>
          </w:p>
          <w:p w14:paraId="313D1CFD" w14:textId="77777777" w:rsidR="00C078B2" w:rsidRPr="0042214E" w:rsidRDefault="00C078B2" w:rsidP="000008A1">
            <w:pPr>
              <w:pStyle w:val="Tabletext"/>
              <w:cnfStyle w:val="000000000000" w:firstRow="0" w:lastRow="0" w:firstColumn="0" w:lastColumn="0" w:oddVBand="0" w:evenVBand="0" w:oddHBand="0" w:evenHBand="0" w:firstRowFirstColumn="0" w:firstRowLastColumn="0" w:lastRowFirstColumn="0" w:lastRowLastColumn="0"/>
              <w:rPr>
                <w:b/>
              </w:rPr>
            </w:pPr>
            <w:r w:rsidRPr="0042214E">
              <w:t>Integration of risk assessment, preliminary design, functional model, whole of life costing and procurement strategy</w:t>
            </w:r>
          </w:p>
        </w:tc>
        <w:tc>
          <w:tcPr>
            <w:tcW w:w="1800" w:type="dxa"/>
            <w:shd w:val="clear" w:color="auto" w:fill="D9D9D9" w:themeFill="background1" w:themeFillShade="D9"/>
          </w:tcPr>
          <w:p w14:paraId="108DE2DD" w14:textId="77777777" w:rsidR="00C078B2" w:rsidRPr="0042214E" w:rsidRDefault="00C078B2" w:rsidP="000008A1">
            <w:pPr>
              <w:pStyle w:val="Tabletext"/>
              <w:cnfStyle w:val="000000000000" w:firstRow="0" w:lastRow="0" w:firstColumn="0" w:lastColumn="0" w:oddVBand="0" w:evenVBand="0" w:oddHBand="0" w:evenHBand="0" w:firstRowFirstColumn="0" w:firstRowLastColumn="0" w:lastRowFirstColumn="0" w:lastRowLastColumn="0"/>
            </w:pPr>
            <w:r w:rsidRPr="0042214E">
              <w:t>Preliminary design estimate</w:t>
            </w:r>
            <w:r w:rsidRPr="0042214E">
              <w:br/>
            </w:r>
            <w:r w:rsidRPr="0042214E">
              <w:noBreakHyphen/>
              <w:t>15% to +25%</w:t>
            </w:r>
          </w:p>
        </w:tc>
        <w:tc>
          <w:tcPr>
            <w:tcW w:w="3259" w:type="dxa"/>
            <w:shd w:val="clear" w:color="auto" w:fill="D9D9D9" w:themeFill="background1" w:themeFillShade="D9"/>
          </w:tcPr>
          <w:p w14:paraId="2E4500AB" w14:textId="2DB5A89F" w:rsidR="00C078B2" w:rsidRPr="0042214E" w:rsidRDefault="00C078B2" w:rsidP="00D004A7">
            <w:pPr>
              <w:pStyle w:val="Tabletext"/>
              <w:cnfStyle w:val="000000000000" w:firstRow="0" w:lastRow="0" w:firstColumn="0" w:lastColumn="0" w:oddVBand="0" w:evenVBand="0" w:oddHBand="0" w:evenHBand="0" w:firstRowFirstColumn="0" w:firstRowLastColumn="0" w:lastRowFirstColumn="0" w:lastRowLastColumn="0"/>
            </w:pPr>
            <w:r w:rsidRPr="0042214E">
              <w:t xml:space="preserve">This estimate is used to provide the approved budget estimate for the project, </w:t>
            </w:r>
            <w:r w:rsidR="00126E61" w:rsidRPr="0042214E">
              <w:t>i.e.,</w:t>
            </w:r>
            <w:r w:rsidRPr="0042214E">
              <w:t xml:space="preserve"> the business case budget estimate. Project design is likely to be in the order of 10 per cent to 40 per cent. Costing at this stage is expected to be a robust, defensible, </w:t>
            </w:r>
            <w:r w:rsidR="00D004A7" w:rsidRPr="0042214E">
              <w:t>risk-</w:t>
            </w:r>
            <w:r w:rsidRPr="0042214E">
              <w:t>adjusted estimate with an appropriate contingency allowance. The estimate should be based on a well</w:t>
            </w:r>
            <w:r w:rsidRPr="0042214E">
              <w:noBreakHyphen/>
              <w:t>defined project scope, a breakdown of project costs (</w:t>
            </w:r>
            <w:r w:rsidR="00126E61" w:rsidRPr="0042214E">
              <w:t>e.g.,</w:t>
            </w:r>
            <w:r w:rsidRPr="0042214E">
              <w:t xml:space="preserve"> using elemental estimating techniques) supported by reference to relevant benchmark project examples and adjusted for risk and uncertainty.</w:t>
            </w:r>
          </w:p>
        </w:tc>
      </w:tr>
      <w:tr w:rsidR="00C078B2" w:rsidRPr="0042214E" w14:paraId="584036F7" w14:textId="77777777" w:rsidTr="00C078B2">
        <w:trPr>
          <w:cantSplit/>
        </w:trPr>
        <w:tc>
          <w:tcPr>
            <w:cnfStyle w:val="001000000000" w:firstRow="0" w:lastRow="0" w:firstColumn="1" w:lastColumn="0" w:oddVBand="0" w:evenVBand="0" w:oddHBand="0" w:evenHBand="0" w:firstRowFirstColumn="0" w:firstRowLastColumn="0" w:lastRowFirstColumn="0" w:lastRowLastColumn="0"/>
            <w:tcW w:w="1753" w:type="dxa"/>
            <w:vMerge/>
            <w:shd w:val="clear" w:color="auto" w:fill="DBDCDE" w:themeFill="text2" w:themeFillTint="33"/>
          </w:tcPr>
          <w:p w14:paraId="703B0779" w14:textId="71275A7D" w:rsidR="00C078B2" w:rsidRPr="0042214E" w:rsidRDefault="00C078B2" w:rsidP="000008A1">
            <w:pPr>
              <w:pStyle w:val="Tabletext"/>
              <w:rPr>
                <w:b/>
                <w:sz w:val="18"/>
                <w:szCs w:val="18"/>
              </w:rPr>
            </w:pPr>
          </w:p>
        </w:tc>
        <w:tc>
          <w:tcPr>
            <w:tcW w:w="1710" w:type="dxa"/>
            <w:shd w:val="clear" w:color="auto" w:fill="DBDCDE" w:themeFill="text2" w:themeFillTint="33"/>
          </w:tcPr>
          <w:p w14:paraId="239A96FC" w14:textId="77777777" w:rsidR="00C078B2" w:rsidRPr="0042214E" w:rsidRDefault="00C078B2" w:rsidP="000008A1">
            <w:pPr>
              <w:pStyle w:val="Tabletext"/>
              <w:cnfStyle w:val="000000000000" w:firstRow="0" w:lastRow="0" w:firstColumn="0" w:lastColumn="0" w:oddVBand="0" w:evenVBand="0" w:oddHBand="0" w:evenHBand="0" w:firstRowFirstColumn="0" w:firstRowLastColumn="0" w:lastRowFirstColumn="0" w:lastRowLastColumn="0"/>
              <w:rPr>
                <w:b/>
              </w:rPr>
            </w:pPr>
            <w:r w:rsidRPr="0042214E">
              <w:rPr>
                <w:b/>
              </w:rPr>
              <w:t>Procurement</w:t>
            </w:r>
          </w:p>
          <w:p w14:paraId="7C9EF5EB" w14:textId="77777777" w:rsidR="00C078B2" w:rsidRPr="0042214E" w:rsidRDefault="00C078B2" w:rsidP="000008A1">
            <w:pPr>
              <w:pStyle w:val="Tabletext"/>
              <w:cnfStyle w:val="000000000000" w:firstRow="0" w:lastRow="0" w:firstColumn="0" w:lastColumn="0" w:oddVBand="0" w:evenVBand="0" w:oddHBand="0" w:evenHBand="0" w:firstRowFirstColumn="0" w:firstRowLastColumn="0" w:lastRowFirstColumn="0" w:lastRowLastColumn="0"/>
            </w:pPr>
            <w:r w:rsidRPr="0042214E">
              <w:t>Staged tender process including tender preparation and evaluation</w:t>
            </w:r>
          </w:p>
        </w:tc>
        <w:tc>
          <w:tcPr>
            <w:tcW w:w="1800" w:type="dxa"/>
            <w:shd w:val="clear" w:color="auto" w:fill="D9D9D9" w:themeFill="background1" w:themeFillShade="D9"/>
          </w:tcPr>
          <w:p w14:paraId="794D374C" w14:textId="5C2FA188" w:rsidR="00C078B2" w:rsidRPr="0042214E" w:rsidRDefault="00C078B2" w:rsidP="000008A1">
            <w:pPr>
              <w:pStyle w:val="Tabletext"/>
              <w:cnfStyle w:val="000000000000" w:firstRow="0" w:lastRow="0" w:firstColumn="0" w:lastColumn="0" w:oddVBand="0" w:evenVBand="0" w:oddHBand="0" w:evenHBand="0" w:firstRowFirstColumn="0" w:firstRowLastColumn="0" w:lastRowFirstColumn="0" w:lastRowLastColumn="0"/>
            </w:pPr>
            <w:r w:rsidRPr="0042214E">
              <w:t xml:space="preserve">Tender estimate </w:t>
            </w:r>
            <w:r w:rsidRPr="0042214E">
              <w:br/>
            </w:r>
            <w:r w:rsidR="007F668A" w:rsidRPr="0042214E">
              <w:noBreakHyphen/>
            </w:r>
            <w:r w:rsidRPr="0042214E">
              <w:t>10% to +15%</w:t>
            </w:r>
          </w:p>
        </w:tc>
        <w:tc>
          <w:tcPr>
            <w:tcW w:w="3259" w:type="dxa"/>
            <w:shd w:val="clear" w:color="auto" w:fill="D9D9D9" w:themeFill="background1" w:themeFillShade="D9"/>
          </w:tcPr>
          <w:p w14:paraId="224F536D" w14:textId="649AB3EA" w:rsidR="00C078B2" w:rsidRPr="0042214E" w:rsidRDefault="00C078B2" w:rsidP="00C078B2">
            <w:pPr>
              <w:pStyle w:val="Tabletext"/>
              <w:cnfStyle w:val="000000000000" w:firstRow="0" w:lastRow="0" w:firstColumn="0" w:lastColumn="0" w:oddVBand="0" w:evenVBand="0" w:oddHBand="0" w:evenHBand="0" w:firstRowFirstColumn="0" w:firstRowLastColumn="0" w:lastRowFirstColumn="0" w:lastRowLastColumn="0"/>
            </w:pPr>
            <w:r w:rsidRPr="0042214E">
              <w:t xml:space="preserve">Prior to going to tender, design specifications will be developed in more detail </w:t>
            </w:r>
            <w:proofErr w:type="gramStart"/>
            <w:r w:rsidRPr="0042214E">
              <w:t>in order to</w:t>
            </w:r>
            <w:proofErr w:type="gramEnd"/>
            <w:r w:rsidRPr="0042214E">
              <w:t xml:space="preserve"> obtain tender bids. The estimate </w:t>
            </w:r>
            <w:r w:rsidR="00D004A7" w:rsidRPr="0042214E">
              <w:t xml:space="preserve">at </w:t>
            </w:r>
            <w:r w:rsidRPr="0042214E">
              <w:t>this stage is based on the specification and design development leading up to the tender process. Project design is likely to be in the order of 30 per cent to 70 per cent depending on the nature of the procurement approach.</w:t>
            </w:r>
          </w:p>
        </w:tc>
      </w:tr>
      <w:tr w:rsidR="00C078B2" w:rsidRPr="0042214E" w14:paraId="38C075FD" w14:textId="77777777" w:rsidTr="00C078B2">
        <w:trPr>
          <w:cantSplit/>
        </w:trPr>
        <w:tc>
          <w:tcPr>
            <w:cnfStyle w:val="001000000000" w:firstRow="0" w:lastRow="0" w:firstColumn="1" w:lastColumn="0" w:oddVBand="0" w:evenVBand="0" w:oddHBand="0" w:evenHBand="0" w:firstRowFirstColumn="0" w:firstRowLastColumn="0" w:lastRowFirstColumn="0" w:lastRowLastColumn="0"/>
            <w:tcW w:w="1753" w:type="dxa"/>
            <w:vMerge/>
            <w:shd w:val="clear" w:color="auto" w:fill="DBDCDE" w:themeFill="text2" w:themeFillTint="33"/>
          </w:tcPr>
          <w:p w14:paraId="32898EAD" w14:textId="77777777" w:rsidR="00C078B2" w:rsidRPr="0042214E" w:rsidRDefault="00C078B2" w:rsidP="000008A1">
            <w:pPr>
              <w:pStyle w:val="Tabletext"/>
              <w:rPr>
                <w:b/>
                <w:color w:val="005B9B"/>
                <w:sz w:val="18"/>
                <w:szCs w:val="18"/>
              </w:rPr>
            </w:pPr>
          </w:p>
        </w:tc>
        <w:tc>
          <w:tcPr>
            <w:tcW w:w="1710" w:type="dxa"/>
            <w:shd w:val="clear" w:color="auto" w:fill="DBDCDE" w:themeFill="text2" w:themeFillTint="33"/>
          </w:tcPr>
          <w:p w14:paraId="623360BB" w14:textId="77777777" w:rsidR="00C078B2" w:rsidRPr="0042214E" w:rsidRDefault="00C078B2" w:rsidP="000008A1">
            <w:pPr>
              <w:pStyle w:val="Tabletext"/>
              <w:cnfStyle w:val="000000000000" w:firstRow="0" w:lastRow="0" w:firstColumn="0" w:lastColumn="0" w:oddVBand="0" w:evenVBand="0" w:oddHBand="0" w:evenHBand="0" w:firstRowFirstColumn="0" w:firstRowLastColumn="0" w:lastRowFirstColumn="0" w:lastRowLastColumn="0"/>
            </w:pPr>
            <w:r w:rsidRPr="0042214E">
              <w:t>Negotiate contract price agreement</w:t>
            </w:r>
          </w:p>
        </w:tc>
        <w:tc>
          <w:tcPr>
            <w:tcW w:w="1800" w:type="dxa"/>
            <w:shd w:val="clear" w:color="auto" w:fill="D9D9D9" w:themeFill="background1" w:themeFillShade="D9"/>
          </w:tcPr>
          <w:p w14:paraId="6812D6A0" w14:textId="55520318" w:rsidR="00C078B2" w:rsidRPr="0042214E" w:rsidRDefault="00C078B2" w:rsidP="000008A1">
            <w:pPr>
              <w:pStyle w:val="Tabletext"/>
              <w:cnfStyle w:val="000000000000" w:firstRow="0" w:lastRow="0" w:firstColumn="0" w:lastColumn="0" w:oddVBand="0" w:evenVBand="0" w:oddHBand="0" w:evenHBand="0" w:firstRowFirstColumn="0" w:firstRowLastColumn="0" w:lastRowFirstColumn="0" w:lastRowLastColumn="0"/>
            </w:pPr>
            <w:r w:rsidRPr="0042214E">
              <w:t xml:space="preserve">Tender price/contract (excluding agency administration cost) </w:t>
            </w:r>
            <w:r w:rsidRPr="0042214E">
              <w:br/>
            </w:r>
            <w:r w:rsidR="007F668A" w:rsidRPr="0042214E">
              <w:noBreakHyphen/>
            </w:r>
            <w:r w:rsidRPr="0042214E">
              <w:t>5% to +10%</w:t>
            </w:r>
          </w:p>
        </w:tc>
        <w:tc>
          <w:tcPr>
            <w:tcW w:w="3259" w:type="dxa"/>
            <w:shd w:val="clear" w:color="auto" w:fill="D9D9D9" w:themeFill="background1" w:themeFillShade="D9"/>
          </w:tcPr>
          <w:p w14:paraId="35C09928" w14:textId="0B605662" w:rsidR="00C078B2" w:rsidRPr="0042214E" w:rsidRDefault="00C078B2" w:rsidP="00C078B2">
            <w:pPr>
              <w:pStyle w:val="Tabletext"/>
              <w:cnfStyle w:val="000000000000" w:firstRow="0" w:lastRow="0" w:firstColumn="0" w:lastColumn="0" w:oddVBand="0" w:evenVBand="0" w:oddHBand="0" w:evenHBand="0" w:firstRowFirstColumn="0" w:firstRowLastColumn="0" w:lastRowFirstColumn="0" w:lastRowLastColumn="0"/>
            </w:pPr>
            <w:r w:rsidRPr="0042214E">
              <w:t xml:space="preserve">The tender price or contract estimate is based on the agreed contract price following the tender process. Note that the project should maintain a contingency allowance that exceeds this contract sum </w:t>
            </w:r>
            <w:proofErr w:type="gramStart"/>
            <w:r w:rsidRPr="0042214E">
              <w:t>in order to</w:t>
            </w:r>
            <w:proofErr w:type="gramEnd"/>
            <w:r w:rsidRPr="0042214E">
              <w:t xml:space="preserve"> manage uncertainty and unallocated risks.</w:t>
            </w:r>
          </w:p>
        </w:tc>
      </w:tr>
    </w:tbl>
    <w:p w14:paraId="5377646A" w14:textId="35970B9B" w:rsidR="00176A04" w:rsidRPr="0042214E" w:rsidRDefault="00E15E2A" w:rsidP="005E1934">
      <w:pPr>
        <w:pStyle w:val="NormalIndent"/>
      </w:pPr>
      <w:r w:rsidRPr="0042214E">
        <w:t xml:space="preserve">To ensure agreement on cost estimates, contact DTF when developing cost estimates for investment proposals. </w:t>
      </w:r>
    </w:p>
    <w:p w14:paraId="758E117B" w14:textId="77777777" w:rsidR="00A111F3" w:rsidRPr="0042214E" w:rsidRDefault="00A111F3" w:rsidP="005E1934">
      <w:pPr>
        <w:pStyle w:val="Heading2numbered"/>
      </w:pPr>
      <w:bookmarkStart w:id="30" w:name="_Toc18568419"/>
      <w:bookmarkStart w:id="31" w:name="_Toc18568420"/>
      <w:bookmarkStart w:id="32" w:name="_Toc18568431"/>
      <w:bookmarkStart w:id="33" w:name="_Toc121415291"/>
      <w:bookmarkEnd w:id="30"/>
      <w:bookmarkEnd w:id="31"/>
      <w:bookmarkEnd w:id="32"/>
      <w:r w:rsidRPr="0042214E">
        <w:t>Gateway review at the business case stage</w:t>
      </w:r>
      <w:bookmarkEnd w:id="33"/>
    </w:p>
    <w:p w14:paraId="66419032" w14:textId="3E097D58" w:rsidR="00A111F3" w:rsidRPr="0042214E" w:rsidRDefault="00A111F3" w:rsidP="005E1934">
      <w:pPr>
        <w:pStyle w:val="NormalIndent"/>
      </w:pPr>
      <w:r w:rsidRPr="0042214E">
        <w:t xml:space="preserve">It is mandatory for HVHR investments to undertake </w:t>
      </w:r>
      <w:r w:rsidR="00AD3577" w:rsidRPr="0042214E">
        <w:t>G</w:t>
      </w:r>
      <w:r w:rsidRPr="0042214E">
        <w:t xml:space="preserve">ates 1 and </w:t>
      </w:r>
      <w:r w:rsidR="007433EF" w:rsidRPr="0042214E">
        <w:t>2</w:t>
      </w:r>
      <w:r w:rsidRPr="0042214E">
        <w:t xml:space="preserve"> review</w:t>
      </w:r>
      <w:r w:rsidR="00AD3577" w:rsidRPr="0042214E">
        <w:t>s</w:t>
      </w:r>
      <w:r w:rsidRPr="0042214E">
        <w:t xml:space="preserve"> at </w:t>
      </w:r>
      <w:r w:rsidR="004853A5" w:rsidRPr="003907D5">
        <w:t>S</w:t>
      </w:r>
      <w:r w:rsidRPr="003907D5">
        <w:t>tage</w:t>
      </w:r>
      <w:r w:rsidR="004853A5" w:rsidRPr="003907D5">
        <w:t xml:space="preserve"> 1: Business case</w:t>
      </w:r>
      <w:r w:rsidRPr="003907D5">
        <w:t>.</w:t>
      </w:r>
      <w:r w:rsidRPr="0042214E">
        <w:t xml:space="preserve"> Where a </w:t>
      </w:r>
      <w:r w:rsidR="00641F0E" w:rsidRPr="0042214E">
        <w:t xml:space="preserve">single </w:t>
      </w:r>
      <w:r w:rsidR="004853A5" w:rsidRPr="0042214E">
        <w:t xml:space="preserve">full </w:t>
      </w:r>
      <w:r w:rsidRPr="0042214E">
        <w:t xml:space="preserve">business case is being submitted for funding approval, </w:t>
      </w:r>
      <w:r w:rsidR="00744153" w:rsidRPr="0042214E">
        <w:t>G</w:t>
      </w:r>
      <w:r w:rsidRPr="0042214E">
        <w:t xml:space="preserve">ates 1 and </w:t>
      </w:r>
      <w:r w:rsidR="007433EF" w:rsidRPr="0042214E">
        <w:t>2</w:t>
      </w:r>
      <w:r w:rsidRPr="0042214E">
        <w:t xml:space="preserve"> are combined. Where a preliminary business case is being submitted, the project is required to undertake Gate 1 review prior to submission. </w:t>
      </w:r>
    </w:p>
    <w:p w14:paraId="7C45B962" w14:textId="2DE3ADFB" w:rsidR="00A111F3" w:rsidRPr="0042214E" w:rsidRDefault="00A111F3" w:rsidP="005E1934">
      <w:pPr>
        <w:pStyle w:val="NormalIndent"/>
      </w:pPr>
      <w:r w:rsidRPr="0042214E">
        <w:t xml:space="preserve">Gates 1 and </w:t>
      </w:r>
      <w:r w:rsidR="007433EF" w:rsidRPr="0042214E">
        <w:t>2</w:t>
      </w:r>
      <w:r w:rsidRPr="0042214E">
        <w:t xml:space="preserve"> reviews should take place once the business case is 80</w:t>
      </w:r>
      <w:r w:rsidR="00AB1521" w:rsidRPr="0042214E">
        <w:t xml:space="preserve"> per cent to </w:t>
      </w:r>
      <w:r w:rsidRPr="0042214E">
        <w:t>90</w:t>
      </w:r>
      <w:r w:rsidR="00AB1521" w:rsidRPr="0042214E">
        <w:t xml:space="preserve"> per cent </w:t>
      </w:r>
      <w:r w:rsidRPr="0042214E">
        <w:t xml:space="preserve">complete. It will examine the readiness and robustness of the business case documentation and investigate whether the project team has the capacity and capability to deliver the investment and transition to </w:t>
      </w:r>
      <w:r w:rsidRPr="003907D5">
        <w:t>Stage 2: Procurement</w:t>
      </w:r>
      <w:r w:rsidRPr="0042214E">
        <w:t>. Contact DTF’s Gateway Unit for further information.</w:t>
      </w:r>
    </w:p>
    <w:p w14:paraId="19E5E209" w14:textId="77777777" w:rsidR="00A111F3" w:rsidRPr="0042214E" w:rsidRDefault="00A111F3" w:rsidP="005E1934">
      <w:pPr>
        <w:pStyle w:val="Heading2numbered"/>
      </w:pPr>
      <w:bookmarkStart w:id="34" w:name="_Toc121415292"/>
      <w:r w:rsidRPr="0042214E">
        <w:t>HVHR deliverability assessment</w:t>
      </w:r>
      <w:bookmarkEnd w:id="34"/>
      <w:r w:rsidRPr="0042214E">
        <w:t xml:space="preserve"> </w:t>
      </w:r>
    </w:p>
    <w:p w14:paraId="231D2972" w14:textId="7340DEBB" w:rsidR="00A111F3" w:rsidRPr="0042214E" w:rsidRDefault="00A111F3" w:rsidP="005E1934">
      <w:pPr>
        <w:pStyle w:val="NormalIndent"/>
      </w:pPr>
      <w:r w:rsidRPr="0042214E">
        <w:t xml:space="preserve">DTF undertakes a deliverability assessment of HVHR projects for the Treasurer as part of the budget process. To facilitate this, departments </w:t>
      </w:r>
      <w:r w:rsidR="00D80621" w:rsidRPr="0042214E">
        <w:t xml:space="preserve">should </w:t>
      </w:r>
      <w:r w:rsidRPr="0042214E">
        <w:t>ensure:</w:t>
      </w:r>
    </w:p>
    <w:p w14:paraId="30CBBA67" w14:textId="72E0AD3A" w:rsidR="00A111F3" w:rsidRPr="0042214E" w:rsidRDefault="00A111F3" w:rsidP="00C078B2">
      <w:pPr>
        <w:pStyle w:val="Bulletindent"/>
      </w:pPr>
      <w:r w:rsidRPr="0042214E">
        <w:t xml:space="preserve">a Gateway review of the full business case has been </w:t>
      </w:r>
      <w:proofErr w:type="gramStart"/>
      <w:r w:rsidRPr="0042214E">
        <w:t>completed;</w:t>
      </w:r>
      <w:proofErr w:type="gramEnd"/>
      <w:r w:rsidRPr="0042214E">
        <w:t xml:space="preserve"> </w:t>
      </w:r>
    </w:p>
    <w:p w14:paraId="1E00F2F9" w14:textId="3E785FE6" w:rsidR="004645AE" w:rsidRPr="0042214E" w:rsidRDefault="00A111F3" w:rsidP="00C078B2">
      <w:pPr>
        <w:pStyle w:val="Bulletindent"/>
      </w:pPr>
      <w:bookmarkStart w:id="35" w:name="_Hlk19706288"/>
      <w:r w:rsidRPr="0042214E">
        <w:t>Recommend</w:t>
      </w:r>
      <w:r w:rsidR="00440874">
        <w:t>ation</w:t>
      </w:r>
      <w:r w:rsidRPr="0042214E">
        <w:t xml:space="preserve"> </w:t>
      </w:r>
      <w:r w:rsidR="00440874" w:rsidRPr="0042214E">
        <w:t xml:space="preserve">action plans </w:t>
      </w:r>
      <w:r w:rsidRPr="0042214E">
        <w:t>(</w:t>
      </w:r>
      <w:r w:rsidR="00AB1521" w:rsidRPr="0042214E">
        <w:t>RAPs</w:t>
      </w:r>
      <w:r w:rsidRPr="0042214E">
        <w:t xml:space="preserve">) for any red flag recommendations arising out of Gate 2 Gateway reviews </w:t>
      </w:r>
      <w:r w:rsidR="004645AE" w:rsidRPr="0042214E">
        <w:t xml:space="preserve">have been completed and submitted to </w:t>
      </w:r>
      <w:proofErr w:type="gramStart"/>
      <w:r w:rsidR="004645AE" w:rsidRPr="0042214E">
        <w:t>DTF</w:t>
      </w:r>
      <w:bookmarkEnd w:id="35"/>
      <w:r w:rsidR="004645AE" w:rsidRPr="0042214E">
        <w:t>;</w:t>
      </w:r>
      <w:proofErr w:type="gramEnd"/>
      <w:r w:rsidR="004645AE" w:rsidRPr="0042214E">
        <w:t xml:space="preserve"> and</w:t>
      </w:r>
    </w:p>
    <w:p w14:paraId="12BADFE8" w14:textId="01F3FAB0" w:rsidR="00A111F3" w:rsidRPr="0042214E" w:rsidRDefault="00A111F3" w:rsidP="00C078B2">
      <w:pPr>
        <w:pStyle w:val="Bulletindent"/>
      </w:pPr>
      <w:r w:rsidRPr="0042214E">
        <w:t>a full business case (or at least a draft full business case) ha</w:t>
      </w:r>
      <w:r w:rsidR="00EC115F" w:rsidRPr="0042214E">
        <w:t>s</w:t>
      </w:r>
      <w:r w:rsidRPr="0042214E">
        <w:t xml:space="preserve"> been completed and submitted to DTF for the Treasurer’s assessment of the business case’s robustness and deliverability.</w:t>
      </w:r>
    </w:p>
    <w:p w14:paraId="262C7CA2" w14:textId="77777777" w:rsidR="00A111F3" w:rsidRPr="0042214E" w:rsidRDefault="00A111F3" w:rsidP="005E1934">
      <w:pPr>
        <w:pStyle w:val="NormalIndent"/>
      </w:pPr>
      <w:r w:rsidRPr="0042214E">
        <w:t>To ensure there are no delays in the approval process, departments should engage early with DTF and submit drafts intermittently throughout the business case development process.</w:t>
      </w:r>
    </w:p>
    <w:p w14:paraId="57D8C7A5" w14:textId="77777777" w:rsidR="00E35F81" w:rsidRPr="00E35F81" w:rsidRDefault="00E35F81" w:rsidP="00E35F81">
      <w:r w:rsidRPr="00E35F81">
        <w:br w:type="page"/>
      </w:r>
    </w:p>
    <w:p w14:paraId="13B612EB" w14:textId="15862F7F" w:rsidR="00A111F3" w:rsidRPr="0042214E" w:rsidRDefault="00A111F3" w:rsidP="005E1934">
      <w:pPr>
        <w:pStyle w:val="Heading2numbered"/>
      </w:pPr>
      <w:bookmarkStart w:id="36" w:name="_Toc121415293"/>
      <w:r w:rsidRPr="0042214E">
        <w:lastRenderedPageBreak/>
        <w:t>Managing uncertainty</w:t>
      </w:r>
      <w:bookmarkEnd w:id="29"/>
      <w:bookmarkEnd w:id="36"/>
    </w:p>
    <w:p w14:paraId="6D4D0675" w14:textId="3053E8F1" w:rsidR="00A111F3" w:rsidRPr="0042214E" w:rsidRDefault="00A111F3" w:rsidP="005E1934">
      <w:pPr>
        <w:pStyle w:val="NormalIndent"/>
      </w:pPr>
      <w:r w:rsidRPr="0042214E">
        <w:t xml:space="preserve">Many of </w:t>
      </w:r>
      <w:r w:rsidR="00140FBA" w:rsidRPr="0042214E">
        <w:t>the G</w:t>
      </w:r>
      <w:r w:rsidRPr="0042214E">
        <w:t xml:space="preserve">overnment’s investments are vulnerable to </w:t>
      </w:r>
      <w:r w:rsidRPr="0042214E">
        <w:rPr>
          <w:b/>
          <w:i/>
        </w:rPr>
        <w:t>uncertainty</w:t>
      </w:r>
      <w:r w:rsidRPr="0042214E">
        <w:t xml:space="preserve">: external factors that are beyond the investor’s control, and that can impact the delivery of our intended investment outcomes. </w:t>
      </w:r>
    </w:p>
    <w:p w14:paraId="243A6E9B" w14:textId="3AC5E530" w:rsidR="00EC19A2" w:rsidRPr="0042214E" w:rsidRDefault="00EC19A2" w:rsidP="005E1934">
      <w:pPr>
        <w:pStyle w:val="NormalIndent"/>
      </w:pPr>
      <w:r w:rsidRPr="0042214E">
        <w:t>Examples of external uncertainties that may impact a project include:</w:t>
      </w:r>
    </w:p>
    <w:p w14:paraId="70B1EA73" w14:textId="197D481E" w:rsidR="00EC19A2" w:rsidRPr="0042214E" w:rsidRDefault="00AB1521" w:rsidP="00C078B2">
      <w:pPr>
        <w:pStyle w:val="Bulletindent"/>
      </w:pPr>
      <w:r w:rsidRPr="0042214E">
        <w:t xml:space="preserve">unpredictable </w:t>
      </w:r>
      <w:r w:rsidR="00EC19A2" w:rsidRPr="0042214E">
        <w:t xml:space="preserve">climate change, for example, the potential for tidal surges to damage infrastructure in coastal </w:t>
      </w:r>
      <w:proofErr w:type="gramStart"/>
      <w:r w:rsidR="00EC19A2" w:rsidRPr="0042214E">
        <w:t>regions</w:t>
      </w:r>
      <w:r w:rsidR="00E370B0" w:rsidRPr="0042214E">
        <w:t>;</w:t>
      </w:r>
      <w:proofErr w:type="gramEnd"/>
    </w:p>
    <w:p w14:paraId="747C3C2E" w14:textId="4D12A797" w:rsidR="00EC19A2" w:rsidRPr="0042214E" w:rsidRDefault="005A71F2" w:rsidP="00C078B2">
      <w:pPr>
        <w:pStyle w:val="Bulletindent"/>
      </w:pPr>
      <w:r w:rsidRPr="0042214E">
        <w:t xml:space="preserve">industrial </w:t>
      </w:r>
      <w:r w:rsidR="00EC19A2" w:rsidRPr="0042214E">
        <w:t xml:space="preserve">relations developments that materially impact on the investment </w:t>
      </w:r>
      <w:proofErr w:type="gramStart"/>
      <w:r w:rsidR="00EC19A2" w:rsidRPr="0042214E">
        <w:t>objectives</w:t>
      </w:r>
      <w:r w:rsidR="00E370B0" w:rsidRPr="0042214E">
        <w:t>;</w:t>
      </w:r>
      <w:proofErr w:type="gramEnd"/>
    </w:p>
    <w:p w14:paraId="5D1D9B08" w14:textId="730859DC" w:rsidR="00EC19A2" w:rsidRPr="0042214E" w:rsidRDefault="005A71F2" w:rsidP="00C078B2">
      <w:pPr>
        <w:pStyle w:val="Bulletindent"/>
      </w:pPr>
      <w:r w:rsidRPr="0042214E">
        <w:t xml:space="preserve">quantum </w:t>
      </w:r>
      <w:r w:rsidR="00EC19A2" w:rsidRPr="0042214E">
        <w:t xml:space="preserve">technology changes, particularly with ICT projects where the development cycle is short and competitive technologies may be developed to meet </w:t>
      </w:r>
      <w:proofErr w:type="gramStart"/>
      <w:r w:rsidR="00EC19A2" w:rsidRPr="0042214E">
        <w:t>demand</w:t>
      </w:r>
      <w:r w:rsidR="00E370B0" w:rsidRPr="0042214E">
        <w:t>;</w:t>
      </w:r>
      <w:proofErr w:type="gramEnd"/>
    </w:p>
    <w:p w14:paraId="53D17884" w14:textId="7116F7ED" w:rsidR="00EC19A2" w:rsidRPr="0042214E" w:rsidRDefault="005A71F2" w:rsidP="00C078B2">
      <w:pPr>
        <w:pStyle w:val="Bulletindent"/>
      </w:pPr>
      <w:r w:rsidRPr="0042214E">
        <w:t xml:space="preserve">global </w:t>
      </w:r>
      <w:r w:rsidR="00EC19A2" w:rsidRPr="0042214E">
        <w:t xml:space="preserve">systemic shifts, for example, the global financial crisis impacting on the risk allocations in public private </w:t>
      </w:r>
      <w:proofErr w:type="gramStart"/>
      <w:r w:rsidR="00EC19A2" w:rsidRPr="0042214E">
        <w:t>partnerships</w:t>
      </w:r>
      <w:r w:rsidR="00E370B0" w:rsidRPr="0042214E">
        <w:t>;</w:t>
      </w:r>
      <w:proofErr w:type="gramEnd"/>
    </w:p>
    <w:p w14:paraId="26094E66" w14:textId="5303102A" w:rsidR="00EC19A2" w:rsidRPr="0042214E" w:rsidRDefault="005A71F2" w:rsidP="00C078B2">
      <w:pPr>
        <w:pStyle w:val="Bulletindent"/>
      </w:pPr>
      <w:r w:rsidRPr="0042214E">
        <w:t xml:space="preserve">learning </w:t>
      </w:r>
      <w:r w:rsidR="00EC19A2" w:rsidRPr="0042214E">
        <w:t xml:space="preserve">from doing, which is sometimes experienced as more efficient and/or effective solutions of delivering services or constructing a project becoming evident during </w:t>
      </w:r>
      <w:proofErr w:type="gramStart"/>
      <w:r w:rsidR="00EC19A2" w:rsidRPr="0042214E">
        <w:t>implementation</w:t>
      </w:r>
      <w:r w:rsidR="00E370B0" w:rsidRPr="0042214E">
        <w:t>;</w:t>
      </w:r>
      <w:proofErr w:type="gramEnd"/>
    </w:p>
    <w:p w14:paraId="4E116EDA" w14:textId="681980D2" w:rsidR="00EC19A2" w:rsidRPr="0042214E" w:rsidRDefault="005A71F2" w:rsidP="00C078B2">
      <w:pPr>
        <w:pStyle w:val="Bulletindent"/>
      </w:pPr>
      <w:r w:rsidRPr="0042214E">
        <w:t xml:space="preserve">known </w:t>
      </w:r>
      <w:r w:rsidR="00EC19A2" w:rsidRPr="0042214E">
        <w:t>unknowns, for example, how tenderers may respond to carbon pricing</w:t>
      </w:r>
      <w:r w:rsidR="00E370B0" w:rsidRPr="0042214E">
        <w:t>; and</w:t>
      </w:r>
    </w:p>
    <w:p w14:paraId="2994DF78" w14:textId="68DA6A34" w:rsidR="00EC19A2" w:rsidRPr="0042214E" w:rsidRDefault="005A71F2" w:rsidP="00C078B2">
      <w:pPr>
        <w:pStyle w:val="Bulletindent"/>
      </w:pPr>
      <w:r w:rsidRPr="0042214E">
        <w:t xml:space="preserve">possible </w:t>
      </w:r>
      <w:r w:rsidR="00EC19A2" w:rsidRPr="0042214E">
        <w:t>future shifts in policy positions currently constraining feasible approaches, for example, policies in relation to using some price instruments and attitudes to indirect potable reuse of water.</w:t>
      </w:r>
    </w:p>
    <w:p w14:paraId="45094D3C" w14:textId="77777777" w:rsidR="00A111F3" w:rsidRPr="0042214E" w:rsidRDefault="00A111F3" w:rsidP="005E1934">
      <w:pPr>
        <w:pStyle w:val="NormalIndent"/>
      </w:pPr>
      <w:r w:rsidRPr="0042214E">
        <w:t>Agencies should assess the extent to which a proposal may be vulnerable to uncertainty. It should identify key sources of uncertainty, their potential impacts on the investment need, benefits and response options, and strategies for dealing with uncertainty effectively. DTF recommends using a triage process to undertake this assessment.</w:t>
      </w:r>
    </w:p>
    <w:p w14:paraId="7655233F" w14:textId="7BA9D522" w:rsidR="00E241AC" w:rsidRPr="0042214E" w:rsidRDefault="00A111F3" w:rsidP="003562AF">
      <w:pPr>
        <w:pStyle w:val="Caption"/>
        <w:ind w:left="792"/>
      </w:pPr>
      <w:r w:rsidRPr="0042214E">
        <w:lastRenderedPageBreak/>
        <w:t>Figure</w:t>
      </w:r>
      <w:r w:rsidR="00862547" w:rsidRPr="0042214E">
        <w:t xml:space="preserve"> 5</w:t>
      </w:r>
      <w:r w:rsidRPr="0042214E">
        <w:t>: Overview of the real options triage</w:t>
      </w:r>
      <w:r w:rsidRPr="0042214E">
        <w:rPr>
          <w:color w:val="000000" w:themeColor="text1"/>
        </w:rPr>
        <w:t xml:space="preserve"> </w:t>
      </w:r>
      <w:r w:rsidRPr="00440874">
        <w:t>process</w:t>
      </w:r>
    </w:p>
    <w:p w14:paraId="3372C26A" w14:textId="77777777" w:rsidR="00A111F3" w:rsidRPr="0042214E" w:rsidRDefault="00A111F3" w:rsidP="000008A1">
      <w:pPr>
        <w:pStyle w:val="NormalIndent"/>
      </w:pPr>
      <w:r w:rsidRPr="0042214E">
        <w:rPr>
          <w:noProof/>
          <w:lang w:eastAsia="en-US"/>
        </w:rPr>
        <mc:AlternateContent>
          <mc:Choice Requires="wpg">
            <w:drawing>
              <wp:inline distT="0" distB="0" distL="0" distR="0" wp14:anchorId="1B837911" wp14:editId="75040907">
                <wp:extent cx="5479386" cy="4716759"/>
                <wp:effectExtent l="0" t="0" r="26670" b="27305"/>
                <wp:docPr id="40" name="Group 7"/>
                <wp:cNvGraphicFramePr/>
                <a:graphic xmlns:a="http://schemas.openxmlformats.org/drawingml/2006/main">
                  <a:graphicData uri="http://schemas.microsoft.com/office/word/2010/wordprocessingGroup">
                    <wpg:wgp>
                      <wpg:cNvGrpSpPr/>
                      <wpg:grpSpPr>
                        <a:xfrm>
                          <a:off x="0" y="0"/>
                          <a:ext cx="5479386" cy="4716759"/>
                          <a:chOff x="0" y="0"/>
                          <a:chExt cx="5479386" cy="4716759"/>
                        </a:xfrm>
                      </wpg:grpSpPr>
                      <wps:wsp>
                        <wps:cNvPr id="41" name="Rectangle 41"/>
                        <wps:cNvSpPr/>
                        <wps:spPr>
                          <a:xfrm>
                            <a:off x="1422200" y="1148494"/>
                            <a:ext cx="4050408" cy="10440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4B9F15" w14:textId="554FB393" w:rsidR="00E170D5" w:rsidRPr="008E756A" w:rsidRDefault="00E170D5" w:rsidP="008E756A">
                              <w:pPr>
                                <w:pStyle w:val="Boxbullet"/>
                              </w:pPr>
                              <w:r w:rsidRPr="008E756A">
                                <w:t>What would the preferred investment strategy look like under different conditions and future state?</w:t>
                              </w:r>
                            </w:p>
                            <w:p w14:paraId="1B22AA7E" w14:textId="77777777" w:rsidR="00E170D5" w:rsidRPr="008E756A" w:rsidRDefault="00E170D5" w:rsidP="008E756A">
                              <w:pPr>
                                <w:pStyle w:val="Boxbullet"/>
                              </w:pPr>
                              <w:r w:rsidRPr="008E756A">
                                <w:t>Under what circumstances would the preferred investment strategy:</w:t>
                              </w:r>
                            </w:p>
                            <w:p w14:paraId="1BF370A7" w14:textId="77777777" w:rsidR="00E170D5" w:rsidRPr="008E756A" w:rsidRDefault="00E170D5" w:rsidP="008E756A">
                              <w:pPr>
                                <w:pStyle w:val="Boxdash"/>
                              </w:pPr>
                              <w:r w:rsidRPr="008E756A">
                                <w:t xml:space="preserve">no longer offer the best value for </w:t>
                              </w:r>
                              <w:proofErr w:type="gramStart"/>
                              <w:r w:rsidRPr="008E756A">
                                <w:t>money;</w:t>
                              </w:r>
                              <w:proofErr w:type="gramEnd"/>
                            </w:p>
                            <w:p w14:paraId="65357814" w14:textId="16016599" w:rsidR="00E170D5" w:rsidRPr="008E756A" w:rsidRDefault="00E170D5" w:rsidP="008E756A">
                              <w:pPr>
                                <w:pStyle w:val="Boxdash"/>
                              </w:pPr>
                              <w:r w:rsidRPr="008E756A">
                                <w:t xml:space="preserve">no longer achieve the </w:t>
                              </w:r>
                              <w:proofErr w:type="gramStart"/>
                              <w:r w:rsidRPr="008E756A">
                                <w:t>intended;</w:t>
                              </w:r>
                              <w:proofErr w:type="gramEnd"/>
                              <w:r w:rsidRPr="008E756A">
                                <w:t xml:space="preserve"> </w:t>
                              </w:r>
                            </w:p>
                            <w:p w14:paraId="1891C8A1" w14:textId="77777777" w:rsidR="00E170D5" w:rsidRPr="008E756A" w:rsidRDefault="00E170D5" w:rsidP="008E756A">
                              <w:pPr>
                                <w:pStyle w:val="Boxdash"/>
                              </w:pPr>
                              <w:r w:rsidRPr="008E756A">
                                <w:t>be less effective than a different approach; and/or</w:t>
                              </w:r>
                            </w:p>
                            <w:p w14:paraId="45E62497" w14:textId="45C7AF02" w:rsidR="00E170D5" w:rsidRPr="008E756A" w:rsidRDefault="00E170D5" w:rsidP="008E756A">
                              <w:pPr>
                                <w:pStyle w:val="Boxdash"/>
                              </w:pPr>
                              <w:r w:rsidRPr="008E756A">
                                <w:t>be regretted</w:t>
                              </w:r>
                              <w:r w:rsidRPr="008E756A">
                                <w:rPr>
                                  <w:rFonts w:ascii="Arial" w:cs="Arial"/>
                                </w:rPr>
                                <w:t>?</w:t>
                              </w:r>
                            </w:p>
                          </w:txbxContent>
                        </wps:txbx>
                        <wps:bodyPr tIns="0" bIns="0" rtlCol="0" anchor="ctr" anchorCtr="0"/>
                      </wps:wsp>
                      <wps:wsp>
                        <wps:cNvPr id="42" name="Rectangle 42"/>
                        <wps:cNvSpPr/>
                        <wps:spPr>
                          <a:xfrm>
                            <a:off x="0" y="1269063"/>
                            <a:ext cx="1484087" cy="80931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67C0A" w14:textId="77777777" w:rsidR="00E170D5" w:rsidRPr="000008A1" w:rsidRDefault="00E170D5" w:rsidP="000008A1">
                              <w:pPr>
                                <w:spacing w:before="0" w:after="0" w:line="264" w:lineRule="auto"/>
                                <w:jc w:val="center"/>
                                <w:rPr>
                                  <w:b/>
                                  <w:sz w:val="18"/>
                                  <w:szCs w:val="18"/>
                                </w:rPr>
                              </w:pPr>
                              <w:r w:rsidRPr="000008A1">
                                <w:rPr>
                                  <w:b/>
                                  <w:sz w:val="18"/>
                                  <w:szCs w:val="18"/>
                                </w:rPr>
                                <w:t>Identify how these uncertainties are likely to impact the preferred investment strategy</w:t>
                              </w:r>
                            </w:p>
                          </w:txbxContent>
                        </wps:txbx>
                        <wps:bodyPr lIns="0" rIns="0" rtlCol="0" anchor="ctr"/>
                      </wps:wsp>
                      <wps:wsp>
                        <wps:cNvPr id="43" name="Rectangle 43"/>
                        <wps:cNvSpPr/>
                        <wps:spPr>
                          <a:xfrm>
                            <a:off x="1422199" y="0"/>
                            <a:ext cx="4050409" cy="9720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A15489" w14:textId="77777777" w:rsidR="00E170D5" w:rsidRPr="000008A1" w:rsidRDefault="00E170D5" w:rsidP="008E756A">
                              <w:pPr>
                                <w:pStyle w:val="Boxbullet"/>
                              </w:pPr>
                              <w:r w:rsidRPr="000008A1">
                                <w:t xml:space="preserve">What externalities could impact the investment need or demand for a service, </w:t>
                              </w:r>
                              <w:r w:rsidRPr="008E756A">
                                <w:t>the</w:t>
                              </w:r>
                              <w:r w:rsidRPr="000008A1">
                                <w:t xml:space="preserve"> preferred response, solution implementation or benefits </w:t>
                              </w:r>
                              <w:proofErr w:type="spellStart"/>
                              <w:r w:rsidRPr="000008A1">
                                <w:t>realisation</w:t>
                              </w:r>
                              <w:proofErr w:type="spellEnd"/>
                              <w:r w:rsidRPr="000008A1">
                                <w:t>?</w:t>
                              </w:r>
                            </w:p>
                            <w:p w14:paraId="6E3501DB" w14:textId="77777777" w:rsidR="00E170D5" w:rsidRPr="000008A1" w:rsidRDefault="00E170D5" w:rsidP="008E756A">
                              <w:pPr>
                                <w:pStyle w:val="Boxbullet"/>
                              </w:pPr>
                              <w:r w:rsidRPr="000008A1">
                                <w:t>Could any of the uncertainties materially impact the business case assumptions and assumed future state?</w:t>
                              </w:r>
                            </w:p>
                          </w:txbxContent>
                        </wps:txbx>
                        <wps:bodyPr tIns="0" bIns="0" rtlCol="0" anchor="ctr" anchorCtr="0"/>
                      </wps:wsp>
                      <wps:wsp>
                        <wps:cNvPr id="44" name="Rectangle 44"/>
                        <wps:cNvSpPr/>
                        <wps:spPr>
                          <a:xfrm>
                            <a:off x="0" y="102205"/>
                            <a:ext cx="1476436" cy="80931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51298" w14:textId="132CEF02" w:rsidR="00E170D5" w:rsidRPr="000008A1" w:rsidRDefault="00E170D5" w:rsidP="000008A1">
                              <w:pPr>
                                <w:spacing w:before="0" w:after="0" w:line="264" w:lineRule="auto"/>
                                <w:jc w:val="center"/>
                                <w:rPr>
                                  <w:b/>
                                  <w:sz w:val="18"/>
                                  <w:szCs w:val="18"/>
                                </w:rPr>
                              </w:pPr>
                              <w:r w:rsidRPr="000008A1">
                                <w:rPr>
                                  <w:b/>
                                  <w:sz w:val="18"/>
                                  <w:szCs w:val="18"/>
                                </w:rPr>
                                <w:t>Identify the primary sources of uncertainty that could impact the investment</w:t>
                              </w:r>
                            </w:p>
                          </w:txbxContent>
                        </wps:txbx>
                        <wps:bodyPr lIns="0" rIns="0" rtlCol="0" anchor="ctr"/>
                      </wps:wsp>
                      <wps:wsp>
                        <wps:cNvPr id="45" name="Rectangle 45"/>
                        <wps:cNvSpPr/>
                        <wps:spPr>
                          <a:xfrm>
                            <a:off x="1429386" y="3744759"/>
                            <a:ext cx="4050000" cy="9720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6F137" w14:textId="5A7A155C" w:rsidR="00E170D5" w:rsidRPr="004A0E28" w:rsidRDefault="00E170D5" w:rsidP="003562AF">
                              <w:pPr>
                                <w:pStyle w:val="NormalWeb"/>
                                <w:tabs>
                                  <w:tab w:val="left" w:pos="3510"/>
                                </w:tabs>
                                <w:spacing w:before="60" w:after="0"/>
                                <w:ind w:left="144"/>
                                <w:contextualSpacing/>
                                <w:rPr>
                                  <w:color w:val="000000" w:themeColor="text1"/>
                                </w:rPr>
                              </w:pPr>
                              <w:r>
                                <w:rPr>
                                  <w:rFonts w:asciiTheme="minorHAnsi" w:hAnsi="Arial" w:cstheme="minorBidi"/>
                                  <w:b/>
                                  <w:bCs/>
                                  <w:color w:val="000000" w:themeColor="text1"/>
                                  <w:kern w:val="24"/>
                                  <w:sz w:val="18"/>
                                  <w:szCs w:val="18"/>
                                </w:rPr>
                                <w:t>An event(s) or change</w:t>
                              </w:r>
                              <w:r w:rsidRPr="004A0E28">
                                <w:rPr>
                                  <w:rFonts w:asciiTheme="minorHAnsi" w:hAnsi="Arial" w:cstheme="minorBidi"/>
                                  <w:b/>
                                  <w:bCs/>
                                  <w:color w:val="000000" w:themeColor="text1"/>
                                  <w:kern w:val="24"/>
                                  <w:sz w:val="18"/>
                                  <w:szCs w:val="18"/>
                                </w:rPr>
                                <w:t xml:space="preserve"> of conditions</w:t>
                              </w:r>
                              <w:r w:rsidRPr="004A0E28">
                                <w:rPr>
                                  <w:rFonts w:asciiTheme="minorHAnsi" w:hAnsi="Arial" w:cstheme="minorBidi"/>
                                  <w:color w:val="000000" w:themeColor="text1"/>
                                  <w:kern w:val="24"/>
                                  <w:sz w:val="18"/>
                                  <w:szCs w:val="18"/>
                                </w:rPr>
                                <w:t xml:space="preserve">. </w:t>
                              </w:r>
                              <w:r>
                                <w:rPr>
                                  <w:rFonts w:asciiTheme="minorHAnsi" w:hAnsi="Arial" w:cstheme="minorBidi"/>
                                  <w:color w:val="000000" w:themeColor="text1"/>
                                  <w:kern w:val="24"/>
                                  <w:sz w:val="18"/>
                                  <w:szCs w:val="18"/>
                                </w:rPr>
                                <w:tab/>
                              </w:r>
                              <w:r w:rsidRPr="004A0E28">
                                <w:rPr>
                                  <w:rFonts w:asciiTheme="minorHAnsi" w:hAnsi="Arial" w:cstheme="minorBidi"/>
                                  <w:color w:val="000000" w:themeColor="text1"/>
                                  <w:kern w:val="24"/>
                                  <w:sz w:val="18"/>
                                  <w:szCs w:val="18"/>
                                </w:rPr>
                                <w:t>Examples include:</w:t>
                              </w:r>
                            </w:p>
                            <w:p w14:paraId="3B9093F7" w14:textId="1DE822D6" w:rsidR="00E170D5" w:rsidRPr="000008A1" w:rsidRDefault="00E170D5" w:rsidP="008E756A">
                              <w:pPr>
                                <w:pStyle w:val="Boxbullet"/>
                              </w:pPr>
                              <w:r w:rsidRPr="008E756A">
                                <w:t>Population</w:t>
                              </w:r>
                              <w:r w:rsidRPr="000008A1">
                                <w:t xml:space="preserve"> increase or decrease</w:t>
                              </w:r>
                              <w:r w:rsidRPr="000008A1">
                                <w:tab/>
                              </w:r>
                              <w:r w:rsidRPr="000008A1">
                                <w:rPr>
                                  <w:sz w:val="16"/>
                                  <w:szCs w:val="16"/>
                                </w:rPr>
                                <w:sym w:font="Wingdings 2" w:char="F097"/>
                              </w:r>
                              <w:r w:rsidRPr="000008A1">
                                <w:tab/>
                              </w:r>
                              <w:proofErr w:type="spellStart"/>
                              <w:r w:rsidRPr="000008A1">
                                <w:t>Globalisation</w:t>
                              </w:r>
                              <w:proofErr w:type="spellEnd"/>
                              <w:r w:rsidRPr="000008A1">
                                <w:t xml:space="preserve"> isolation</w:t>
                              </w:r>
                            </w:p>
                            <w:p w14:paraId="34893210" w14:textId="5C15A071" w:rsidR="00E170D5" w:rsidRPr="000008A1" w:rsidRDefault="00E170D5" w:rsidP="008E756A">
                              <w:pPr>
                                <w:pStyle w:val="Boxbullet"/>
                              </w:pPr>
                              <w:r w:rsidRPr="000008A1">
                                <w:t>Change to demographic makeup</w:t>
                              </w:r>
                              <w:r w:rsidRPr="000008A1">
                                <w:tab/>
                              </w:r>
                              <w:r w:rsidRPr="000008A1">
                                <w:rPr>
                                  <w:sz w:val="16"/>
                                  <w:szCs w:val="16"/>
                                </w:rPr>
                                <w:sym w:font="Wingdings 2" w:char="F097"/>
                              </w:r>
                              <w:r w:rsidRPr="000008A1">
                                <w:tab/>
                                <w:t>Climate change</w:t>
                              </w:r>
                            </w:p>
                            <w:p w14:paraId="0E5266A8" w14:textId="44B8FF12" w:rsidR="00E170D5" w:rsidRPr="000008A1" w:rsidRDefault="00E170D5" w:rsidP="008E756A">
                              <w:pPr>
                                <w:pStyle w:val="Boxbullet"/>
                              </w:pPr>
                              <w:r w:rsidRPr="000008A1">
                                <w:t xml:space="preserve">Economic </w:t>
                              </w:r>
                              <w:r w:rsidRPr="008E756A">
                                <w:t>downturn</w:t>
                              </w:r>
                              <w:r w:rsidRPr="000008A1">
                                <w:t>/upturn</w:t>
                              </w:r>
                              <w:r w:rsidRPr="000008A1">
                                <w:tab/>
                              </w:r>
                              <w:r w:rsidRPr="000008A1">
                                <w:rPr>
                                  <w:sz w:val="16"/>
                                  <w:szCs w:val="16"/>
                                </w:rPr>
                                <w:sym w:font="Wingdings 2" w:char="F097"/>
                              </w:r>
                              <w:r w:rsidRPr="000008A1">
                                <w:tab/>
                                <w:t>Switch in technology</w:t>
                              </w:r>
                            </w:p>
                            <w:p w14:paraId="0A390284" w14:textId="081E1E39" w:rsidR="00E170D5" w:rsidRPr="000008A1" w:rsidRDefault="00E170D5" w:rsidP="008E756A">
                              <w:pPr>
                                <w:pStyle w:val="Boxbullet"/>
                              </w:pPr>
                              <w:r w:rsidRPr="000008A1">
                                <w:t>Failure of project interdependency</w:t>
                              </w:r>
                              <w:r w:rsidRPr="000008A1">
                                <w:tab/>
                              </w:r>
                              <w:r w:rsidRPr="000008A1">
                                <w:rPr>
                                  <w:sz w:val="16"/>
                                  <w:szCs w:val="16"/>
                                </w:rPr>
                                <w:sym w:font="Wingdings 2" w:char="F097"/>
                              </w:r>
                              <w:r w:rsidRPr="000008A1">
                                <w:tab/>
                                <w:t>New market participant</w:t>
                              </w:r>
                            </w:p>
                          </w:txbxContent>
                        </wps:txbx>
                        <wps:bodyPr tIns="0" bIns="0" rtlCol="0" anchor="t" anchorCtr="0"/>
                      </wps:wsp>
                      <wps:wsp>
                        <wps:cNvPr id="46" name="Rectangle 46"/>
                        <wps:cNvSpPr/>
                        <wps:spPr>
                          <a:xfrm>
                            <a:off x="12700" y="3820878"/>
                            <a:ext cx="1503973" cy="80931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22405E" w14:textId="77777777" w:rsidR="00E170D5" w:rsidRPr="000008A1" w:rsidRDefault="00E170D5" w:rsidP="000008A1">
                              <w:pPr>
                                <w:spacing w:before="0" w:after="0" w:line="264" w:lineRule="auto"/>
                                <w:jc w:val="center"/>
                                <w:rPr>
                                  <w:b/>
                                  <w:sz w:val="18"/>
                                  <w:szCs w:val="18"/>
                                </w:rPr>
                              </w:pPr>
                              <w:r w:rsidRPr="000008A1">
                                <w:rPr>
                                  <w:b/>
                                  <w:sz w:val="18"/>
                                  <w:szCs w:val="18"/>
                                </w:rPr>
                                <w:t>Identify trigger points that would prompt a decision to take a different course of action</w:t>
                              </w:r>
                            </w:p>
                          </w:txbxContent>
                        </wps:txbx>
                        <wps:bodyPr lIns="0" rIns="0" rtlCol="0" anchor="ctr"/>
                      </wps:wsp>
                      <wps:wsp>
                        <wps:cNvPr id="47" name="Rectangle 47"/>
                        <wps:cNvSpPr/>
                        <wps:spPr>
                          <a:xfrm>
                            <a:off x="1429068" y="2369422"/>
                            <a:ext cx="4050000" cy="1247668"/>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0C3BC0" w14:textId="52970163" w:rsidR="00E170D5" w:rsidRPr="004A0E28" w:rsidRDefault="00E170D5" w:rsidP="008E756A">
                              <w:pPr>
                                <w:pStyle w:val="Boxbullet"/>
                              </w:pPr>
                              <w:r>
                                <w:t>If</w:t>
                              </w:r>
                              <w:r w:rsidRPr="004A0E28">
                                <w:t xml:space="preserve"> conditions or assumptions do not turn out as expect</w:t>
                              </w:r>
                              <w:r>
                                <w:t>ed</w:t>
                              </w:r>
                              <w:r w:rsidRPr="004A0E28">
                                <w:t xml:space="preserve">, what </w:t>
                              </w:r>
                              <w:r w:rsidRPr="000008A1">
                                <w:t>actions</w:t>
                              </w:r>
                              <w:r w:rsidRPr="004A0E28">
                                <w:t xml:space="preserve"> would </w:t>
                              </w:r>
                              <w:r>
                                <w:t>be</w:t>
                              </w:r>
                              <w:r w:rsidRPr="004A0E28">
                                <w:t xml:space="preserve"> take</w:t>
                              </w:r>
                              <w:r>
                                <w:t>n</w:t>
                              </w:r>
                              <w:r w:rsidRPr="004A0E28">
                                <w:t xml:space="preserve"> to adapt </w:t>
                              </w:r>
                              <w:r>
                                <w:t>the</w:t>
                              </w:r>
                              <w:r w:rsidRPr="004A0E28">
                                <w:t xml:space="preserve"> project to suit prevailing conditions? Examples include:</w:t>
                              </w:r>
                            </w:p>
                            <w:p w14:paraId="215D1A48" w14:textId="26F7243C" w:rsidR="00E170D5" w:rsidRPr="000008A1" w:rsidRDefault="00E170D5" w:rsidP="008E756A">
                              <w:pPr>
                                <w:pStyle w:val="Boxdash"/>
                              </w:pPr>
                              <w:r>
                                <w:t>d</w:t>
                              </w:r>
                              <w:r w:rsidRPr="000008A1">
                                <w:t xml:space="preserve">elaying or staging investment until there is greater </w:t>
                              </w:r>
                              <w:proofErr w:type="gramStart"/>
                              <w:r w:rsidRPr="000008A1">
                                <w:t>certainty</w:t>
                              </w:r>
                              <w:r>
                                <w:t>;</w:t>
                              </w:r>
                              <w:proofErr w:type="gramEnd"/>
                            </w:p>
                            <w:p w14:paraId="0BC5F45B" w14:textId="6A55603C" w:rsidR="00E170D5" w:rsidRPr="000008A1" w:rsidRDefault="00E170D5" w:rsidP="008E756A">
                              <w:pPr>
                                <w:pStyle w:val="Boxdash"/>
                              </w:pPr>
                              <w:r>
                                <w:t>e</w:t>
                              </w:r>
                              <w:r w:rsidRPr="000008A1">
                                <w:t xml:space="preserve">xpanding or reducing capacity to suit changes in </w:t>
                              </w:r>
                              <w:proofErr w:type="gramStart"/>
                              <w:r w:rsidRPr="000008A1">
                                <w:t>demand</w:t>
                              </w:r>
                              <w:r>
                                <w:t>;</w:t>
                              </w:r>
                              <w:proofErr w:type="gramEnd"/>
                            </w:p>
                            <w:p w14:paraId="443C0360" w14:textId="0083637E" w:rsidR="00E170D5" w:rsidRPr="000008A1" w:rsidRDefault="00E170D5" w:rsidP="008E756A">
                              <w:pPr>
                                <w:pStyle w:val="Boxdash"/>
                              </w:pPr>
                              <w:r>
                                <w:t>s</w:t>
                              </w:r>
                              <w:r w:rsidRPr="000008A1">
                                <w:t xml:space="preserve">witching inputs/outputs to suit changes in demand or </w:t>
                              </w:r>
                              <w:proofErr w:type="gramStart"/>
                              <w:r w:rsidRPr="000008A1">
                                <w:t>supply</w:t>
                              </w:r>
                              <w:r>
                                <w:t>;</w:t>
                              </w:r>
                              <w:proofErr w:type="gramEnd"/>
                            </w:p>
                            <w:p w14:paraId="4D5A5C2E" w14:textId="398BA9D3" w:rsidR="00E170D5" w:rsidRPr="000008A1" w:rsidRDefault="00E170D5" w:rsidP="008E756A">
                              <w:pPr>
                                <w:pStyle w:val="Boxdash"/>
                              </w:pPr>
                              <w:r>
                                <w:t>a</w:t>
                              </w:r>
                              <w:r w:rsidRPr="000008A1">
                                <w:t>bandoning the investment</w:t>
                              </w:r>
                              <w:r>
                                <w:t>; and/or</w:t>
                              </w:r>
                            </w:p>
                            <w:p w14:paraId="1E8F368A" w14:textId="18A9752D" w:rsidR="00E170D5" w:rsidRPr="003562AF" w:rsidRDefault="00E170D5" w:rsidP="008E756A">
                              <w:pPr>
                                <w:pStyle w:val="Boxdash"/>
                              </w:pPr>
                              <w:r>
                                <w:t>i</w:t>
                              </w:r>
                              <w:r w:rsidRPr="003562AF">
                                <w:t>ncreasing design flexibility to add greater resilience.</w:t>
                              </w:r>
                            </w:p>
                          </w:txbxContent>
                        </wps:txbx>
                        <wps:bodyPr tIns="0" rIns="0" bIns="0" rtlCol="0" anchor="t" anchorCtr="0"/>
                      </wps:wsp>
                      <wps:wsp>
                        <wps:cNvPr id="48" name="Rectangle 48"/>
                        <wps:cNvSpPr/>
                        <wps:spPr>
                          <a:xfrm>
                            <a:off x="12700" y="2478424"/>
                            <a:ext cx="1496322" cy="88139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2C2033" w14:textId="7C5F900F" w:rsidR="00E170D5" w:rsidRPr="000008A1" w:rsidRDefault="00E170D5" w:rsidP="000008A1">
                              <w:pPr>
                                <w:spacing w:before="0" w:after="0" w:line="264" w:lineRule="auto"/>
                                <w:jc w:val="center"/>
                                <w:rPr>
                                  <w:b/>
                                  <w:sz w:val="18"/>
                                  <w:szCs w:val="18"/>
                                </w:rPr>
                              </w:pPr>
                              <w:r w:rsidRPr="000008A1">
                                <w:rPr>
                                  <w:b/>
                                  <w:sz w:val="18"/>
                                  <w:szCs w:val="18"/>
                                </w:rPr>
                                <w:t>Identify how to increase the investment strategy’s flexibility to better deal with uncertainty</w:t>
                              </w:r>
                            </w:p>
                          </w:txbxContent>
                        </wps:txbx>
                        <wps:bodyPr lIns="0" rIns="0" rtlCol="0" anchor="ctr"/>
                      </wps:wsp>
                    </wpg:wgp>
                  </a:graphicData>
                </a:graphic>
              </wp:inline>
            </w:drawing>
          </mc:Choice>
          <mc:Fallback>
            <w:pict>
              <v:group w14:anchorId="1B837911" id="Group 7" o:spid="_x0000_s1027" style="width:431.45pt;height:371.4pt;mso-position-horizontal-relative:char;mso-position-vertical-relative:line" coordsize="54793,4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">
                <v:rect id="Rectangle 41" o:spid="_x0000_s1028" style="position:absolute;left:14222;top:11484;width:40504;height:10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" filled="f" strokecolor="#e57200 [3205]" strokeweight="2pt">
                  <v:textbox inset=",0,,0">
                    <w:txbxContent>
                      <w:p w14:paraId="274B9F15" w14:textId="554FB393" w:rsidR="00E170D5" w:rsidRPr="008E756A" w:rsidRDefault="00E170D5" w:rsidP="008E756A">
                        <w:pPr>
                          <w:pStyle w:val="Boxbullet"/>
                        </w:pPr>
                        <w:r w:rsidRPr="008E756A">
                          <w:t>What would the preferred investment strategy look like under different conditions and future state?</w:t>
                        </w:r>
                      </w:p>
                      <w:p w14:paraId="1B22AA7E" w14:textId="77777777" w:rsidR="00E170D5" w:rsidRPr="008E756A" w:rsidRDefault="00E170D5" w:rsidP="008E756A">
                        <w:pPr>
                          <w:pStyle w:val="Boxbullet"/>
                        </w:pPr>
                        <w:r w:rsidRPr="008E756A">
                          <w:t>Under what circumstances would the preferred investment strategy:</w:t>
                        </w:r>
                      </w:p>
                      <w:p w14:paraId="1BF370A7" w14:textId="77777777" w:rsidR="00E170D5" w:rsidRPr="008E756A" w:rsidRDefault="00E170D5" w:rsidP="008E756A">
                        <w:pPr>
                          <w:pStyle w:val="Boxdash"/>
                        </w:pPr>
                        <w:r w:rsidRPr="008E756A">
                          <w:t xml:space="preserve">no longer offer the best value for </w:t>
                        </w:r>
                        <w:proofErr w:type="gramStart"/>
                        <w:r w:rsidRPr="008E756A">
                          <w:t>money;</w:t>
                        </w:r>
                        <w:proofErr w:type="gramEnd"/>
                      </w:p>
                      <w:p w14:paraId="65357814" w14:textId="16016599" w:rsidR="00E170D5" w:rsidRPr="008E756A" w:rsidRDefault="00E170D5" w:rsidP="008E756A">
                        <w:pPr>
                          <w:pStyle w:val="Boxdash"/>
                        </w:pPr>
                        <w:r w:rsidRPr="008E756A">
                          <w:t xml:space="preserve">no longer achieve the </w:t>
                        </w:r>
                        <w:proofErr w:type="gramStart"/>
                        <w:r w:rsidRPr="008E756A">
                          <w:t>intended;</w:t>
                        </w:r>
                        <w:proofErr w:type="gramEnd"/>
                        <w:r w:rsidRPr="008E756A">
                          <w:t xml:space="preserve"> </w:t>
                        </w:r>
                      </w:p>
                      <w:p w14:paraId="1891C8A1" w14:textId="77777777" w:rsidR="00E170D5" w:rsidRPr="008E756A" w:rsidRDefault="00E170D5" w:rsidP="008E756A">
                        <w:pPr>
                          <w:pStyle w:val="Boxdash"/>
                        </w:pPr>
                        <w:r w:rsidRPr="008E756A">
                          <w:t>be less effective than a different approach; and/or</w:t>
                        </w:r>
                      </w:p>
                      <w:p w14:paraId="45E62497" w14:textId="45C7AF02" w:rsidR="00E170D5" w:rsidRPr="008E756A" w:rsidRDefault="00E170D5" w:rsidP="008E756A">
                        <w:pPr>
                          <w:pStyle w:val="Boxdash"/>
                        </w:pPr>
                        <w:r w:rsidRPr="008E756A">
                          <w:t>be regretted</w:t>
                        </w:r>
                        <w:r w:rsidRPr="008E756A">
                          <w:rPr>
                            <w:rFonts w:ascii="Arial" w:cs="Arial"/>
                          </w:rPr>
                          <w:t>?</w:t>
                        </w:r>
                      </w:p>
                    </w:txbxContent>
                  </v:textbox>
                </v:rect>
                <v:rect id="Rectangle 42" o:spid="_x0000_s1029" style="position:absolute;top:12690;width:14840;height:8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" fillcolor="#e57200 [3205]" stroked="f" strokeweight="2pt">
                  <v:textbox inset="0,,0">
                    <w:txbxContent>
                      <w:p w14:paraId="29167C0A" w14:textId="77777777" w:rsidR="00E170D5" w:rsidRPr="000008A1" w:rsidRDefault="00E170D5" w:rsidP="000008A1">
                        <w:pPr>
                          <w:spacing w:before="0" w:after="0" w:line="264" w:lineRule="auto"/>
                          <w:jc w:val="center"/>
                          <w:rPr>
                            <w:b/>
                            <w:sz w:val="18"/>
                            <w:szCs w:val="18"/>
                          </w:rPr>
                        </w:pPr>
                        <w:r w:rsidRPr="000008A1">
                          <w:rPr>
                            <w:b/>
                            <w:sz w:val="18"/>
                            <w:szCs w:val="18"/>
                          </w:rPr>
                          <w:t>Identify how these uncertainties are likely to impact the preferred investment strategy</w:t>
                        </w:r>
                      </w:p>
                    </w:txbxContent>
                  </v:textbox>
                </v:rect>
                <v:rect id="Rectangle 43" o:spid="_x0000_s1030" style="position:absolute;left:14221;width:40505;height:9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" filled="f" strokecolor="#e57200 [3205]" strokeweight="2pt">
                  <v:textbox inset=",0,,0">
                    <w:txbxContent>
                      <w:p w14:paraId="5EA15489" w14:textId="77777777" w:rsidR="00E170D5" w:rsidRPr="000008A1" w:rsidRDefault="00E170D5" w:rsidP="008E756A">
                        <w:pPr>
                          <w:pStyle w:val="Boxbullet"/>
                        </w:pPr>
                        <w:r w:rsidRPr="000008A1">
                          <w:t xml:space="preserve">What externalities could impact the investment need or demand for a service, </w:t>
                        </w:r>
                        <w:r w:rsidRPr="008E756A">
                          <w:t>the</w:t>
                        </w:r>
                        <w:r w:rsidRPr="000008A1">
                          <w:t xml:space="preserve"> preferred response, solution implementation or benefits </w:t>
                        </w:r>
                        <w:proofErr w:type="spellStart"/>
                        <w:r w:rsidRPr="000008A1">
                          <w:t>realisation</w:t>
                        </w:r>
                        <w:proofErr w:type="spellEnd"/>
                        <w:r w:rsidRPr="000008A1">
                          <w:t>?</w:t>
                        </w:r>
                      </w:p>
                      <w:p w14:paraId="6E3501DB" w14:textId="77777777" w:rsidR="00E170D5" w:rsidRPr="000008A1" w:rsidRDefault="00E170D5" w:rsidP="008E756A">
                        <w:pPr>
                          <w:pStyle w:val="Boxbullet"/>
                        </w:pPr>
                        <w:r w:rsidRPr="000008A1">
                          <w:t>Could any of the uncertainties materially impact the business case assumptions and assumed future state?</w:t>
                        </w:r>
                      </w:p>
                    </w:txbxContent>
                  </v:textbox>
                </v:rect>
                <v:rect id="Rectangle 44" o:spid="_x0000_s1031" style="position:absolute;top:1022;width:14764;height:8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" fillcolor="#e57200 [3205]" stroked="f" strokeweight="2pt">
                  <v:textbox inset="0,,0">
                    <w:txbxContent>
                      <w:p w14:paraId="02951298" w14:textId="132CEF02" w:rsidR="00E170D5" w:rsidRPr="000008A1" w:rsidRDefault="00E170D5" w:rsidP="000008A1">
                        <w:pPr>
                          <w:spacing w:before="0" w:after="0" w:line="264" w:lineRule="auto"/>
                          <w:jc w:val="center"/>
                          <w:rPr>
                            <w:b/>
                            <w:sz w:val="18"/>
                            <w:szCs w:val="18"/>
                          </w:rPr>
                        </w:pPr>
                        <w:r w:rsidRPr="000008A1">
                          <w:rPr>
                            <w:b/>
                            <w:sz w:val="18"/>
                            <w:szCs w:val="18"/>
                          </w:rPr>
                          <w:t>Identify the primary sources of uncertainty that could impact the investment</w:t>
                        </w:r>
                      </w:p>
                    </w:txbxContent>
                  </v:textbox>
                </v:rect>
                <v:rect id="Rectangle 45" o:spid="_x0000_s1032" style="position:absolute;left:14293;top:37447;width:40500;height: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" filled="f" strokecolor="#e57200 [3205]" strokeweight="2pt">
                  <v:textbox inset=",0,,0">
                    <w:txbxContent>
                      <w:p w14:paraId="2BF6F137" w14:textId="5A7A155C" w:rsidR="00E170D5" w:rsidRPr="004A0E28" w:rsidRDefault="00E170D5" w:rsidP="003562AF">
                        <w:pPr>
                          <w:pStyle w:val="NormalWeb"/>
                          <w:tabs>
                            <w:tab w:val="left" w:pos="3510"/>
                          </w:tabs>
                          <w:spacing w:before="60" w:after="0"/>
                          <w:ind w:left="144"/>
                          <w:contextualSpacing/>
                          <w:rPr>
                            <w:color w:val="000000" w:themeColor="text1"/>
                          </w:rPr>
                        </w:pPr>
                        <w:r>
                          <w:rPr>
                            <w:rFonts w:asciiTheme="minorHAnsi" w:hAnsi="Arial" w:cstheme="minorBidi"/>
                            <w:b/>
                            <w:bCs/>
                            <w:color w:val="000000" w:themeColor="text1"/>
                            <w:kern w:val="24"/>
                            <w:sz w:val="18"/>
                            <w:szCs w:val="18"/>
                          </w:rPr>
                          <w:t>An event(s) or change</w:t>
                        </w:r>
                        <w:r w:rsidRPr="004A0E28">
                          <w:rPr>
                            <w:rFonts w:asciiTheme="minorHAnsi" w:hAnsi="Arial" w:cstheme="minorBidi"/>
                            <w:b/>
                            <w:bCs/>
                            <w:color w:val="000000" w:themeColor="text1"/>
                            <w:kern w:val="24"/>
                            <w:sz w:val="18"/>
                            <w:szCs w:val="18"/>
                          </w:rPr>
                          <w:t xml:space="preserve"> of conditions</w:t>
                        </w:r>
                        <w:r w:rsidRPr="004A0E28">
                          <w:rPr>
                            <w:rFonts w:asciiTheme="minorHAnsi" w:hAnsi="Arial" w:cstheme="minorBidi"/>
                            <w:color w:val="000000" w:themeColor="text1"/>
                            <w:kern w:val="24"/>
                            <w:sz w:val="18"/>
                            <w:szCs w:val="18"/>
                          </w:rPr>
                          <w:t xml:space="preserve">. </w:t>
                        </w:r>
                        <w:r>
                          <w:rPr>
                            <w:rFonts w:asciiTheme="minorHAnsi" w:hAnsi="Arial" w:cstheme="minorBidi"/>
                            <w:color w:val="000000" w:themeColor="text1"/>
                            <w:kern w:val="24"/>
                            <w:sz w:val="18"/>
                            <w:szCs w:val="18"/>
                          </w:rPr>
                          <w:tab/>
                        </w:r>
                        <w:r w:rsidRPr="004A0E28">
                          <w:rPr>
                            <w:rFonts w:asciiTheme="minorHAnsi" w:hAnsi="Arial" w:cstheme="minorBidi"/>
                            <w:color w:val="000000" w:themeColor="text1"/>
                            <w:kern w:val="24"/>
                            <w:sz w:val="18"/>
                            <w:szCs w:val="18"/>
                          </w:rPr>
                          <w:t>Examples include:</w:t>
                        </w:r>
                      </w:p>
                      <w:p w14:paraId="3B9093F7" w14:textId="1DE822D6" w:rsidR="00E170D5" w:rsidRPr="000008A1" w:rsidRDefault="00E170D5" w:rsidP="008E756A">
                        <w:pPr>
                          <w:pStyle w:val="Boxbullet"/>
                        </w:pPr>
                        <w:r w:rsidRPr="008E756A">
                          <w:t>Population</w:t>
                        </w:r>
                        <w:r w:rsidRPr="000008A1">
                          <w:t xml:space="preserve"> increase or decrease</w:t>
                        </w:r>
                        <w:r w:rsidRPr="000008A1">
                          <w:tab/>
                        </w:r>
                        <w:r w:rsidRPr="000008A1">
                          <w:rPr>
                            <w:sz w:val="16"/>
                            <w:szCs w:val="16"/>
                          </w:rPr>
                          <w:sym w:font="Wingdings 2" w:char="F097"/>
                        </w:r>
                        <w:r w:rsidRPr="000008A1">
                          <w:tab/>
                        </w:r>
                        <w:proofErr w:type="spellStart"/>
                        <w:r w:rsidRPr="000008A1">
                          <w:t>Globalisation</w:t>
                        </w:r>
                        <w:proofErr w:type="spellEnd"/>
                        <w:r w:rsidRPr="000008A1">
                          <w:t xml:space="preserve"> isolation</w:t>
                        </w:r>
                      </w:p>
                      <w:p w14:paraId="34893210" w14:textId="5C15A071" w:rsidR="00E170D5" w:rsidRPr="000008A1" w:rsidRDefault="00E170D5" w:rsidP="008E756A">
                        <w:pPr>
                          <w:pStyle w:val="Boxbullet"/>
                        </w:pPr>
                        <w:r w:rsidRPr="000008A1">
                          <w:t>Change to demographic makeup</w:t>
                        </w:r>
                        <w:r w:rsidRPr="000008A1">
                          <w:tab/>
                        </w:r>
                        <w:r w:rsidRPr="000008A1">
                          <w:rPr>
                            <w:sz w:val="16"/>
                            <w:szCs w:val="16"/>
                          </w:rPr>
                          <w:sym w:font="Wingdings 2" w:char="F097"/>
                        </w:r>
                        <w:r w:rsidRPr="000008A1">
                          <w:tab/>
                          <w:t>Climate change</w:t>
                        </w:r>
                      </w:p>
                      <w:p w14:paraId="0E5266A8" w14:textId="44B8FF12" w:rsidR="00E170D5" w:rsidRPr="000008A1" w:rsidRDefault="00E170D5" w:rsidP="008E756A">
                        <w:pPr>
                          <w:pStyle w:val="Boxbullet"/>
                        </w:pPr>
                        <w:r w:rsidRPr="000008A1">
                          <w:t xml:space="preserve">Economic </w:t>
                        </w:r>
                        <w:r w:rsidRPr="008E756A">
                          <w:t>downturn</w:t>
                        </w:r>
                        <w:r w:rsidRPr="000008A1">
                          <w:t>/upturn</w:t>
                        </w:r>
                        <w:r w:rsidRPr="000008A1">
                          <w:tab/>
                        </w:r>
                        <w:r w:rsidRPr="000008A1">
                          <w:rPr>
                            <w:sz w:val="16"/>
                            <w:szCs w:val="16"/>
                          </w:rPr>
                          <w:sym w:font="Wingdings 2" w:char="F097"/>
                        </w:r>
                        <w:r w:rsidRPr="000008A1">
                          <w:tab/>
                          <w:t>Switch in technology</w:t>
                        </w:r>
                      </w:p>
                      <w:p w14:paraId="0A390284" w14:textId="081E1E39" w:rsidR="00E170D5" w:rsidRPr="000008A1" w:rsidRDefault="00E170D5" w:rsidP="008E756A">
                        <w:pPr>
                          <w:pStyle w:val="Boxbullet"/>
                        </w:pPr>
                        <w:r w:rsidRPr="000008A1">
                          <w:t>Failure of project interdependency</w:t>
                        </w:r>
                        <w:r w:rsidRPr="000008A1">
                          <w:tab/>
                        </w:r>
                        <w:r w:rsidRPr="000008A1">
                          <w:rPr>
                            <w:sz w:val="16"/>
                            <w:szCs w:val="16"/>
                          </w:rPr>
                          <w:sym w:font="Wingdings 2" w:char="F097"/>
                        </w:r>
                        <w:r w:rsidRPr="000008A1">
                          <w:tab/>
                          <w:t>New market participant</w:t>
                        </w:r>
                      </w:p>
                    </w:txbxContent>
                  </v:textbox>
                </v:rect>
                <v:rect id="Rectangle 46" o:spid="_x0000_s1033" style="position:absolute;left:127;top:38208;width:15039;height:8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" fillcolor="#e57200 [3205]" stroked="f" strokeweight="2pt">
                  <v:textbox inset="0,,0">
                    <w:txbxContent>
                      <w:p w14:paraId="4822405E" w14:textId="77777777" w:rsidR="00E170D5" w:rsidRPr="000008A1" w:rsidRDefault="00E170D5" w:rsidP="000008A1">
                        <w:pPr>
                          <w:spacing w:before="0" w:after="0" w:line="264" w:lineRule="auto"/>
                          <w:jc w:val="center"/>
                          <w:rPr>
                            <w:b/>
                            <w:sz w:val="18"/>
                            <w:szCs w:val="18"/>
                          </w:rPr>
                        </w:pPr>
                        <w:r w:rsidRPr="000008A1">
                          <w:rPr>
                            <w:b/>
                            <w:sz w:val="18"/>
                            <w:szCs w:val="18"/>
                          </w:rPr>
                          <w:t>Identify trigger points that would prompt a decision to take a different course of action</w:t>
                        </w:r>
                      </w:p>
                    </w:txbxContent>
                  </v:textbox>
                </v:rect>
                <v:rect id="Rectangle 47" o:spid="_x0000_s1034" style="position:absolute;left:14290;top:23694;width:40500;height:1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" filled="f" strokecolor="#e57200 [3205]" strokeweight="2pt">
                  <v:textbox inset=",0,0,0">
                    <w:txbxContent>
                      <w:p w14:paraId="650C3BC0" w14:textId="52970163" w:rsidR="00E170D5" w:rsidRPr="004A0E28" w:rsidRDefault="00E170D5" w:rsidP="008E756A">
                        <w:pPr>
                          <w:pStyle w:val="Boxbullet"/>
                        </w:pPr>
                        <w:r>
                          <w:t>If</w:t>
                        </w:r>
                        <w:r w:rsidRPr="004A0E28">
                          <w:t xml:space="preserve"> conditions or assumptions do not turn out as expect</w:t>
                        </w:r>
                        <w:r>
                          <w:t>ed</w:t>
                        </w:r>
                        <w:r w:rsidRPr="004A0E28">
                          <w:t xml:space="preserve">, what </w:t>
                        </w:r>
                        <w:r w:rsidRPr="000008A1">
                          <w:t>actions</w:t>
                        </w:r>
                        <w:r w:rsidRPr="004A0E28">
                          <w:t xml:space="preserve"> would </w:t>
                        </w:r>
                        <w:r>
                          <w:t>be</w:t>
                        </w:r>
                        <w:r w:rsidRPr="004A0E28">
                          <w:t xml:space="preserve"> take</w:t>
                        </w:r>
                        <w:r>
                          <w:t>n</w:t>
                        </w:r>
                        <w:r w:rsidRPr="004A0E28">
                          <w:t xml:space="preserve"> to adapt </w:t>
                        </w:r>
                        <w:r>
                          <w:t>the</w:t>
                        </w:r>
                        <w:r w:rsidRPr="004A0E28">
                          <w:t xml:space="preserve"> project to suit prevailing conditions? Examples include:</w:t>
                        </w:r>
                      </w:p>
                      <w:p w14:paraId="215D1A48" w14:textId="26F7243C" w:rsidR="00E170D5" w:rsidRPr="000008A1" w:rsidRDefault="00E170D5" w:rsidP="008E756A">
                        <w:pPr>
                          <w:pStyle w:val="Boxdash"/>
                        </w:pPr>
                        <w:r>
                          <w:t>d</w:t>
                        </w:r>
                        <w:r w:rsidRPr="000008A1">
                          <w:t xml:space="preserve">elaying or staging investment until there is greater </w:t>
                        </w:r>
                        <w:proofErr w:type="gramStart"/>
                        <w:r w:rsidRPr="000008A1">
                          <w:t>certainty</w:t>
                        </w:r>
                        <w:r>
                          <w:t>;</w:t>
                        </w:r>
                        <w:proofErr w:type="gramEnd"/>
                      </w:p>
                      <w:p w14:paraId="0BC5F45B" w14:textId="6A55603C" w:rsidR="00E170D5" w:rsidRPr="000008A1" w:rsidRDefault="00E170D5" w:rsidP="008E756A">
                        <w:pPr>
                          <w:pStyle w:val="Boxdash"/>
                        </w:pPr>
                        <w:r>
                          <w:t>e</w:t>
                        </w:r>
                        <w:r w:rsidRPr="000008A1">
                          <w:t xml:space="preserve">xpanding or reducing capacity to suit changes in </w:t>
                        </w:r>
                        <w:proofErr w:type="gramStart"/>
                        <w:r w:rsidRPr="000008A1">
                          <w:t>demand</w:t>
                        </w:r>
                        <w:r>
                          <w:t>;</w:t>
                        </w:r>
                        <w:proofErr w:type="gramEnd"/>
                      </w:p>
                      <w:p w14:paraId="443C0360" w14:textId="0083637E" w:rsidR="00E170D5" w:rsidRPr="000008A1" w:rsidRDefault="00E170D5" w:rsidP="008E756A">
                        <w:pPr>
                          <w:pStyle w:val="Boxdash"/>
                        </w:pPr>
                        <w:r>
                          <w:t>s</w:t>
                        </w:r>
                        <w:r w:rsidRPr="000008A1">
                          <w:t xml:space="preserve">witching inputs/outputs to suit changes in demand or </w:t>
                        </w:r>
                        <w:proofErr w:type="gramStart"/>
                        <w:r w:rsidRPr="000008A1">
                          <w:t>supply</w:t>
                        </w:r>
                        <w:r>
                          <w:t>;</w:t>
                        </w:r>
                        <w:proofErr w:type="gramEnd"/>
                      </w:p>
                      <w:p w14:paraId="4D5A5C2E" w14:textId="398BA9D3" w:rsidR="00E170D5" w:rsidRPr="000008A1" w:rsidRDefault="00E170D5" w:rsidP="008E756A">
                        <w:pPr>
                          <w:pStyle w:val="Boxdash"/>
                        </w:pPr>
                        <w:r>
                          <w:t>a</w:t>
                        </w:r>
                        <w:r w:rsidRPr="000008A1">
                          <w:t>bandoning the investment</w:t>
                        </w:r>
                        <w:r>
                          <w:t>; and/or</w:t>
                        </w:r>
                      </w:p>
                      <w:p w14:paraId="1E8F368A" w14:textId="18A9752D" w:rsidR="00E170D5" w:rsidRPr="003562AF" w:rsidRDefault="00E170D5" w:rsidP="008E756A">
                        <w:pPr>
                          <w:pStyle w:val="Boxdash"/>
                        </w:pPr>
                        <w:r>
                          <w:t>i</w:t>
                        </w:r>
                        <w:r w:rsidRPr="003562AF">
                          <w:t>ncreasing design flexibility to add greater resilience.</w:t>
                        </w:r>
                      </w:p>
                    </w:txbxContent>
                  </v:textbox>
                </v:rect>
                <v:rect id="Rectangle 48" o:spid="_x0000_s1035" style="position:absolute;left:127;top:24784;width:14963;height:8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" fillcolor="#e57200 [3205]" stroked="f" strokeweight="2pt">
                  <v:textbox inset="0,,0">
                    <w:txbxContent>
                      <w:p w14:paraId="772C2033" w14:textId="7C5F900F" w:rsidR="00E170D5" w:rsidRPr="000008A1" w:rsidRDefault="00E170D5" w:rsidP="000008A1">
                        <w:pPr>
                          <w:spacing w:before="0" w:after="0" w:line="264" w:lineRule="auto"/>
                          <w:jc w:val="center"/>
                          <w:rPr>
                            <w:b/>
                            <w:sz w:val="18"/>
                            <w:szCs w:val="18"/>
                          </w:rPr>
                        </w:pPr>
                        <w:r w:rsidRPr="000008A1">
                          <w:rPr>
                            <w:b/>
                            <w:sz w:val="18"/>
                            <w:szCs w:val="18"/>
                          </w:rPr>
                          <w:t>Identify how to increase the investment strategy’s flexibility to better deal with uncertainty</w:t>
                        </w:r>
                      </w:p>
                    </w:txbxContent>
                  </v:textbox>
                </v:rect>
                <w10:anchorlock/>
              </v:group>
            </w:pict>
          </mc:Fallback>
        </mc:AlternateContent>
      </w:r>
    </w:p>
    <w:p w14:paraId="54993E5D" w14:textId="19CD1F18" w:rsidR="00A111F3" w:rsidRPr="0042214E" w:rsidRDefault="00A111F3" w:rsidP="003562AF">
      <w:pPr>
        <w:pStyle w:val="Spacer"/>
      </w:pPr>
    </w:p>
    <w:p w14:paraId="15FA582B" w14:textId="77777777" w:rsidR="00A111F3" w:rsidRPr="0042214E" w:rsidRDefault="00A111F3" w:rsidP="005E1934">
      <w:pPr>
        <w:pStyle w:val="NormalIndent"/>
      </w:pPr>
      <w:r w:rsidRPr="0042214E">
        <w:t xml:space="preserve">DTF recommends agencies apply this process to all investments. Any identified issues should be noted in the business case (where relevant). Where a proposal is impacted by significant uncertainty, agencies should consider using quantitative analysis techniques (such as real options analysis) to augment options analysis in the business case. </w:t>
      </w:r>
    </w:p>
    <w:p w14:paraId="37FDAD7A" w14:textId="77777777" w:rsidR="00E35F81" w:rsidRDefault="00E35F81">
      <w:pPr>
        <w:keepLines w:val="0"/>
        <w:spacing w:line="264" w:lineRule="auto"/>
        <w:rPr>
          <w:rFonts w:asciiTheme="majorHAnsi" w:eastAsiaTheme="majorEastAsia" w:hAnsiTheme="majorHAnsi" w:cstheme="majorBidi"/>
          <w:b/>
          <w:bCs/>
          <w:color w:val="53565A" w:themeColor="text2"/>
          <w:sz w:val="22"/>
          <w:szCs w:val="22"/>
        </w:rPr>
      </w:pPr>
      <w:r>
        <w:br w:type="page"/>
      </w:r>
    </w:p>
    <w:p w14:paraId="49DFE366" w14:textId="4E9151D8" w:rsidR="00037470" w:rsidRPr="0042214E" w:rsidRDefault="00037470" w:rsidP="005E1934">
      <w:pPr>
        <w:pStyle w:val="Heading3numbered"/>
      </w:pPr>
      <w:bookmarkStart w:id="37" w:name="_Toc121415294"/>
      <w:r w:rsidRPr="0042214E">
        <w:lastRenderedPageBreak/>
        <w:t xml:space="preserve">Real </w:t>
      </w:r>
      <w:r w:rsidR="005A71F2" w:rsidRPr="0042214E">
        <w:t>options</w:t>
      </w:r>
      <w:bookmarkEnd w:id="37"/>
    </w:p>
    <w:p w14:paraId="7F589863" w14:textId="4BF03151" w:rsidR="00A111F3" w:rsidRPr="0042214E" w:rsidRDefault="00A111F3" w:rsidP="005E1934">
      <w:pPr>
        <w:pStyle w:val="NormalIndent"/>
      </w:pPr>
      <w:r w:rsidRPr="0042214E">
        <w:t>Real options analysis is an investment evaluation and decision</w:t>
      </w:r>
      <w:r w:rsidR="00034452" w:rsidRPr="0042214E">
        <w:noBreakHyphen/>
      </w:r>
      <w:r w:rsidRPr="0042214E">
        <w:t xml:space="preserve">making framework that incorporates flexible, quantitative approaches to better manage projects that are significantly impacted by uncertainty. It can support Government </w:t>
      </w:r>
      <w:r w:rsidR="00B31C6F" w:rsidRPr="0042214E">
        <w:t xml:space="preserve">to </w:t>
      </w:r>
      <w:r w:rsidRPr="0042214E">
        <w:t>develop infrastructure investment strategies that are adaptable and better meet evolving community needs.</w:t>
      </w:r>
    </w:p>
    <w:p w14:paraId="04DAF78B" w14:textId="4639B7D3" w:rsidR="00A111F3" w:rsidRPr="0042214E" w:rsidRDefault="00A111F3" w:rsidP="003562AF">
      <w:pPr>
        <w:pStyle w:val="Caption"/>
        <w:ind w:left="792"/>
      </w:pPr>
      <w:bookmarkStart w:id="38" w:name="_Toc499215086"/>
      <w:r w:rsidRPr="0042214E">
        <w:t xml:space="preserve">Figure </w:t>
      </w:r>
      <w:r w:rsidR="00B779F8" w:rsidRPr="0042214E">
        <w:t>6</w:t>
      </w:r>
      <w:r w:rsidRPr="0042214E">
        <w:t xml:space="preserve">: Real options requirements in the </w:t>
      </w:r>
      <w:r w:rsidR="00175CA3" w:rsidRPr="0042214E">
        <w:t>b</w:t>
      </w:r>
      <w:r w:rsidRPr="0042214E">
        <w:t xml:space="preserve">usiness </w:t>
      </w:r>
      <w:r w:rsidR="00175CA3" w:rsidRPr="0042214E">
        <w:t>c</w:t>
      </w:r>
      <w:r w:rsidRPr="0042214E">
        <w:t>ase stage</w:t>
      </w:r>
    </w:p>
    <w:tbl>
      <w:tblPr>
        <w:tblStyle w:val="TableGrid"/>
        <w:tblW w:w="0" w:type="auto"/>
        <w:tblInd w:w="792" w:type="dxa"/>
        <w:tblLayout w:type="fixed"/>
        <w:tblLook w:val="0600" w:firstRow="0" w:lastRow="0" w:firstColumn="0" w:lastColumn="0" w:noHBand="1" w:noVBand="1"/>
      </w:tblPr>
      <w:tblGrid>
        <w:gridCol w:w="2308"/>
        <w:gridCol w:w="630"/>
        <w:gridCol w:w="2304"/>
        <w:gridCol w:w="630"/>
        <w:gridCol w:w="2550"/>
      </w:tblGrid>
      <w:tr w:rsidR="00014D00" w:rsidRPr="0042214E" w14:paraId="37A875E6" w14:textId="77777777" w:rsidTr="00014D00">
        <w:tc>
          <w:tcPr>
            <w:tcW w:w="2308" w:type="dxa"/>
            <w:tcBorders>
              <w:bottom w:val="nil"/>
            </w:tcBorders>
            <w:shd w:val="clear" w:color="auto" w:fill="F5C799" w:themeFill="accent5"/>
          </w:tcPr>
          <w:p w14:paraId="5F57406C" w14:textId="77777777" w:rsidR="00A111F3" w:rsidRPr="0042214E" w:rsidRDefault="00A111F3" w:rsidP="006450B5">
            <w:pPr>
              <w:spacing w:before="60" w:after="60"/>
              <w:ind w:right="403"/>
              <w:rPr>
                <w:b/>
              </w:rPr>
            </w:pPr>
            <w:r w:rsidRPr="0042214E">
              <w:rPr>
                <w:b/>
              </w:rPr>
              <w:t>Step 1:</w:t>
            </w:r>
          </w:p>
          <w:p w14:paraId="314F6087" w14:textId="27ADC910" w:rsidR="00A111F3" w:rsidRPr="0042214E" w:rsidRDefault="00A111F3" w:rsidP="006450B5">
            <w:pPr>
              <w:spacing w:before="60" w:after="60"/>
              <w:ind w:right="403"/>
            </w:pPr>
            <w:r w:rsidRPr="0042214E">
              <w:rPr>
                <w:noProof/>
                <w:lang w:eastAsia="en-US"/>
              </w:rPr>
              <mc:AlternateContent>
                <mc:Choice Requires="wps">
                  <w:drawing>
                    <wp:anchor distT="0" distB="0" distL="114300" distR="114300" simplePos="0" relativeHeight="251657216" behindDoc="0" locked="0" layoutInCell="1" allowOverlap="1" wp14:anchorId="112A0B11" wp14:editId="0CE19052">
                      <wp:simplePos x="0" y="0"/>
                      <wp:positionH relativeFrom="column">
                        <wp:posOffset>1329278</wp:posOffset>
                      </wp:positionH>
                      <wp:positionV relativeFrom="paragraph">
                        <wp:posOffset>267970</wp:posOffset>
                      </wp:positionV>
                      <wp:extent cx="502920" cy="0"/>
                      <wp:effectExtent l="0" t="133350" r="0" b="133350"/>
                      <wp:wrapNone/>
                      <wp:docPr id="308" name="Straight Arrow Connector 308"/>
                      <wp:cNvGraphicFramePr/>
                      <a:graphic xmlns:a="http://schemas.openxmlformats.org/drawingml/2006/main">
                        <a:graphicData uri="http://schemas.microsoft.com/office/word/2010/wordprocessingShape">
                          <wps:wsp>
                            <wps:cNvCnPr/>
                            <wps:spPr>
                              <a:xfrm>
                                <a:off x="0" y="0"/>
                                <a:ext cx="502920" cy="0"/>
                              </a:xfrm>
                              <a:prstGeom prst="straightConnector1">
                                <a:avLst/>
                              </a:prstGeom>
                              <a:ln w="38100">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6B2B8CA" id="_x0000_t32" coordsize="21600,21600" o:spt="32" o:oned="t" path="m,l21600,21600e" filled="f">
                      <v:path arrowok="t" fillok="f" o:connecttype="none"/>
                      <o:lock v:ext="edit" shapetype="t"/>
                    </v:shapetype>
                    <v:shape id="Straight Arrow Connector 308" o:spid="_x0000_s1026" type="#_x0000_t32" style="position:absolute;margin-left:104.65pt;margin-top:21.1pt;width:39.6pt;height:0;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" strokecolor="#d74d04 [3044]" strokeweight="3pt">
                      <v:stroke endarrow="classic" endarrowwidth="wide" endarrowlength="long"/>
                    </v:shape>
                  </w:pict>
                </mc:Fallback>
              </mc:AlternateContent>
            </w:r>
            <w:r w:rsidRPr="0042214E">
              <w:t xml:space="preserve">Confirm the problem definition, </w:t>
            </w:r>
            <w:proofErr w:type="gramStart"/>
            <w:r w:rsidRPr="0042214E">
              <w:t>benefits</w:t>
            </w:r>
            <w:proofErr w:type="gramEnd"/>
            <w:r w:rsidRPr="0042214E">
              <w:t xml:space="preserve"> and response options</w:t>
            </w:r>
            <w:r w:rsidR="00EC71FC" w:rsidRPr="0042214E">
              <w:t>.</w:t>
            </w:r>
          </w:p>
        </w:tc>
        <w:tc>
          <w:tcPr>
            <w:tcW w:w="630" w:type="dxa"/>
            <w:tcBorders>
              <w:bottom w:val="nil"/>
              <w:right w:val="single" w:sz="12" w:space="0" w:color="E57200" w:themeColor="accent2"/>
            </w:tcBorders>
            <w:shd w:val="clear" w:color="auto" w:fill="auto"/>
          </w:tcPr>
          <w:p w14:paraId="4D36E718" w14:textId="77777777" w:rsidR="00A111F3" w:rsidRPr="0042214E" w:rsidRDefault="00A111F3" w:rsidP="006450B5"/>
        </w:tc>
        <w:tc>
          <w:tcPr>
            <w:tcW w:w="2304" w:type="dxa"/>
            <w:tcBorders>
              <w:top w:val="single" w:sz="12" w:space="0" w:color="E57200" w:themeColor="accent2"/>
              <w:left w:val="single" w:sz="12" w:space="0" w:color="E57200" w:themeColor="accent2"/>
              <w:bottom w:val="single" w:sz="12" w:space="0" w:color="E57200" w:themeColor="accent2"/>
              <w:right w:val="single" w:sz="12" w:space="0" w:color="E57200" w:themeColor="accent2"/>
            </w:tcBorders>
            <w:shd w:val="clear" w:color="auto" w:fill="F5C799" w:themeFill="accent5"/>
          </w:tcPr>
          <w:p w14:paraId="4E4C6B92" w14:textId="77777777" w:rsidR="00A111F3" w:rsidRPr="0042214E" w:rsidRDefault="00A111F3" w:rsidP="006450B5">
            <w:pPr>
              <w:spacing w:before="60" w:after="60"/>
              <w:ind w:right="403"/>
              <w:rPr>
                <w:b/>
              </w:rPr>
            </w:pPr>
            <w:r w:rsidRPr="0042214E">
              <w:rPr>
                <w:b/>
              </w:rPr>
              <w:t>Step 2:</w:t>
            </w:r>
          </w:p>
          <w:p w14:paraId="64C7906F" w14:textId="5107331E" w:rsidR="00A111F3" w:rsidRPr="0042214E" w:rsidRDefault="00A111F3" w:rsidP="006450B5">
            <w:pPr>
              <w:spacing w:before="60" w:after="60"/>
              <w:ind w:right="403"/>
            </w:pPr>
            <w:r w:rsidRPr="0042214E">
              <w:rPr>
                <w:noProof/>
                <w:lang w:eastAsia="en-US"/>
              </w:rPr>
              <mc:AlternateContent>
                <mc:Choice Requires="wps">
                  <w:drawing>
                    <wp:anchor distT="0" distB="0" distL="114300" distR="114300" simplePos="0" relativeHeight="251659264" behindDoc="0" locked="0" layoutInCell="1" allowOverlap="1" wp14:anchorId="6F47A604" wp14:editId="446A592E">
                      <wp:simplePos x="0" y="0"/>
                      <wp:positionH relativeFrom="column">
                        <wp:posOffset>1308958</wp:posOffset>
                      </wp:positionH>
                      <wp:positionV relativeFrom="paragraph">
                        <wp:posOffset>269240</wp:posOffset>
                      </wp:positionV>
                      <wp:extent cx="502920" cy="0"/>
                      <wp:effectExtent l="0" t="133350" r="0" b="133350"/>
                      <wp:wrapNone/>
                      <wp:docPr id="309" name="Straight Arrow Connector 309"/>
                      <wp:cNvGraphicFramePr/>
                      <a:graphic xmlns:a="http://schemas.openxmlformats.org/drawingml/2006/main">
                        <a:graphicData uri="http://schemas.microsoft.com/office/word/2010/wordprocessingShape">
                          <wps:wsp>
                            <wps:cNvCnPr/>
                            <wps:spPr>
                              <a:xfrm>
                                <a:off x="0" y="0"/>
                                <a:ext cx="502920" cy="0"/>
                              </a:xfrm>
                              <a:prstGeom prst="straightConnector1">
                                <a:avLst/>
                              </a:prstGeom>
                              <a:ln w="38100">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A61DF0F" id="Straight Arrow Connector 309" o:spid="_x0000_s1026" type="#_x0000_t32" style="position:absolute;margin-left:103.05pt;margin-top:21.2pt;width:39.6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" strokecolor="#d74d04 [3044]" strokeweight="3pt">
                      <v:stroke endarrow="classic" endarrowwidth="wide" endarrowlength="long"/>
                    </v:shape>
                  </w:pict>
                </mc:Fallback>
              </mc:AlternateContent>
            </w:r>
            <w:r w:rsidRPr="0042214E">
              <w:t xml:space="preserve">Consider, </w:t>
            </w:r>
            <w:proofErr w:type="gramStart"/>
            <w:r w:rsidRPr="0042214E">
              <w:t>value</w:t>
            </w:r>
            <w:proofErr w:type="gramEnd"/>
            <w:r w:rsidRPr="0042214E">
              <w:t xml:space="preserve"> and analyse the impact of uncertainty and flexibility with regard to potential investment solutions</w:t>
            </w:r>
            <w:r w:rsidR="00EC71FC" w:rsidRPr="0042214E">
              <w:t>.</w:t>
            </w:r>
          </w:p>
        </w:tc>
        <w:tc>
          <w:tcPr>
            <w:tcW w:w="630" w:type="dxa"/>
            <w:tcBorders>
              <w:left w:val="single" w:sz="12" w:space="0" w:color="E57200" w:themeColor="accent2"/>
              <w:bottom w:val="nil"/>
              <w:right w:val="single" w:sz="12" w:space="0" w:color="E57200" w:themeColor="accent2"/>
            </w:tcBorders>
            <w:shd w:val="clear" w:color="auto" w:fill="auto"/>
          </w:tcPr>
          <w:p w14:paraId="56FCEEB4" w14:textId="77777777" w:rsidR="00A111F3" w:rsidRPr="0042214E" w:rsidRDefault="00A111F3" w:rsidP="006450B5"/>
        </w:tc>
        <w:tc>
          <w:tcPr>
            <w:tcW w:w="2550" w:type="dxa"/>
            <w:tcBorders>
              <w:top w:val="single" w:sz="12" w:space="0" w:color="E57200" w:themeColor="accent2"/>
              <w:left w:val="single" w:sz="12" w:space="0" w:color="E57200" w:themeColor="accent2"/>
              <w:bottom w:val="single" w:sz="12" w:space="0" w:color="E57200" w:themeColor="accent2"/>
              <w:right w:val="single" w:sz="12" w:space="0" w:color="E57200" w:themeColor="accent2"/>
            </w:tcBorders>
            <w:shd w:val="clear" w:color="auto" w:fill="F5C799" w:themeFill="accent5"/>
          </w:tcPr>
          <w:p w14:paraId="405E5D50" w14:textId="77777777" w:rsidR="00A111F3" w:rsidRPr="0042214E" w:rsidRDefault="00A111F3" w:rsidP="006450B5">
            <w:pPr>
              <w:spacing w:before="60" w:after="60"/>
              <w:ind w:right="403"/>
              <w:rPr>
                <w:b/>
              </w:rPr>
            </w:pPr>
            <w:r w:rsidRPr="0042214E">
              <w:rPr>
                <w:b/>
              </w:rPr>
              <w:t>Step 3:</w:t>
            </w:r>
          </w:p>
          <w:p w14:paraId="7F2E8B71" w14:textId="1C40EA9B" w:rsidR="00A111F3" w:rsidRPr="0042214E" w:rsidRDefault="00A111F3" w:rsidP="006450B5">
            <w:pPr>
              <w:spacing w:before="60" w:after="60"/>
              <w:ind w:right="403"/>
            </w:pPr>
            <w:r w:rsidRPr="0042214E">
              <w:t>Plan how to implement the real option(s) and dynamically respond to changing circumstances</w:t>
            </w:r>
            <w:r w:rsidR="00EC71FC" w:rsidRPr="0042214E">
              <w:t>.</w:t>
            </w:r>
          </w:p>
        </w:tc>
      </w:tr>
      <w:tr w:rsidR="00A111F3" w:rsidRPr="0042214E" w14:paraId="47EA50F8" w14:textId="77777777" w:rsidTr="00014D00">
        <w:tc>
          <w:tcPr>
            <w:tcW w:w="2308" w:type="dxa"/>
            <w:tcBorders>
              <w:top w:val="nil"/>
              <w:bottom w:val="nil"/>
            </w:tcBorders>
          </w:tcPr>
          <w:p w14:paraId="54BFB82B" w14:textId="77777777" w:rsidR="00A111F3" w:rsidRPr="0042214E" w:rsidRDefault="00A111F3" w:rsidP="006450B5">
            <w:pPr>
              <w:spacing w:before="60" w:after="60"/>
              <w:ind w:right="403"/>
            </w:pPr>
          </w:p>
        </w:tc>
        <w:tc>
          <w:tcPr>
            <w:tcW w:w="630" w:type="dxa"/>
            <w:tcBorders>
              <w:top w:val="nil"/>
              <w:bottom w:val="nil"/>
              <w:right w:val="single" w:sz="12" w:space="0" w:color="E57200" w:themeColor="accent2"/>
            </w:tcBorders>
            <w:shd w:val="clear" w:color="auto" w:fill="auto"/>
          </w:tcPr>
          <w:p w14:paraId="5A092BA0" w14:textId="77777777" w:rsidR="00A111F3" w:rsidRPr="0042214E" w:rsidRDefault="00A111F3" w:rsidP="006450B5">
            <w:pPr>
              <w:spacing w:before="60" w:after="60"/>
              <w:ind w:right="403"/>
            </w:pPr>
          </w:p>
        </w:tc>
        <w:tc>
          <w:tcPr>
            <w:tcW w:w="2304" w:type="dxa"/>
            <w:tcBorders>
              <w:top w:val="single" w:sz="12" w:space="0" w:color="E57200" w:themeColor="accent2"/>
              <w:left w:val="single" w:sz="12" w:space="0" w:color="E57200" w:themeColor="accent2"/>
              <w:bottom w:val="single" w:sz="12" w:space="0" w:color="E57200" w:themeColor="accent2"/>
              <w:right w:val="single" w:sz="12" w:space="0" w:color="E57200" w:themeColor="accent2"/>
            </w:tcBorders>
          </w:tcPr>
          <w:p w14:paraId="2CDB8972" w14:textId="77777777" w:rsidR="00A111F3" w:rsidRPr="0042214E" w:rsidRDefault="00A111F3" w:rsidP="00014D00">
            <w:pPr>
              <w:pStyle w:val="Tablebullet"/>
            </w:pPr>
            <w:r w:rsidRPr="0042214E">
              <w:t>Strategic real options</w:t>
            </w:r>
          </w:p>
          <w:p w14:paraId="7D34989A" w14:textId="77777777" w:rsidR="00A111F3" w:rsidRPr="0042214E" w:rsidRDefault="00A111F3" w:rsidP="00014D00">
            <w:pPr>
              <w:pStyle w:val="Tablebullet"/>
            </w:pPr>
            <w:r w:rsidRPr="0042214E">
              <w:t>Options valuations</w:t>
            </w:r>
          </w:p>
        </w:tc>
        <w:tc>
          <w:tcPr>
            <w:tcW w:w="630" w:type="dxa"/>
            <w:tcBorders>
              <w:top w:val="nil"/>
              <w:left w:val="single" w:sz="12" w:space="0" w:color="E57200" w:themeColor="accent2"/>
              <w:bottom w:val="nil"/>
              <w:right w:val="single" w:sz="12" w:space="0" w:color="E57200" w:themeColor="accent2"/>
            </w:tcBorders>
            <w:shd w:val="clear" w:color="auto" w:fill="auto"/>
          </w:tcPr>
          <w:p w14:paraId="65CF4301" w14:textId="77777777" w:rsidR="00A111F3" w:rsidRPr="0042214E" w:rsidRDefault="00A111F3" w:rsidP="006450B5">
            <w:pPr>
              <w:spacing w:before="60" w:after="60"/>
              <w:ind w:right="403"/>
            </w:pPr>
          </w:p>
        </w:tc>
        <w:tc>
          <w:tcPr>
            <w:tcW w:w="2550" w:type="dxa"/>
            <w:tcBorders>
              <w:top w:val="single" w:sz="12" w:space="0" w:color="E57200" w:themeColor="accent2"/>
              <w:left w:val="single" w:sz="12" w:space="0" w:color="E57200" w:themeColor="accent2"/>
              <w:bottom w:val="single" w:sz="12" w:space="0" w:color="E57200" w:themeColor="accent2"/>
              <w:right w:val="single" w:sz="12" w:space="0" w:color="E57200" w:themeColor="accent2"/>
            </w:tcBorders>
          </w:tcPr>
          <w:p w14:paraId="5B4A6F54" w14:textId="77777777" w:rsidR="00A111F3" w:rsidRPr="0042214E" w:rsidRDefault="00A111F3" w:rsidP="00014D00">
            <w:pPr>
              <w:pStyle w:val="Tablebullet"/>
            </w:pPr>
            <w:r w:rsidRPr="0042214E">
              <w:t>Procurement analysis and strategy</w:t>
            </w:r>
          </w:p>
          <w:p w14:paraId="519DCDEB" w14:textId="77777777" w:rsidR="00A111F3" w:rsidRPr="0042214E" w:rsidRDefault="00A111F3" w:rsidP="00014D00">
            <w:pPr>
              <w:pStyle w:val="Tablebullet"/>
            </w:pPr>
            <w:r w:rsidRPr="0042214E">
              <w:t>Governance and approvals</w:t>
            </w:r>
          </w:p>
          <w:p w14:paraId="2DF1997F" w14:textId="77777777" w:rsidR="00A111F3" w:rsidRPr="0042214E" w:rsidRDefault="00A111F3" w:rsidP="00014D00">
            <w:pPr>
              <w:pStyle w:val="Tablebullet"/>
            </w:pPr>
            <w:r w:rsidRPr="0042214E">
              <w:t>Project management</w:t>
            </w:r>
          </w:p>
          <w:p w14:paraId="289A70E9" w14:textId="77777777" w:rsidR="00A111F3" w:rsidRPr="0042214E" w:rsidRDefault="00A111F3" w:rsidP="00014D00">
            <w:pPr>
              <w:pStyle w:val="Tablebullet"/>
            </w:pPr>
            <w:r w:rsidRPr="0042214E">
              <w:t>Stakeholder management</w:t>
            </w:r>
          </w:p>
        </w:tc>
      </w:tr>
    </w:tbl>
    <w:p w14:paraId="5F87B65D" w14:textId="77777777" w:rsidR="00DB64D3" w:rsidRPr="0042214E" w:rsidRDefault="00DB64D3" w:rsidP="00DB64D3">
      <w:pPr>
        <w:pStyle w:val="Spacer"/>
      </w:pPr>
    </w:p>
    <w:p w14:paraId="03310806" w14:textId="2AECF535" w:rsidR="00A111F3" w:rsidRPr="0042214E" w:rsidRDefault="00A111F3" w:rsidP="005E1934">
      <w:pPr>
        <w:pStyle w:val="NormalIndent"/>
      </w:pPr>
      <w:r w:rsidRPr="0042214E">
        <w:t xml:space="preserve">When defining investment benefits, be aware that using real options can significantly alter a project pathway. This can impact Government’s ability to realise a benefit – and can even reduce or remove the need for a benefit to be realised. For those projects impacted by significant uncertainty, it may be necessary to consider how the defined benefits could be impacted by changing conditions, and the impacts this may have on achieving the intended investment objectives. </w:t>
      </w:r>
    </w:p>
    <w:p w14:paraId="0B0D7E10" w14:textId="52CE17D6" w:rsidR="00A111F3" w:rsidRPr="0042214E" w:rsidRDefault="00A111F3" w:rsidP="005E1934">
      <w:pPr>
        <w:pStyle w:val="NormalIndent"/>
        <w:rPr>
          <w:b/>
        </w:rPr>
      </w:pPr>
      <w:r w:rsidRPr="0042214E">
        <w:rPr>
          <w:b/>
        </w:rPr>
        <w:t xml:space="preserve">Further information on managing uncertainty and undertaking real options analysis is contained in </w:t>
      </w:r>
      <w:r w:rsidR="00947727" w:rsidRPr="0042214E">
        <w:rPr>
          <w:b/>
        </w:rPr>
        <w:t xml:space="preserve">the </w:t>
      </w:r>
      <w:r w:rsidR="00947727" w:rsidRPr="00922978">
        <w:rPr>
          <w:b/>
          <w:color w:val="E57200" w:themeColor="accent2"/>
        </w:rPr>
        <w:t xml:space="preserve">Real Options Analysis </w:t>
      </w:r>
      <w:r w:rsidR="00947727" w:rsidRPr="0042214E">
        <w:t>technical guide</w:t>
      </w:r>
      <w:r w:rsidRPr="0042214E">
        <w:rPr>
          <w:rStyle w:val="FootnoteReference"/>
        </w:rPr>
        <w:footnoteReference w:id="2"/>
      </w:r>
      <w:r w:rsidRPr="0042214E">
        <w:t>.</w:t>
      </w:r>
      <w:r w:rsidRPr="0042214E">
        <w:rPr>
          <w:b/>
        </w:rPr>
        <w:t xml:space="preserve"> </w:t>
      </w:r>
      <w:r w:rsidRPr="0042214E">
        <w:t xml:space="preserve">This guide provides practical suggestions to </w:t>
      </w:r>
      <w:r w:rsidR="00606C8C" w:rsidRPr="0042214E">
        <w:t xml:space="preserve">improve investments by </w:t>
      </w:r>
      <w:r w:rsidRPr="0042214E">
        <w:t>build</w:t>
      </w:r>
      <w:r w:rsidR="00606C8C" w:rsidRPr="0042214E">
        <w:t>ing</w:t>
      </w:r>
      <w:r w:rsidRPr="0042214E">
        <w:t xml:space="preserve"> </w:t>
      </w:r>
      <w:r w:rsidR="00B26E72" w:rsidRPr="0042214E">
        <w:t xml:space="preserve">in </w:t>
      </w:r>
      <w:r w:rsidRPr="0042214E">
        <w:t>flexibility</w:t>
      </w:r>
      <w:r w:rsidR="00606C8C" w:rsidRPr="0042214E">
        <w:t>.</w:t>
      </w:r>
      <w:r w:rsidRPr="0042214E">
        <w:t xml:space="preserve"> </w:t>
      </w:r>
    </w:p>
    <w:p w14:paraId="1FA9E1EA" w14:textId="47D64E52" w:rsidR="00A111F3" w:rsidRPr="0042214E" w:rsidRDefault="00A111F3" w:rsidP="005E1934">
      <w:pPr>
        <w:pStyle w:val="Heading2numbered"/>
      </w:pPr>
      <w:bookmarkStart w:id="39" w:name="_Toc121415295"/>
      <w:r w:rsidRPr="0042214E">
        <w:t xml:space="preserve">Considering and complying with relevant </w:t>
      </w:r>
      <w:r w:rsidR="00341D94" w:rsidRPr="0042214E">
        <w:t>g</w:t>
      </w:r>
      <w:r w:rsidRPr="0042214E">
        <w:t>overnment policies</w:t>
      </w:r>
      <w:bookmarkEnd w:id="38"/>
      <w:bookmarkEnd w:id="39"/>
    </w:p>
    <w:p w14:paraId="534C9E05" w14:textId="29E3C9C5" w:rsidR="00A111F3" w:rsidRPr="0042214E" w:rsidRDefault="00A111F3" w:rsidP="005E1934">
      <w:pPr>
        <w:pStyle w:val="NormalIndent"/>
      </w:pPr>
      <w:r w:rsidRPr="0042214E">
        <w:t xml:space="preserve">There </w:t>
      </w:r>
      <w:r w:rsidR="00567DCC" w:rsidRPr="0042214E">
        <w:t xml:space="preserve">is </w:t>
      </w:r>
      <w:r w:rsidRPr="0042214E">
        <w:t xml:space="preserve">a range of </w:t>
      </w:r>
      <w:r w:rsidR="00341D94" w:rsidRPr="0042214E">
        <w:t>g</w:t>
      </w:r>
      <w:r w:rsidRPr="0042214E">
        <w:t xml:space="preserve">overnment policies that agencies may need to consider and comply with when developing an investment proposal. The following sections outline some important policies that apply to the </w:t>
      </w:r>
      <w:r w:rsidR="00341D94" w:rsidRPr="0042214E">
        <w:t>w</w:t>
      </w:r>
      <w:r w:rsidRPr="0042214E">
        <w:t>hole</w:t>
      </w:r>
      <w:r w:rsidR="00341D94" w:rsidRPr="0042214E">
        <w:t xml:space="preserve"> </w:t>
      </w:r>
      <w:r w:rsidRPr="0042214E">
        <w:t>of</w:t>
      </w:r>
      <w:r w:rsidR="00341D94" w:rsidRPr="0042214E">
        <w:t xml:space="preserve"> g</w:t>
      </w:r>
      <w:r w:rsidRPr="0042214E">
        <w:t xml:space="preserve">overnment context. However, </w:t>
      </w:r>
      <w:r w:rsidR="00B26E72" w:rsidRPr="0042214E">
        <w:t>agencies</w:t>
      </w:r>
      <w:r w:rsidRPr="0042214E">
        <w:t xml:space="preserve"> </w:t>
      </w:r>
      <w:r w:rsidR="00B26E72" w:rsidRPr="0042214E">
        <w:t>should ensure that</w:t>
      </w:r>
      <w:r w:rsidRPr="0042214E">
        <w:t xml:space="preserve"> investment proposal</w:t>
      </w:r>
      <w:r w:rsidR="00B26E72" w:rsidRPr="0042214E">
        <w:t>s</w:t>
      </w:r>
      <w:r w:rsidRPr="0042214E">
        <w:t xml:space="preserve"> address all relevant policies and priorities. </w:t>
      </w:r>
    </w:p>
    <w:p w14:paraId="3D571679" w14:textId="77777777" w:rsidR="00A111F3" w:rsidRPr="0042214E" w:rsidRDefault="00A111F3" w:rsidP="00DB64D3">
      <w:pPr>
        <w:pStyle w:val="Heading3numbered"/>
      </w:pPr>
      <w:bookmarkStart w:id="40" w:name="_Toc121415296"/>
      <w:r w:rsidRPr="0042214E">
        <w:t>Value Creation and Capture Framework</w:t>
      </w:r>
      <w:bookmarkEnd w:id="40"/>
    </w:p>
    <w:p w14:paraId="5105EA49" w14:textId="5858346D" w:rsidR="00A111F3" w:rsidRPr="0042214E" w:rsidRDefault="00A111F3" w:rsidP="00DB64D3">
      <w:pPr>
        <w:pStyle w:val="NormalIndent"/>
      </w:pPr>
      <w:r w:rsidRPr="0042214E">
        <w:t xml:space="preserve">The Value Creation and Capture </w:t>
      </w:r>
      <w:r w:rsidR="00522218" w:rsidRPr="0042214E">
        <w:t xml:space="preserve">(VCC) </w:t>
      </w:r>
      <w:r w:rsidRPr="0042214E">
        <w:t>Framework requires agencies to consider value creation and capture opportunities for any relevant asset investments proposals submitted for budget funding</w:t>
      </w:r>
      <w:r w:rsidR="009E49BB" w:rsidRPr="0042214E">
        <w:t>.</w:t>
      </w:r>
    </w:p>
    <w:p w14:paraId="6AF9D38D" w14:textId="5B5642E5" w:rsidR="00A111F3" w:rsidRPr="0042214E" w:rsidRDefault="00A111F3" w:rsidP="005E1934">
      <w:pPr>
        <w:pStyle w:val="NormalIndent"/>
      </w:pPr>
      <w:r w:rsidRPr="0042214E">
        <w:rPr>
          <w:rStyle w:val="Emphasis"/>
        </w:rPr>
        <w:lastRenderedPageBreak/>
        <w:t>Value creation</w:t>
      </w:r>
      <w:r w:rsidRPr="0042214E">
        <w:t xml:space="preserve"> refers to creating and delivering additional value and benefits for Victorians than might normally have been achieved from an investment. For example, when building infrastructure or developing precincts, </w:t>
      </w:r>
      <w:r w:rsidR="00B31C6F" w:rsidRPr="0042214E">
        <w:t>G</w:t>
      </w:r>
      <w:r w:rsidRPr="0042214E">
        <w:t xml:space="preserve">overnment can enable economic opportunities, deliver green space, community services, housing and education facilities and create more value for the community than would otherwise be the case. </w:t>
      </w:r>
    </w:p>
    <w:p w14:paraId="0D35AAAF" w14:textId="04886350" w:rsidR="00A111F3" w:rsidRPr="0042214E" w:rsidRDefault="00A111F3" w:rsidP="005E1934">
      <w:pPr>
        <w:pStyle w:val="NormalIndent"/>
      </w:pPr>
      <w:r w:rsidRPr="0042214E">
        <w:rPr>
          <w:rStyle w:val="Emphasis"/>
        </w:rPr>
        <w:t>Value capture</w:t>
      </w:r>
      <w:r w:rsidRPr="0042214E">
        <w:t xml:space="preserve"> refers to </w:t>
      </w:r>
      <w:r w:rsidR="00B31C6F" w:rsidRPr="0042214E">
        <w:t>G</w:t>
      </w:r>
      <w:r w:rsidRPr="0042214E">
        <w:t xml:space="preserve">overnment capturing a portion of the incremental economic value created by its investments, </w:t>
      </w:r>
      <w:proofErr w:type="gramStart"/>
      <w:r w:rsidRPr="0042214E">
        <w:t>activities</w:t>
      </w:r>
      <w:proofErr w:type="gramEnd"/>
      <w:r w:rsidRPr="0042214E">
        <w:t xml:space="preserve"> and policies. These actions may generate alternative revenue streams, </w:t>
      </w:r>
      <w:proofErr w:type="gramStart"/>
      <w:r w:rsidRPr="0042214E">
        <w:t>assets</w:t>
      </w:r>
      <w:proofErr w:type="gramEnd"/>
      <w:r w:rsidRPr="0042214E">
        <w:t xml:space="preserve"> or other financial value that Government can tap into to assist funding existing or future investments. </w:t>
      </w:r>
    </w:p>
    <w:p w14:paraId="5EE1A2C3" w14:textId="38B6ED85" w:rsidR="00A111F3" w:rsidRPr="0042214E" w:rsidRDefault="00A111F3" w:rsidP="005E1934">
      <w:pPr>
        <w:pStyle w:val="NormalIndent"/>
      </w:pPr>
      <w:r w:rsidRPr="0042214E">
        <w:t>Investments required to comply with the VCC include:</w:t>
      </w:r>
    </w:p>
    <w:p w14:paraId="112DEC9B" w14:textId="23ED5C53" w:rsidR="00A111F3" w:rsidRPr="0042214E" w:rsidRDefault="00DB64D3" w:rsidP="00DB64D3">
      <w:pPr>
        <w:pStyle w:val="Bulletindent"/>
        <w:contextualSpacing/>
      </w:pPr>
      <w:r w:rsidRPr="0042214E">
        <w:t xml:space="preserve">precinct </w:t>
      </w:r>
      <w:proofErr w:type="gramStart"/>
      <w:r w:rsidR="00A111F3" w:rsidRPr="0042214E">
        <w:t>projects;</w:t>
      </w:r>
      <w:proofErr w:type="gramEnd"/>
    </w:p>
    <w:p w14:paraId="29DAC104" w14:textId="48D5D1E9" w:rsidR="00A111F3" w:rsidRPr="0042214E" w:rsidRDefault="00DB64D3" w:rsidP="00DB64D3">
      <w:pPr>
        <w:pStyle w:val="Bulletindent"/>
        <w:contextualSpacing/>
      </w:pPr>
      <w:r w:rsidRPr="0042214E">
        <w:t xml:space="preserve">development </w:t>
      </w:r>
      <w:r w:rsidR="00A111F3" w:rsidRPr="0042214E">
        <w:t xml:space="preserve">of public </w:t>
      </w:r>
      <w:proofErr w:type="gramStart"/>
      <w:r w:rsidR="00A111F3" w:rsidRPr="0042214E">
        <w:t>land;</w:t>
      </w:r>
      <w:proofErr w:type="gramEnd"/>
      <w:r w:rsidR="00A111F3" w:rsidRPr="0042214E">
        <w:t xml:space="preserve"> </w:t>
      </w:r>
    </w:p>
    <w:p w14:paraId="482B6D9A" w14:textId="146B49A4" w:rsidR="00A111F3" w:rsidRPr="0042214E" w:rsidRDefault="00DB64D3" w:rsidP="00DB64D3">
      <w:pPr>
        <w:pStyle w:val="Bulletindent"/>
        <w:contextualSpacing/>
      </w:pPr>
      <w:r w:rsidRPr="0042214E">
        <w:t>non</w:t>
      </w:r>
      <w:r w:rsidR="00034452" w:rsidRPr="0042214E">
        <w:noBreakHyphen/>
      </w:r>
      <w:r w:rsidR="00A111F3" w:rsidRPr="0042214E">
        <w:t>ICT capital investments meeting HVHR criteria; and/or</w:t>
      </w:r>
    </w:p>
    <w:p w14:paraId="45187ACC" w14:textId="0A2C67A5" w:rsidR="00A111F3" w:rsidRPr="0042214E" w:rsidRDefault="00DB64D3" w:rsidP="00DB64D3">
      <w:pPr>
        <w:pStyle w:val="Bulletindent"/>
        <w:contextualSpacing/>
      </w:pPr>
      <w:r w:rsidRPr="0042214E">
        <w:t xml:space="preserve">any </w:t>
      </w:r>
      <w:r w:rsidR="00A111F3" w:rsidRPr="0042214E">
        <w:t>other capital investment considered by Government as having potential significant value creation and/or capture opportunity</w:t>
      </w:r>
      <w:r w:rsidR="00A111F3" w:rsidRPr="0042214E">
        <w:rPr>
          <w:rStyle w:val="FootnoteReference"/>
        </w:rPr>
        <w:footnoteReference w:id="3"/>
      </w:r>
      <w:r w:rsidR="00A111F3" w:rsidRPr="0042214E">
        <w:t xml:space="preserve">. </w:t>
      </w:r>
    </w:p>
    <w:p w14:paraId="572BB362" w14:textId="77777777" w:rsidR="00A111F3" w:rsidRPr="0042214E" w:rsidRDefault="00A111F3" w:rsidP="005E1934">
      <w:pPr>
        <w:pStyle w:val="NormalIndent"/>
      </w:pPr>
      <w:r w:rsidRPr="0042214E">
        <w:t>Where an investment proposal meets any of the above criteria, agencies are required to prepare and submit up to three documents to support project planning and business case development:</w:t>
      </w:r>
    </w:p>
    <w:p w14:paraId="428D972F" w14:textId="77777777" w:rsidR="00A111F3" w:rsidRPr="0042214E" w:rsidRDefault="00A111F3" w:rsidP="00DB64D3">
      <w:pPr>
        <w:pStyle w:val="Bulletindent"/>
      </w:pPr>
      <w:r w:rsidRPr="0042214E">
        <w:rPr>
          <w:b/>
        </w:rPr>
        <w:t>Statement of Intent</w:t>
      </w:r>
      <w:r w:rsidRPr="008E756A">
        <w:rPr>
          <w:b/>
        </w:rPr>
        <w:t>:</w:t>
      </w:r>
      <w:r w:rsidRPr="0042214E">
        <w:t xml:space="preserve"> a succinct overview of the project and the outcomes sought, as well as high level objectives for broader value creation and </w:t>
      </w:r>
      <w:proofErr w:type="gramStart"/>
      <w:r w:rsidRPr="0042214E">
        <w:t>capture;</w:t>
      </w:r>
      <w:proofErr w:type="gramEnd"/>
    </w:p>
    <w:p w14:paraId="4CEDC515" w14:textId="4343099A" w:rsidR="00A111F3" w:rsidRPr="0042214E" w:rsidRDefault="00A111F3" w:rsidP="00DB64D3">
      <w:pPr>
        <w:pStyle w:val="Bulletindent"/>
      </w:pPr>
      <w:r w:rsidRPr="0042214E">
        <w:rPr>
          <w:b/>
        </w:rPr>
        <w:t>Strategic Value Creation and Capture Plan</w:t>
      </w:r>
      <w:r w:rsidRPr="008E756A">
        <w:rPr>
          <w:b/>
        </w:rPr>
        <w:t>:</w:t>
      </w:r>
      <w:r w:rsidRPr="0042214E">
        <w:t xml:space="preserve"> a high level, preliminary or strategic version of the detailed VCC </w:t>
      </w:r>
      <w:r w:rsidR="008E756A" w:rsidRPr="0042214E">
        <w:t>Plan</w:t>
      </w:r>
      <w:r w:rsidRPr="0042214E">
        <w:t xml:space="preserve">. It identifies opportunities for value creation and capture that have the potential to deliver significant value and warrant further investigation through the development of a full business case. It also identifies the resources and capabilities required to develop a robust VCC </w:t>
      </w:r>
      <w:r w:rsidR="008E756A" w:rsidRPr="0042214E">
        <w:t xml:space="preserve">Plan </w:t>
      </w:r>
      <w:r w:rsidRPr="0042214E">
        <w:t>for the full business case; and</w:t>
      </w:r>
    </w:p>
    <w:p w14:paraId="58AE9CC1" w14:textId="5967928E" w:rsidR="00A111F3" w:rsidRPr="0042214E" w:rsidRDefault="00A111F3" w:rsidP="00DB64D3">
      <w:pPr>
        <w:pStyle w:val="Bulletindent"/>
      </w:pPr>
      <w:r w:rsidRPr="0042214E">
        <w:rPr>
          <w:b/>
        </w:rPr>
        <w:t>Detailed Value Creation and Capture Plan</w:t>
      </w:r>
      <w:r w:rsidRPr="008E756A">
        <w:rPr>
          <w:b/>
        </w:rPr>
        <w:t>:</w:t>
      </w:r>
      <w:r w:rsidRPr="0042214E">
        <w:t xml:space="preserve"> covers the same content as the Strategic VCC </w:t>
      </w:r>
      <w:r w:rsidR="008E756A" w:rsidRPr="0042214E">
        <w:t xml:space="preserve">Plan </w:t>
      </w:r>
      <w:r w:rsidRPr="0042214E">
        <w:t>at a more robust and granular level.</w:t>
      </w:r>
    </w:p>
    <w:p w14:paraId="3DC0880E" w14:textId="1BE11CF3" w:rsidR="00A111F3" w:rsidRPr="0042214E" w:rsidRDefault="00A111F3" w:rsidP="005E1934">
      <w:pPr>
        <w:pStyle w:val="NormalIndent"/>
      </w:pPr>
      <w:r w:rsidRPr="0042214E">
        <w:t xml:space="preserve">At the business case stage, the project sponsor will be responsible for developing a </w:t>
      </w:r>
      <w:r w:rsidRPr="0042214E">
        <w:rPr>
          <w:b/>
          <w:i/>
        </w:rPr>
        <w:t>Statement of Intent</w:t>
      </w:r>
      <w:r w:rsidRPr="0042214E">
        <w:t xml:space="preserve"> and a </w:t>
      </w:r>
      <w:r w:rsidRPr="0042214E">
        <w:rPr>
          <w:b/>
          <w:i/>
        </w:rPr>
        <w:t>Strategic Value Creation and Capture Plan</w:t>
      </w:r>
      <w:r w:rsidRPr="0042214E">
        <w:t xml:space="preserve"> for any proposal meeting the VCC criteria. </w:t>
      </w:r>
    </w:p>
    <w:p w14:paraId="1E30692A" w14:textId="26752D1B" w:rsidR="00A111F3" w:rsidRPr="0042214E" w:rsidRDefault="00A111F3" w:rsidP="005E1934">
      <w:pPr>
        <w:pStyle w:val="NormalIndent"/>
      </w:pPr>
      <w:r w:rsidRPr="0042214E">
        <w:t xml:space="preserve">In developing this Statement of Intent and Strategic VCC </w:t>
      </w:r>
      <w:r w:rsidR="008E756A" w:rsidRPr="0042214E">
        <w:t>Plan</w:t>
      </w:r>
      <w:r w:rsidRPr="0042214E">
        <w:t xml:space="preserve">, the intention is to provide clear, early project definition and guidance on </w:t>
      </w:r>
      <w:r w:rsidR="00341D94" w:rsidRPr="0042214E">
        <w:t>g</w:t>
      </w:r>
      <w:r w:rsidRPr="0042214E">
        <w:t>overnment policy objectives for the project. This is critical to provide the authorising environment for agencies to properly explore broader value creation and value capture opportunities as part of the business case, and to guide the relevant policy trade</w:t>
      </w:r>
      <w:r w:rsidR="00034452" w:rsidRPr="0042214E">
        <w:noBreakHyphen/>
      </w:r>
      <w:r w:rsidRPr="0042214E">
        <w:t>offs in selecting and applying identified value creation options and value capture tools.</w:t>
      </w:r>
    </w:p>
    <w:p w14:paraId="423F2F33" w14:textId="0441C6C5" w:rsidR="00A111F3" w:rsidRPr="0042214E" w:rsidRDefault="00A111F3" w:rsidP="005E1934">
      <w:pPr>
        <w:pStyle w:val="NormalIndent"/>
      </w:pPr>
      <w:bookmarkStart w:id="41" w:name="_Hlk19709244"/>
      <w:r w:rsidRPr="0042214E">
        <w:t xml:space="preserve">Further information on </w:t>
      </w:r>
      <w:r w:rsidR="00A51BCE" w:rsidRPr="0042214E">
        <w:t xml:space="preserve">the </w:t>
      </w:r>
      <w:r w:rsidRPr="0042214E">
        <w:t>V</w:t>
      </w:r>
      <w:r w:rsidR="00A51BCE" w:rsidRPr="0042214E">
        <w:t xml:space="preserve">alue </w:t>
      </w:r>
      <w:r w:rsidRPr="0042214E">
        <w:t>C</w:t>
      </w:r>
      <w:r w:rsidR="00A51BCE" w:rsidRPr="0042214E">
        <w:t>reation</w:t>
      </w:r>
      <w:r w:rsidR="00BE4CFF" w:rsidRPr="0042214E">
        <w:t xml:space="preserve"> and Capture</w:t>
      </w:r>
      <w:r w:rsidR="00A51BCE" w:rsidRPr="0042214E">
        <w:t xml:space="preserve"> </w:t>
      </w:r>
      <w:r w:rsidRPr="0042214E">
        <w:t>F</w:t>
      </w:r>
      <w:r w:rsidR="00A51BCE" w:rsidRPr="0042214E">
        <w:t>ramework</w:t>
      </w:r>
      <w:r w:rsidRPr="0042214E">
        <w:t xml:space="preserve"> is available on the Department of Premier and Cabinet’s website</w:t>
      </w:r>
      <w:r w:rsidR="009E49BB" w:rsidRPr="0042214E">
        <w:t xml:space="preserve"> at</w:t>
      </w:r>
      <w:r w:rsidRPr="0042214E">
        <w:t xml:space="preserve"> </w:t>
      </w:r>
      <w:hyperlink r:id="rId38" w:history="1">
        <w:r w:rsidR="000E1957">
          <w:rPr>
            <w:rStyle w:val="Hyperlink"/>
          </w:rPr>
          <w:t>www.vic.gov.au/value-creation-and-capture-framework</w:t>
        </w:r>
      </w:hyperlink>
      <w:r w:rsidR="000E1957">
        <w:t>.</w:t>
      </w:r>
    </w:p>
    <w:p w14:paraId="0D02812F" w14:textId="77777777" w:rsidR="00A111F3" w:rsidRPr="0042214E" w:rsidRDefault="00A111F3" w:rsidP="005E1934">
      <w:pPr>
        <w:pStyle w:val="Heading3numbered"/>
      </w:pPr>
      <w:bookmarkStart w:id="42" w:name="_Toc121415297"/>
      <w:bookmarkEnd w:id="41"/>
      <w:r w:rsidRPr="0042214E">
        <w:rPr>
          <w:i/>
        </w:rPr>
        <w:lastRenderedPageBreak/>
        <w:t>Climate Change Act 2017</w:t>
      </w:r>
      <w:r w:rsidRPr="0042214E">
        <w:t xml:space="preserve"> and related climate change initiatives</w:t>
      </w:r>
      <w:bookmarkEnd w:id="42"/>
    </w:p>
    <w:p w14:paraId="3422B0C1" w14:textId="01C18FD3" w:rsidR="00A111F3" w:rsidRPr="0042214E" w:rsidRDefault="00A111F3" w:rsidP="005E1934">
      <w:pPr>
        <w:pStyle w:val="NormalIndent"/>
      </w:pPr>
      <w:r w:rsidRPr="0042214E">
        <w:t>The Victorian Government’s new</w:t>
      </w:r>
      <w:r w:rsidRPr="0042214E">
        <w:rPr>
          <w:i/>
        </w:rPr>
        <w:t xml:space="preserve"> Climate Change Act 2017</w:t>
      </w:r>
      <w:r w:rsidRPr="0042214E">
        <w:t xml:space="preserve"> commenced operation on 1 November 2017. The Act sets out a clear policy framework and a pathway to 2050 that is consistent with the Paris Agreement to keep global temperature rise below 2 degrees Celsius above pre</w:t>
      </w:r>
      <w:r w:rsidR="00034452" w:rsidRPr="0042214E">
        <w:noBreakHyphen/>
      </w:r>
      <w:r w:rsidRPr="0042214E">
        <w:t>industrial levels. The Act sits alongside other key Victorian Government energy and climate change initiatives</w:t>
      </w:r>
      <w:r w:rsidR="005C054C" w:rsidRPr="0042214E">
        <w:t>,</w:t>
      </w:r>
      <w:r w:rsidRPr="0042214E">
        <w:t xml:space="preserve"> including Victoria’s Climate Change Framework, Victoria’s Climate Change Adaptation Plan 2017</w:t>
      </w:r>
      <w:r w:rsidR="00034452" w:rsidRPr="0042214E">
        <w:noBreakHyphen/>
      </w:r>
      <w:r w:rsidRPr="0042214E">
        <w:t xml:space="preserve">2020 and Victoria’s Renewable Energy Action Plan. </w:t>
      </w:r>
    </w:p>
    <w:p w14:paraId="31E3BD4C" w14:textId="77777777" w:rsidR="00A111F3" w:rsidRPr="0042214E" w:rsidRDefault="00A111F3" w:rsidP="001C100C">
      <w:pPr>
        <w:pStyle w:val="NormalIndent"/>
        <w:keepNext/>
      </w:pPr>
      <w:r w:rsidRPr="0042214E">
        <w:t>There are two primary aspects of these climate change initiatives that agencies should consider when developing infrastructure investments:</w:t>
      </w:r>
    </w:p>
    <w:p w14:paraId="08E1D6A4" w14:textId="30E5CF88" w:rsidR="00A111F3" w:rsidRPr="0042214E" w:rsidRDefault="005C054C" w:rsidP="00DB64D3">
      <w:pPr>
        <w:pStyle w:val="Bulletindent"/>
      </w:pPr>
      <w:r w:rsidRPr="0042214E">
        <w:t xml:space="preserve">greenhouse </w:t>
      </w:r>
      <w:r w:rsidR="00A111F3" w:rsidRPr="0042214E">
        <w:t xml:space="preserve">gas emission reduction: the </w:t>
      </w:r>
      <w:r w:rsidR="00A111F3" w:rsidRPr="0042214E">
        <w:rPr>
          <w:i/>
        </w:rPr>
        <w:t>Climate Change Act 2017</w:t>
      </w:r>
      <w:r w:rsidR="00A111F3" w:rsidRPr="0042214E">
        <w:t xml:space="preserve"> sets a target of net zero greenhouse gas emissions by 2050. When delivering new, or renewing</w:t>
      </w:r>
      <w:r w:rsidR="00DB64D3" w:rsidRPr="0042214E">
        <w:t>/</w:t>
      </w:r>
      <w:r w:rsidR="00A111F3" w:rsidRPr="0042214E">
        <w:t>replacing existing, infrastructure, Government should think about actions it can take to reduce Victoria’s emissions footprint; and</w:t>
      </w:r>
    </w:p>
    <w:p w14:paraId="5AF416BC" w14:textId="081689A3" w:rsidR="00A111F3" w:rsidRPr="0042214E" w:rsidRDefault="005C054C" w:rsidP="00DB64D3">
      <w:pPr>
        <w:pStyle w:val="Bulletindent"/>
      </w:pPr>
      <w:r w:rsidRPr="0042214E">
        <w:t xml:space="preserve">climate </w:t>
      </w:r>
      <w:r w:rsidR="00A111F3" w:rsidRPr="0042214E">
        <w:t xml:space="preserve">change adaptation: climate change is a key uncertainty that can impact our investments. Victoria is already experiencing the impacts of climate change, with increases to average temperature and decreases to average rainfall impacting all parts of the </w:t>
      </w:r>
      <w:r w:rsidR="00EE0FA1">
        <w:t>S</w:t>
      </w:r>
      <w:r w:rsidR="00EE0FA1" w:rsidRPr="0042214E">
        <w:t>tate</w:t>
      </w:r>
      <w:r w:rsidR="00A111F3" w:rsidRPr="0042214E">
        <w:t>. When developing and delivering investment proposals, agencies should consider whether service delivery functions are vulnerable to changing climatic conditions. Practitioners should also contemplate strategies or actions that could be taken to prepare for, and adapt to, these changes, and increase the resilience of our service delivery capability and supporting assets.</w:t>
      </w:r>
    </w:p>
    <w:p w14:paraId="61191D3C" w14:textId="652B7125" w:rsidR="00A111F3" w:rsidRPr="00667D0D" w:rsidRDefault="00A111F3" w:rsidP="005E1934">
      <w:pPr>
        <w:pStyle w:val="NormalIndent"/>
        <w:rPr>
          <w:rStyle w:val="Hyperlink"/>
        </w:rPr>
      </w:pPr>
      <w:r w:rsidRPr="0042214E">
        <w:t xml:space="preserve">Further information on the Victorian Government’s climate change legislation, policies and initiatives is available </w:t>
      </w:r>
      <w:r w:rsidRPr="00667D0D">
        <w:t xml:space="preserve">on the Department of </w:t>
      </w:r>
      <w:r w:rsidR="00ED02DA" w:rsidRPr="00667D0D">
        <w:t xml:space="preserve">Energy, Environment and Climate Action’s </w:t>
      </w:r>
      <w:r w:rsidRPr="00667D0D">
        <w:t>website</w:t>
      </w:r>
      <w:r w:rsidR="00843305" w:rsidRPr="00667D0D">
        <w:t xml:space="preserve"> at</w:t>
      </w:r>
      <w:r w:rsidRPr="00667D0D">
        <w:t xml:space="preserve"> </w:t>
      </w:r>
      <w:hyperlink r:id="rId39" w:history="1">
        <w:r w:rsidR="00680C18" w:rsidRPr="00667D0D">
          <w:rPr>
            <w:rStyle w:val="Hyperlink"/>
          </w:rPr>
          <w:t>www.climatechange.vic.gov.au</w:t>
        </w:r>
      </w:hyperlink>
    </w:p>
    <w:p w14:paraId="4EA08935" w14:textId="34AFF7DB" w:rsidR="00ED02DA" w:rsidRPr="00667D0D" w:rsidRDefault="00ED02DA" w:rsidP="00ED02DA">
      <w:pPr>
        <w:pStyle w:val="Heading3numbered"/>
      </w:pPr>
      <w:r w:rsidRPr="00667D0D">
        <w:t>Overview section</w:t>
      </w:r>
    </w:p>
    <w:tbl>
      <w:tblPr>
        <w:tblStyle w:val="TableGrid"/>
        <w:tblW w:w="0" w:type="auto"/>
        <w:tblInd w:w="792" w:type="dxa"/>
        <w:shd w:val="clear" w:color="auto" w:fill="FDF3EA" w:themeFill="accent5" w:themeFillTint="33"/>
        <w:tblLook w:val="0680" w:firstRow="0" w:lastRow="0" w:firstColumn="1" w:lastColumn="0" w:noHBand="1" w:noVBand="1"/>
      </w:tblPr>
      <w:tblGrid>
        <w:gridCol w:w="8406"/>
      </w:tblGrid>
      <w:tr w:rsidR="001B7307" w:rsidRPr="0042214E" w14:paraId="4683753E" w14:textId="77777777" w:rsidTr="00104E20">
        <w:trPr>
          <w:cantSplit/>
        </w:trPr>
        <w:tc>
          <w:tcPr>
            <w:cnfStyle w:val="001000000000" w:firstRow="0" w:lastRow="0" w:firstColumn="1" w:lastColumn="0" w:oddVBand="0" w:evenVBand="0" w:oddHBand="0" w:evenHBand="0" w:firstRowFirstColumn="0" w:firstRowLastColumn="0" w:lastRowFirstColumn="0" w:lastRowLastColumn="0"/>
            <w:tcW w:w="8406" w:type="dxa"/>
            <w:shd w:val="clear" w:color="auto" w:fill="FDF3EA" w:themeFill="accent5" w:themeFillTint="33"/>
          </w:tcPr>
          <w:p w14:paraId="603FAF90" w14:textId="0483EFE2" w:rsidR="001B7307" w:rsidRPr="0042214E" w:rsidRDefault="001B7307" w:rsidP="006F2631">
            <w:pPr>
              <w:pStyle w:val="Tabletextbold"/>
            </w:pPr>
            <w:bookmarkStart w:id="43" w:name="_Toc499215093"/>
            <w:r w:rsidRPr="0042214E">
              <w:t xml:space="preserve">Business case information requirements for </w:t>
            </w:r>
            <w:r w:rsidR="00C566AD" w:rsidRPr="0042214E">
              <w:t>the overview</w:t>
            </w:r>
          </w:p>
          <w:p w14:paraId="24D1A1AD" w14:textId="0ADD56A5" w:rsidR="00AE181B" w:rsidRPr="0042214E" w:rsidRDefault="00AE181B" w:rsidP="00AE181B">
            <w:r w:rsidRPr="0042214E">
              <w:t>The overview should highlight the overall story and key points of the business case, including the proposed outcomes and a high</w:t>
            </w:r>
            <w:r w:rsidR="00034452" w:rsidRPr="0042214E">
              <w:noBreakHyphen/>
            </w:r>
            <w:r w:rsidRPr="0042214E">
              <w:t>level overview of the key dimensions of the request. It should specify:</w:t>
            </w:r>
          </w:p>
          <w:p w14:paraId="19342B56" w14:textId="77777777" w:rsidR="00AE181B" w:rsidRPr="0042214E" w:rsidRDefault="00AE181B" w:rsidP="00DB64D3">
            <w:pPr>
              <w:pStyle w:val="Tablebullet"/>
            </w:pPr>
            <w:r w:rsidRPr="0042214E">
              <w:t xml:space="preserve">the problem or issue that the initiative will </w:t>
            </w:r>
            <w:proofErr w:type="gramStart"/>
            <w:r w:rsidRPr="0042214E">
              <w:t>address;</w:t>
            </w:r>
            <w:proofErr w:type="gramEnd"/>
          </w:p>
          <w:p w14:paraId="016F52A5" w14:textId="77777777" w:rsidR="00AE181B" w:rsidRPr="0042214E" w:rsidRDefault="00AE181B" w:rsidP="00DB64D3">
            <w:pPr>
              <w:pStyle w:val="Tablebullet"/>
            </w:pPr>
            <w:r w:rsidRPr="0042214E">
              <w:t xml:space="preserve">the merit of the proposal and how it delivers a critical </w:t>
            </w:r>
            <w:proofErr w:type="gramStart"/>
            <w:r w:rsidRPr="0042214E">
              <w:t>need;</w:t>
            </w:r>
            <w:proofErr w:type="gramEnd"/>
          </w:p>
          <w:p w14:paraId="26C23399" w14:textId="77777777" w:rsidR="00AE181B" w:rsidRPr="0042214E" w:rsidRDefault="00AE181B" w:rsidP="00DB64D3">
            <w:pPr>
              <w:pStyle w:val="Tablebullet"/>
            </w:pPr>
            <w:r w:rsidRPr="0042214E">
              <w:t xml:space="preserve">what the Government will be buying, over what timeframe and the benefits/outcomes of investment for particular cohorts or </w:t>
            </w:r>
            <w:proofErr w:type="gramStart"/>
            <w:r w:rsidRPr="0042214E">
              <w:t>areas;</w:t>
            </w:r>
            <w:proofErr w:type="gramEnd"/>
          </w:p>
          <w:p w14:paraId="03423C25" w14:textId="77777777" w:rsidR="00AE181B" w:rsidRPr="0042214E" w:rsidRDefault="00AE181B" w:rsidP="00DB64D3">
            <w:pPr>
              <w:pStyle w:val="Tablebullet"/>
            </w:pPr>
            <w:r w:rsidRPr="0042214E">
              <w:t>why this is the most effective and efficient way to deliver the proposed benefits/</w:t>
            </w:r>
            <w:proofErr w:type="gramStart"/>
            <w:r w:rsidRPr="0042214E">
              <w:t>outcomes;</w:t>
            </w:r>
            <w:proofErr w:type="gramEnd"/>
          </w:p>
          <w:p w14:paraId="1F0A01F7" w14:textId="77777777" w:rsidR="00AE181B" w:rsidRPr="0042214E" w:rsidRDefault="00AE181B" w:rsidP="00DB64D3">
            <w:pPr>
              <w:pStyle w:val="Tablebullet"/>
            </w:pPr>
            <w:r w:rsidRPr="0042214E">
              <w:t xml:space="preserve">if the proposal is a new focus for Government investment or builds on an existing </w:t>
            </w:r>
            <w:proofErr w:type="gramStart"/>
            <w:r w:rsidRPr="0042214E">
              <w:t>base;</w:t>
            </w:r>
            <w:proofErr w:type="gramEnd"/>
          </w:p>
          <w:p w14:paraId="5DFA2A80" w14:textId="77777777" w:rsidR="00AE181B" w:rsidRPr="0042214E" w:rsidRDefault="00AE181B" w:rsidP="00DB64D3">
            <w:pPr>
              <w:pStyle w:val="Tablebullet"/>
            </w:pPr>
            <w:r w:rsidRPr="0042214E">
              <w:t>if the proposal seeks funding to operationalise or capitalise on past capital investment; and</w:t>
            </w:r>
          </w:p>
          <w:p w14:paraId="6080C146" w14:textId="76AF29B4" w:rsidR="001B7307" w:rsidRPr="0042214E" w:rsidRDefault="00AE181B" w:rsidP="00DB64D3">
            <w:pPr>
              <w:pStyle w:val="Tablebullet"/>
              <w:rPr>
                <w:color w:val="FFFFFF" w:themeColor="background1"/>
              </w:rPr>
            </w:pPr>
            <w:r w:rsidRPr="0042214E">
              <w:t>any additional context (such as interface with other current or previously funded initiatives, scalability</w:t>
            </w:r>
            <w:r w:rsidR="007861FE" w:rsidRPr="0042214E">
              <w:t>, areas of complexity and significant risks and strategies for these, any interdependencies</w:t>
            </w:r>
            <w:r w:rsidR="00DB64D3" w:rsidRPr="0042214E">
              <w:t>/</w:t>
            </w:r>
            <w:r w:rsidR="007861FE" w:rsidRPr="0042214E">
              <w:t>additional investments where the project solution will not deliver the full scope</w:t>
            </w:r>
            <w:r w:rsidRPr="0042214E">
              <w:t>)</w:t>
            </w:r>
            <w:r w:rsidR="007861FE" w:rsidRPr="0042214E">
              <w:t>.</w:t>
            </w:r>
          </w:p>
        </w:tc>
      </w:tr>
    </w:tbl>
    <w:p w14:paraId="59BE7778" w14:textId="77777777" w:rsidR="00FC7ECB" w:rsidRDefault="00FC7ECB" w:rsidP="00FC7ECB"/>
    <w:p w14:paraId="682CAEC9" w14:textId="77777777" w:rsidR="00FC7ECB" w:rsidRPr="00FC7ECB" w:rsidRDefault="00FC7ECB" w:rsidP="00FC7ECB">
      <w:r w:rsidRPr="00FC7ECB">
        <w:br w:type="page"/>
      </w:r>
    </w:p>
    <w:p w14:paraId="56B4683E" w14:textId="7AFA1CB8" w:rsidR="004528C5" w:rsidRPr="0042214E" w:rsidRDefault="004528C5" w:rsidP="005E1934">
      <w:pPr>
        <w:pStyle w:val="Heading1numbered"/>
      </w:pPr>
      <w:bookmarkStart w:id="44" w:name="_Toc121415298"/>
      <w:r w:rsidRPr="0042214E">
        <w:lastRenderedPageBreak/>
        <w:t xml:space="preserve">What is </w:t>
      </w:r>
      <w:r w:rsidR="004E6742" w:rsidRPr="0042214E">
        <w:t>the investment</w:t>
      </w:r>
      <w:r w:rsidRPr="0042214E">
        <w:t xml:space="preserve"> case?</w:t>
      </w:r>
      <w:bookmarkEnd w:id="43"/>
      <w:bookmarkEnd w:id="44"/>
    </w:p>
    <w:p w14:paraId="620FEAF0" w14:textId="315248BE" w:rsidR="004528C5" w:rsidRPr="0042214E" w:rsidRDefault="004528C5" w:rsidP="005E1934">
      <w:pPr>
        <w:pStyle w:val="NormalIndent"/>
      </w:pPr>
      <w:r w:rsidRPr="0042214E">
        <w:t xml:space="preserve">The preliminary business case </w:t>
      </w:r>
      <w:r w:rsidR="00832FBE" w:rsidRPr="0042214E">
        <w:t xml:space="preserve">will </w:t>
      </w:r>
      <w:r w:rsidRPr="0042214E">
        <w:t>include some high</w:t>
      </w:r>
      <w:r w:rsidR="00034452" w:rsidRPr="0042214E">
        <w:noBreakHyphen/>
      </w:r>
      <w:r w:rsidRPr="0042214E">
        <w:t>level information on the project options analysis</w:t>
      </w:r>
      <w:r w:rsidR="00496E34" w:rsidRPr="0042214E">
        <w:t>, the</w:t>
      </w:r>
      <w:r w:rsidR="00904AFB" w:rsidRPr="0042214E">
        <w:t xml:space="preserve"> project</w:t>
      </w:r>
      <w:r w:rsidRPr="0042214E">
        <w:t xml:space="preserve"> solution</w:t>
      </w:r>
      <w:r w:rsidR="00496E34" w:rsidRPr="0042214E">
        <w:t xml:space="preserve"> as well as some </w:t>
      </w:r>
      <w:r w:rsidR="00A2366A" w:rsidRPr="0042214E">
        <w:t>more specific</w:t>
      </w:r>
      <w:r w:rsidR="00496E34" w:rsidRPr="0042214E">
        <w:t xml:space="preserve"> considerations such as project schedule and project budget </w:t>
      </w:r>
      <w:r w:rsidRPr="0042214E">
        <w:t>to provide confidence in the project’s value for money and deliverability.</w:t>
      </w:r>
    </w:p>
    <w:p w14:paraId="17B4DFEB" w14:textId="3D139218" w:rsidR="004528C5" w:rsidRPr="0042214E" w:rsidRDefault="004528C5" w:rsidP="005E1934">
      <w:pPr>
        <w:pStyle w:val="NormalIndent"/>
      </w:pPr>
      <w:r w:rsidRPr="0042214E">
        <w:t>Information presented in the</w:t>
      </w:r>
      <w:r w:rsidR="004E6742" w:rsidRPr="0042214E">
        <w:t xml:space="preserve"> investment case</w:t>
      </w:r>
      <w:r w:rsidRPr="0042214E">
        <w:t xml:space="preserve"> will be tested more rigorously </w:t>
      </w:r>
      <w:r w:rsidR="004E6742" w:rsidRPr="0042214E">
        <w:t xml:space="preserve">in a </w:t>
      </w:r>
      <w:r w:rsidRPr="0042214E">
        <w:t>full business case</w:t>
      </w:r>
      <w:r w:rsidR="004E6742" w:rsidRPr="0042214E">
        <w:t xml:space="preserve"> than a preliminary business case. The full business case will </w:t>
      </w:r>
      <w:r w:rsidRPr="0042214E">
        <w:t xml:space="preserve">provide extensive evidence to support the line of enquiry. </w:t>
      </w:r>
    </w:p>
    <w:p w14:paraId="0A3652C2" w14:textId="3C6DE516" w:rsidR="006155F7" w:rsidRPr="0042214E" w:rsidRDefault="006155F7" w:rsidP="005E1934">
      <w:pPr>
        <w:pStyle w:val="NormalIndent"/>
      </w:pPr>
      <w:r w:rsidRPr="0042214E">
        <w:t xml:space="preserve">For some proposals, especially HVHR proposals, agencies may require assistance to fund </w:t>
      </w:r>
      <w:r w:rsidR="007433EF" w:rsidRPr="0042214E">
        <w:t xml:space="preserve">the </w:t>
      </w:r>
      <w:r w:rsidR="003D68EE" w:rsidRPr="0042214E">
        <w:t>full business case</w:t>
      </w:r>
      <w:r w:rsidR="0099293D" w:rsidRPr="0042214E">
        <w:t xml:space="preserve">. </w:t>
      </w:r>
    </w:p>
    <w:p w14:paraId="67A0A587" w14:textId="55387D57" w:rsidR="005B6D80" w:rsidRPr="0042214E" w:rsidRDefault="005B6D80" w:rsidP="005E1934">
      <w:pPr>
        <w:pStyle w:val="NormalIndent"/>
      </w:pPr>
      <w:r w:rsidRPr="0042214E">
        <w:t xml:space="preserve">The ‘call to action’ for government intervention is usually founded in market failure or where there are clear government objectives that need to be met. </w:t>
      </w:r>
      <w:r w:rsidR="005D7891" w:rsidRPr="0042214E">
        <w:t xml:space="preserve">Market failure occurs where the market has not or cannot deliver an efficient outcome. </w:t>
      </w:r>
      <w:r w:rsidRPr="0042214E">
        <w:t xml:space="preserve">Some issues typically identified as market failures include: </w:t>
      </w:r>
    </w:p>
    <w:p w14:paraId="18FB1F23" w14:textId="77777777" w:rsidR="005B6D80" w:rsidRPr="0042214E" w:rsidRDefault="005B6D80" w:rsidP="009F67BC">
      <w:pPr>
        <w:pStyle w:val="Bulletindent"/>
      </w:pPr>
      <w:r w:rsidRPr="0042214E">
        <w:t xml:space="preserve">the existence of monopoly </w:t>
      </w:r>
      <w:proofErr w:type="gramStart"/>
      <w:r w:rsidRPr="0042214E">
        <w:t>power;</w:t>
      </w:r>
      <w:proofErr w:type="gramEnd"/>
      <w:r w:rsidRPr="0042214E">
        <w:t xml:space="preserve"> </w:t>
      </w:r>
    </w:p>
    <w:p w14:paraId="74E63530" w14:textId="77777777" w:rsidR="005B6D80" w:rsidRPr="0042214E" w:rsidRDefault="005B6D80" w:rsidP="009F67BC">
      <w:pPr>
        <w:pStyle w:val="Bulletindent"/>
      </w:pPr>
      <w:r w:rsidRPr="0042214E">
        <w:t xml:space="preserve">circumstances of incomplete/imperfect </w:t>
      </w:r>
      <w:proofErr w:type="gramStart"/>
      <w:r w:rsidRPr="0042214E">
        <w:t>information;</w:t>
      </w:r>
      <w:proofErr w:type="gramEnd"/>
      <w:r w:rsidRPr="0042214E">
        <w:t xml:space="preserve"> </w:t>
      </w:r>
    </w:p>
    <w:p w14:paraId="3E936A79" w14:textId="4B4D4D72" w:rsidR="005B6D80" w:rsidRPr="0042214E" w:rsidRDefault="005B6D80" w:rsidP="009F67BC">
      <w:pPr>
        <w:pStyle w:val="Bulletindent"/>
      </w:pPr>
      <w:r w:rsidRPr="0042214E">
        <w:t>external costs and benefits (known as externalities) not being taken into account by the market (</w:t>
      </w:r>
      <w:r w:rsidR="00126E61" w:rsidRPr="0042214E">
        <w:t>e.g.,</w:t>
      </w:r>
      <w:r w:rsidRPr="0042214E">
        <w:t xml:space="preserve"> pollution</w:t>
      </w:r>
      <w:proofErr w:type="gramStart"/>
      <w:r w:rsidRPr="0042214E">
        <w:t>);</w:t>
      </w:r>
      <w:proofErr w:type="gramEnd"/>
    </w:p>
    <w:p w14:paraId="38687D7F" w14:textId="1E52297A" w:rsidR="005B6D80" w:rsidRPr="0042214E" w:rsidRDefault="005B6D80" w:rsidP="009F67BC">
      <w:pPr>
        <w:pStyle w:val="Bulletindent"/>
      </w:pPr>
      <w:r w:rsidRPr="0042214E">
        <w:t>failure of market participants to identify and/or consider cross</w:t>
      </w:r>
      <w:r w:rsidR="00034452" w:rsidRPr="0042214E">
        <w:noBreakHyphen/>
      </w:r>
      <w:r w:rsidRPr="0042214E">
        <w:t>functional alternatives, including non</w:t>
      </w:r>
      <w:r w:rsidR="00034452" w:rsidRPr="0042214E">
        <w:noBreakHyphen/>
      </w:r>
      <w:r w:rsidRPr="0042214E">
        <w:t>asset, demand management, optimising processes and improving productivity;</w:t>
      </w:r>
      <w:r w:rsidR="008A3B58" w:rsidRPr="0042214E">
        <w:t xml:space="preserve"> and</w:t>
      </w:r>
    </w:p>
    <w:p w14:paraId="1BA34D4D" w14:textId="5537DE6B" w:rsidR="005B6D80" w:rsidRPr="0042214E" w:rsidRDefault="005B6D80" w:rsidP="009F67BC">
      <w:pPr>
        <w:pStyle w:val="Bulletindent"/>
      </w:pPr>
      <w:r w:rsidRPr="0042214E">
        <w:t>public goods (such as national defence) or mixed goods (such as education), where the market left to its own devices is likely to lead to an underproduction (from society’s perspective) without government intervention.</w:t>
      </w:r>
    </w:p>
    <w:p w14:paraId="2D687948" w14:textId="7B913F7E" w:rsidR="00C746F3" w:rsidRPr="0042214E" w:rsidRDefault="005D7891" w:rsidP="005E1934">
      <w:pPr>
        <w:pStyle w:val="NormalIndent"/>
      </w:pPr>
      <w:r w:rsidRPr="0042214E">
        <w:t>Government interventions in these scenarios seek to rectify this failure</w:t>
      </w:r>
      <w:r w:rsidR="0049078D" w:rsidRPr="0042214E">
        <w:t>,</w:t>
      </w:r>
      <w:r w:rsidRPr="0042214E">
        <w:t xml:space="preserve"> for example, by removal of barriers or provision of services. </w:t>
      </w:r>
    </w:p>
    <w:p w14:paraId="3799E8CB" w14:textId="13B9ACDC" w:rsidR="00C746F3" w:rsidRPr="0042214E" w:rsidRDefault="00C746F3" w:rsidP="005E1934">
      <w:pPr>
        <w:pStyle w:val="NormalIndent"/>
      </w:pPr>
      <w:r w:rsidRPr="0042214E">
        <w:t xml:space="preserve">Government intervention may also result from policy decisions, service needs or investment ideas and be justified to address distributional or equity concerns. </w:t>
      </w:r>
    </w:p>
    <w:p w14:paraId="79D10A30" w14:textId="77777777" w:rsidR="00466475" w:rsidRPr="0042214E" w:rsidRDefault="00466475" w:rsidP="005E1934">
      <w:pPr>
        <w:pStyle w:val="NormalIndent"/>
      </w:pPr>
      <w:r w:rsidRPr="0042214E">
        <w:t xml:space="preserve">The checklist below is for business case developers and assessors. Its purpose is to guide the thinking in the business case as the investment case is developed and to assess proposals once complete. </w:t>
      </w:r>
    </w:p>
    <w:p w14:paraId="78E1B4AA" w14:textId="77777777" w:rsidR="00FC7ECB" w:rsidRDefault="00FC7ECB">
      <w:pPr>
        <w:keepLines w:val="0"/>
        <w:spacing w:line="264" w:lineRule="auto"/>
        <w:rPr>
          <w:b/>
          <w:bCs/>
          <w:color w:val="383834" w:themeColor="background2" w:themeShade="40"/>
          <w:sz w:val="18"/>
          <w:szCs w:val="18"/>
        </w:rPr>
      </w:pPr>
      <w:r>
        <w:br w:type="page"/>
      </w:r>
    </w:p>
    <w:p w14:paraId="6380D6A3" w14:textId="1E32C765" w:rsidR="00466475" w:rsidRPr="0042214E" w:rsidRDefault="00466475" w:rsidP="00104E20">
      <w:pPr>
        <w:pStyle w:val="Caption"/>
        <w:ind w:left="792"/>
      </w:pPr>
      <w:r w:rsidRPr="0042214E">
        <w:lastRenderedPageBreak/>
        <w:t xml:space="preserve">Table </w:t>
      </w:r>
      <w:fldSimple w:instr=" SEQ Table \* ARABIC ">
        <w:r w:rsidR="00295E8F">
          <w:rPr>
            <w:noProof/>
          </w:rPr>
          <w:t>6</w:t>
        </w:r>
      </w:fldSimple>
      <w:r w:rsidRPr="0042214E">
        <w:t xml:space="preserve">: The 16 </w:t>
      </w:r>
      <w:r w:rsidR="00BC3EBE" w:rsidRPr="0042214E">
        <w:t xml:space="preserve">questions </w:t>
      </w:r>
      <w:r w:rsidRPr="0042214E">
        <w:t xml:space="preserve">for the investment case </w:t>
      </w:r>
    </w:p>
    <w:tbl>
      <w:tblPr>
        <w:tblStyle w:val="TableGrid"/>
        <w:tblW w:w="0" w:type="auto"/>
        <w:tblInd w:w="792" w:type="dxa"/>
        <w:tblLook w:val="04A0" w:firstRow="1" w:lastRow="0" w:firstColumn="1" w:lastColumn="0" w:noHBand="0" w:noVBand="1"/>
      </w:tblPr>
      <w:tblGrid>
        <w:gridCol w:w="1959"/>
        <w:gridCol w:w="1984"/>
        <w:gridCol w:w="2268"/>
        <w:gridCol w:w="2195"/>
      </w:tblGrid>
      <w:tr w:rsidR="00466475" w:rsidRPr="0042214E" w14:paraId="6B1F9F75" w14:textId="77777777" w:rsidTr="00FC7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7200" w:themeFill="accent2"/>
          </w:tcPr>
          <w:p w14:paraId="60B70726" w14:textId="77777777" w:rsidR="00466475" w:rsidRPr="0042214E" w:rsidRDefault="00466475" w:rsidP="006570FB">
            <w:pPr>
              <w:pStyle w:val="Tableheader"/>
              <w:rPr>
                <w:b/>
              </w:rPr>
            </w:pPr>
            <w:r w:rsidRPr="0042214E">
              <w:rPr>
                <w:b/>
              </w:rPr>
              <w:t>Problem</w:t>
            </w:r>
          </w:p>
        </w:tc>
        <w:tc>
          <w:tcPr>
            <w:tcW w:w="198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7200" w:themeFill="accent2"/>
          </w:tcPr>
          <w:p w14:paraId="689A3822" w14:textId="77777777" w:rsidR="00466475" w:rsidRPr="0042214E" w:rsidRDefault="00466475" w:rsidP="006570FB">
            <w:pPr>
              <w:pStyle w:val="Tableheader"/>
              <w:cnfStyle w:val="100000000000" w:firstRow="1" w:lastRow="0" w:firstColumn="0" w:lastColumn="0" w:oddVBand="0" w:evenVBand="0" w:oddHBand="0" w:evenHBand="0" w:firstRowFirstColumn="0" w:firstRowLastColumn="0" w:lastRowFirstColumn="0" w:lastRowLastColumn="0"/>
              <w:rPr>
                <w:b/>
              </w:rPr>
            </w:pPr>
            <w:r w:rsidRPr="0042214E">
              <w:rPr>
                <w:b/>
              </w:rPr>
              <w:t>Benefits</w:t>
            </w: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7200" w:themeFill="accent2"/>
          </w:tcPr>
          <w:p w14:paraId="7F686FCD" w14:textId="77777777" w:rsidR="00466475" w:rsidRPr="0042214E" w:rsidRDefault="00466475" w:rsidP="006570FB">
            <w:pPr>
              <w:pStyle w:val="Tableheader"/>
              <w:cnfStyle w:val="100000000000" w:firstRow="1" w:lastRow="0" w:firstColumn="0" w:lastColumn="0" w:oddVBand="0" w:evenVBand="0" w:oddHBand="0" w:evenHBand="0" w:firstRowFirstColumn="0" w:firstRowLastColumn="0" w:lastRowFirstColumn="0" w:lastRowLastColumn="0"/>
              <w:rPr>
                <w:b/>
              </w:rPr>
            </w:pPr>
            <w:r w:rsidRPr="0042214E">
              <w:rPr>
                <w:b/>
              </w:rPr>
              <w:t>Strategic response</w:t>
            </w:r>
          </w:p>
        </w:tc>
        <w:tc>
          <w:tcPr>
            <w:tcW w:w="21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7200" w:themeFill="accent2"/>
          </w:tcPr>
          <w:p w14:paraId="64960A8D" w14:textId="77777777" w:rsidR="00466475" w:rsidRPr="0042214E" w:rsidRDefault="00466475" w:rsidP="006570FB">
            <w:pPr>
              <w:pStyle w:val="Tableheader"/>
              <w:cnfStyle w:val="100000000000" w:firstRow="1" w:lastRow="0" w:firstColumn="0" w:lastColumn="0" w:oddVBand="0" w:evenVBand="0" w:oddHBand="0" w:evenHBand="0" w:firstRowFirstColumn="0" w:firstRowLastColumn="0" w:lastRowFirstColumn="0" w:lastRowLastColumn="0"/>
              <w:rPr>
                <w:b/>
              </w:rPr>
            </w:pPr>
            <w:r w:rsidRPr="0042214E">
              <w:rPr>
                <w:b/>
              </w:rPr>
              <w:t>Indicative solution</w:t>
            </w:r>
          </w:p>
        </w:tc>
      </w:tr>
      <w:tr w:rsidR="00466475" w:rsidRPr="0042214E" w14:paraId="25391A3B" w14:textId="77777777" w:rsidTr="00FC7ECB">
        <w:tc>
          <w:tcPr>
            <w:cnfStyle w:val="001000000000" w:firstRow="0" w:lastRow="0" w:firstColumn="1" w:lastColumn="0" w:oddVBand="0" w:evenVBand="0" w:oddHBand="0" w:evenHBand="0" w:firstRowFirstColumn="0" w:firstRowLastColumn="0" w:lastRowFirstColumn="0" w:lastRowLastColumn="0"/>
            <w:tcW w:w="1959" w:type="dxa"/>
            <w:tcBorders>
              <w:top w:val="single" w:sz="8" w:space="0" w:color="FFFFFF" w:themeColor="background1"/>
            </w:tcBorders>
          </w:tcPr>
          <w:p w14:paraId="37353C59" w14:textId="77777777" w:rsidR="00466475" w:rsidRPr="0042214E" w:rsidRDefault="00466475" w:rsidP="001C100C">
            <w:pPr>
              <w:pStyle w:val="Tabletext"/>
            </w:pPr>
            <w:r w:rsidRPr="0042214E">
              <w:rPr>
                <w:rStyle w:val="Emphasis"/>
              </w:rPr>
              <w:t>1.</w:t>
            </w:r>
            <w:r w:rsidRPr="0042214E">
              <w:t xml:space="preserve"> Is it clear what the problem is that needs to be addressed, both the cause and effect?</w:t>
            </w:r>
          </w:p>
        </w:tc>
        <w:tc>
          <w:tcPr>
            <w:tcW w:w="1984" w:type="dxa"/>
            <w:tcBorders>
              <w:top w:val="single" w:sz="8" w:space="0" w:color="FFFFFF" w:themeColor="background1"/>
            </w:tcBorders>
          </w:tcPr>
          <w:p w14:paraId="1058EB17" w14:textId="77777777" w:rsidR="00466475" w:rsidRPr="0042214E" w:rsidRDefault="00466475" w:rsidP="001C100C">
            <w:pPr>
              <w:pStyle w:val="Tabletext"/>
              <w:cnfStyle w:val="000000000000" w:firstRow="0" w:lastRow="0" w:firstColumn="0" w:lastColumn="0" w:oddVBand="0" w:evenVBand="0" w:oddHBand="0" w:evenHBand="0" w:firstRowFirstColumn="0" w:firstRowLastColumn="0" w:lastRowFirstColumn="0" w:lastRowLastColumn="0"/>
            </w:pPr>
            <w:r w:rsidRPr="0042214E">
              <w:rPr>
                <w:rStyle w:val="Emphasis"/>
              </w:rPr>
              <w:t>5.</w:t>
            </w:r>
            <w:r w:rsidRPr="0042214E">
              <w:t xml:space="preserve"> Have the benefits that will result from fixing the problem been adequately defined?</w:t>
            </w:r>
          </w:p>
        </w:tc>
        <w:tc>
          <w:tcPr>
            <w:tcW w:w="2268" w:type="dxa"/>
            <w:tcBorders>
              <w:top w:val="single" w:sz="8" w:space="0" w:color="FFFFFF" w:themeColor="background1"/>
            </w:tcBorders>
          </w:tcPr>
          <w:p w14:paraId="3E3F9325" w14:textId="5D9E5D9F" w:rsidR="00466475" w:rsidRPr="0042214E" w:rsidRDefault="00466475" w:rsidP="001C100C">
            <w:pPr>
              <w:pStyle w:val="Tabletext"/>
              <w:cnfStyle w:val="000000000000" w:firstRow="0" w:lastRow="0" w:firstColumn="0" w:lastColumn="0" w:oddVBand="0" w:evenVBand="0" w:oddHBand="0" w:evenHBand="0" w:firstRowFirstColumn="0" w:firstRowLastColumn="0" w:lastRowFirstColumn="0" w:lastRowLastColumn="0"/>
            </w:pPr>
            <w:r w:rsidRPr="0042214E">
              <w:rPr>
                <w:rStyle w:val="Emphasis"/>
              </w:rPr>
              <w:t>9.</w:t>
            </w:r>
            <w:r w:rsidRPr="0042214E">
              <w:t xml:space="preserve"> Has a reasonable spread of strategic interventions been identified and packaged into sensible </w:t>
            </w:r>
            <w:r w:rsidR="00784678" w:rsidRPr="0042214E">
              <w:t>response</w:t>
            </w:r>
            <w:r w:rsidRPr="0042214E">
              <w:t xml:space="preserve"> options?</w:t>
            </w:r>
          </w:p>
        </w:tc>
        <w:tc>
          <w:tcPr>
            <w:tcW w:w="2195" w:type="dxa"/>
            <w:tcBorders>
              <w:top w:val="single" w:sz="8" w:space="0" w:color="FFFFFF" w:themeColor="background1"/>
            </w:tcBorders>
          </w:tcPr>
          <w:p w14:paraId="27FCB85A" w14:textId="316A58A8" w:rsidR="00466475" w:rsidRPr="0042214E" w:rsidRDefault="00466475" w:rsidP="001C100C">
            <w:pPr>
              <w:pStyle w:val="Tabletext"/>
              <w:cnfStyle w:val="000000000000" w:firstRow="0" w:lastRow="0" w:firstColumn="0" w:lastColumn="0" w:oddVBand="0" w:evenVBand="0" w:oddHBand="0" w:evenHBand="0" w:firstRowFirstColumn="0" w:firstRowLastColumn="0" w:lastRowFirstColumn="0" w:lastRowLastColumn="0"/>
            </w:pPr>
            <w:r w:rsidRPr="0042214E">
              <w:rPr>
                <w:rStyle w:val="Emphasis"/>
              </w:rPr>
              <w:t>13.</w:t>
            </w:r>
            <w:r w:rsidRPr="0042214E">
              <w:t xml:space="preserve"> Consistent with the preferred </w:t>
            </w:r>
            <w:r w:rsidR="00784678" w:rsidRPr="0042214E">
              <w:t>response</w:t>
            </w:r>
            <w:r w:rsidRPr="0042214E">
              <w:t xml:space="preserve"> option, has a reasonable spread of project options been analysed?</w:t>
            </w:r>
          </w:p>
        </w:tc>
      </w:tr>
      <w:tr w:rsidR="00466475" w:rsidRPr="0042214E" w14:paraId="1758B211" w14:textId="77777777" w:rsidTr="00FC7ECB">
        <w:tc>
          <w:tcPr>
            <w:cnfStyle w:val="001000000000" w:firstRow="0" w:lastRow="0" w:firstColumn="1" w:lastColumn="0" w:oddVBand="0" w:evenVBand="0" w:oddHBand="0" w:evenHBand="0" w:firstRowFirstColumn="0" w:firstRowLastColumn="0" w:lastRowFirstColumn="0" w:lastRowLastColumn="0"/>
            <w:tcW w:w="1959" w:type="dxa"/>
          </w:tcPr>
          <w:p w14:paraId="1AB0127E" w14:textId="77777777" w:rsidR="00466475" w:rsidRPr="0042214E" w:rsidRDefault="00466475" w:rsidP="001C100C">
            <w:pPr>
              <w:pStyle w:val="Tabletext"/>
            </w:pPr>
            <w:r w:rsidRPr="0042214E">
              <w:rPr>
                <w:rStyle w:val="Emphasis"/>
              </w:rPr>
              <w:t>2.</w:t>
            </w:r>
            <w:r w:rsidRPr="0042214E">
              <w:t xml:space="preserve"> Is there sufficient evidence to confirm both the cause and effect of the problem?</w:t>
            </w:r>
          </w:p>
        </w:tc>
        <w:tc>
          <w:tcPr>
            <w:tcW w:w="1984" w:type="dxa"/>
          </w:tcPr>
          <w:p w14:paraId="6FC22311" w14:textId="77777777" w:rsidR="00466475" w:rsidRPr="0042214E" w:rsidRDefault="00466475" w:rsidP="001C100C">
            <w:pPr>
              <w:pStyle w:val="Tabletext"/>
              <w:cnfStyle w:val="000000000000" w:firstRow="0" w:lastRow="0" w:firstColumn="0" w:lastColumn="0" w:oddVBand="0" w:evenVBand="0" w:oddHBand="0" w:evenHBand="0" w:firstRowFirstColumn="0" w:firstRowLastColumn="0" w:lastRowFirstColumn="0" w:lastRowLastColumn="0"/>
            </w:pPr>
            <w:r w:rsidRPr="0042214E">
              <w:rPr>
                <w:rStyle w:val="Emphasis"/>
              </w:rPr>
              <w:t>6.</w:t>
            </w:r>
            <w:r w:rsidRPr="0042214E">
              <w:t xml:space="preserve"> Are the benefits of high value to the Government?</w:t>
            </w:r>
          </w:p>
        </w:tc>
        <w:tc>
          <w:tcPr>
            <w:tcW w:w="2268" w:type="dxa"/>
          </w:tcPr>
          <w:p w14:paraId="05C84555" w14:textId="3BF211ED" w:rsidR="00466475" w:rsidRPr="0042214E" w:rsidRDefault="00466475" w:rsidP="001C100C">
            <w:pPr>
              <w:pStyle w:val="Tabletext"/>
              <w:cnfStyle w:val="000000000000" w:firstRow="0" w:lastRow="0" w:firstColumn="0" w:lastColumn="0" w:oddVBand="0" w:evenVBand="0" w:oddHBand="0" w:evenHBand="0" w:firstRowFirstColumn="0" w:firstRowLastColumn="0" w:lastRowFirstColumn="0" w:lastRowLastColumn="0"/>
            </w:pPr>
            <w:r w:rsidRPr="0042214E">
              <w:rPr>
                <w:rStyle w:val="Emphasis"/>
              </w:rPr>
              <w:t>10.</w:t>
            </w:r>
            <w:r w:rsidRPr="0042214E">
              <w:t xml:space="preserve"> Is there evidence to demonstrate that the </w:t>
            </w:r>
            <w:r w:rsidR="00784678" w:rsidRPr="0042214E">
              <w:t>response</w:t>
            </w:r>
            <w:r w:rsidRPr="0042214E">
              <w:t xml:space="preserve"> options are feasible?</w:t>
            </w:r>
          </w:p>
        </w:tc>
        <w:tc>
          <w:tcPr>
            <w:tcW w:w="2195" w:type="dxa"/>
          </w:tcPr>
          <w:p w14:paraId="6F186E9F" w14:textId="77777777" w:rsidR="00466475" w:rsidRPr="0042214E" w:rsidRDefault="00466475" w:rsidP="001C100C">
            <w:pPr>
              <w:pStyle w:val="Tabletext"/>
              <w:cnfStyle w:val="000000000000" w:firstRow="0" w:lastRow="0" w:firstColumn="0" w:lastColumn="0" w:oddVBand="0" w:evenVBand="0" w:oddHBand="0" w:evenHBand="0" w:firstRowFirstColumn="0" w:firstRowLastColumn="0" w:lastRowFirstColumn="0" w:lastRowLastColumn="0"/>
            </w:pPr>
            <w:r w:rsidRPr="0042214E">
              <w:rPr>
                <w:rStyle w:val="Emphasis"/>
              </w:rPr>
              <w:t>14.</w:t>
            </w:r>
            <w:r w:rsidRPr="0042214E">
              <w:t xml:space="preserve"> Is the recommended project solution the best value for money way to respond to the problem and deliver the expected benefits?</w:t>
            </w:r>
          </w:p>
        </w:tc>
      </w:tr>
      <w:tr w:rsidR="00466475" w:rsidRPr="0042214E" w14:paraId="7454F384" w14:textId="77777777" w:rsidTr="00FC7ECB">
        <w:tc>
          <w:tcPr>
            <w:cnfStyle w:val="001000000000" w:firstRow="0" w:lastRow="0" w:firstColumn="1" w:lastColumn="0" w:oddVBand="0" w:evenVBand="0" w:oddHBand="0" w:evenHBand="0" w:firstRowFirstColumn="0" w:firstRowLastColumn="0" w:lastRowFirstColumn="0" w:lastRowLastColumn="0"/>
            <w:tcW w:w="1959" w:type="dxa"/>
          </w:tcPr>
          <w:p w14:paraId="40B3E3A8" w14:textId="77777777" w:rsidR="00466475" w:rsidRPr="0042214E" w:rsidRDefault="00466475" w:rsidP="001C100C">
            <w:pPr>
              <w:pStyle w:val="Tabletext"/>
            </w:pPr>
            <w:r w:rsidRPr="0042214E">
              <w:rPr>
                <w:rStyle w:val="Emphasis"/>
              </w:rPr>
              <w:t>3.</w:t>
            </w:r>
            <w:r w:rsidRPr="0042214E">
              <w:t xml:space="preserve"> Does the problem need to be addressed now and by this Government?</w:t>
            </w:r>
          </w:p>
        </w:tc>
        <w:tc>
          <w:tcPr>
            <w:tcW w:w="1984" w:type="dxa"/>
          </w:tcPr>
          <w:p w14:paraId="503187AF" w14:textId="77777777" w:rsidR="00466475" w:rsidRPr="0042214E" w:rsidRDefault="00466475" w:rsidP="001C100C">
            <w:pPr>
              <w:pStyle w:val="Tabletext"/>
              <w:cnfStyle w:val="000000000000" w:firstRow="0" w:lastRow="0" w:firstColumn="0" w:lastColumn="0" w:oddVBand="0" w:evenVBand="0" w:oddHBand="0" w:evenHBand="0" w:firstRowFirstColumn="0" w:firstRowLastColumn="0" w:lastRowFirstColumn="0" w:lastRowLastColumn="0"/>
            </w:pPr>
            <w:r w:rsidRPr="0042214E">
              <w:rPr>
                <w:rStyle w:val="Emphasis"/>
              </w:rPr>
              <w:t>7.</w:t>
            </w:r>
            <w:r w:rsidRPr="0042214E">
              <w:t xml:space="preserve"> Are the KPIs SMART and will they provide strong evidence that the benefits have been delivered?</w:t>
            </w:r>
          </w:p>
        </w:tc>
        <w:tc>
          <w:tcPr>
            <w:tcW w:w="2268" w:type="dxa"/>
          </w:tcPr>
          <w:p w14:paraId="172F34BF" w14:textId="3CC640E7" w:rsidR="00466475" w:rsidRPr="0042214E" w:rsidRDefault="00466475" w:rsidP="001C100C">
            <w:pPr>
              <w:pStyle w:val="Tabletext"/>
              <w:cnfStyle w:val="000000000000" w:firstRow="0" w:lastRow="0" w:firstColumn="0" w:lastColumn="0" w:oddVBand="0" w:evenVBand="0" w:oddHBand="0" w:evenHBand="0" w:firstRowFirstColumn="0" w:firstRowLastColumn="0" w:lastRowFirstColumn="0" w:lastRowLastColumn="0"/>
            </w:pPr>
            <w:r w:rsidRPr="0042214E">
              <w:rPr>
                <w:rStyle w:val="Emphasis"/>
              </w:rPr>
              <w:t>11.</w:t>
            </w:r>
            <w:r w:rsidRPr="0042214E">
              <w:t xml:space="preserve"> Were the </w:t>
            </w:r>
            <w:r w:rsidR="00784678" w:rsidRPr="0042214E">
              <w:t>response</w:t>
            </w:r>
            <w:r w:rsidRPr="0042214E">
              <w:t xml:space="preserve"> options evaluated fairly to</w:t>
            </w:r>
            <w:r w:rsidR="00681B11">
              <w:t> </w:t>
            </w:r>
            <w:r w:rsidRPr="0042214E">
              <w:t>reflect their ability to respond to the problem and deliver the benefits?</w:t>
            </w:r>
          </w:p>
        </w:tc>
        <w:tc>
          <w:tcPr>
            <w:tcW w:w="2195" w:type="dxa"/>
          </w:tcPr>
          <w:p w14:paraId="090733A5" w14:textId="77777777" w:rsidR="00466475" w:rsidRPr="0042214E" w:rsidRDefault="00466475" w:rsidP="001C100C">
            <w:pPr>
              <w:pStyle w:val="Tabletext"/>
              <w:cnfStyle w:val="000000000000" w:firstRow="0" w:lastRow="0" w:firstColumn="0" w:lastColumn="0" w:oddVBand="0" w:evenVBand="0" w:oddHBand="0" w:evenHBand="0" w:firstRowFirstColumn="0" w:firstRowLastColumn="0" w:lastRowFirstColumn="0" w:lastRowLastColumn="0"/>
            </w:pPr>
            <w:r w:rsidRPr="0042214E">
              <w:rPr>
                <w:rStyle w:val="Emphasis"/>
              </w:rPr>
              <w:t>15.</w:t>
            </w:r>
            <w:r w:rsidRPr="0042214E">
              <w:t xml:space="preserve"> Is the solution specified clearly and fully (all business changes and assets)?</w:t>
            </w:r>
          </w:p>
        </w:tc>
      </w:tr>
      <w:tr w:rsidR="00466475" w:rsidRPr="0042214E" w14:paraId="19E1D3C9" w14:textId="77777777" w:rsidTr="00FC7ECB">
        <w:tc>
          <w:tcPr>
            <w:cnfStyle w:val="001000000000" w:firstRow="0" w:lastRow="0" w:firstColumn="1" w:lastColumn="0" w:oddVBand="0" w:evenVBand="0" w:oddHBand="0" w:evenHBand="0" w:firstRowFirstColumn="0" w:firstRowLastColumn="0" w:lastRowFirstColumn="0" w:lastRowLastColumn="0"/>
            <w:tcW w:w="1959" w:type="dxa"/>
          </w:tcPr>
          <w:p w14:paraId="2C837D59" w14:textId="200F9F8A" w:rsidR="00466475" w:rsidRPr="0042214E" w:rsidRDefault="00466475" w:rsidP="001C100C">
            <w:pPr>
              <w:pStyle w:val="Tabletext"/>
            </w:pPr>
            <w:r w:rsidRPr="0042214E">
              <w:rPr>
                <w:rStyle w:val="Emphasis"/>
              </w:rPr>
              <w:t>4.</w:t>
            </w:r>
            <w:r w:rsidRPr="0042214E">
              <w:t xml:space="preserve"> Does the defined problem capture its full extent/scope?</w:t>
            </w:r>
          </w:p>
        </w:tc>
        <w:tc>
          <w:tcPr>
            <w:tcW w:w="1984" w:type="dxa"/>
          </w:tcPr>
          <w:p w14:paraId="4B6C9713" w14:textId="77777777" w:rsidR="00466475" w:rsidRPr="0042214E" w:rsidRDefault="00466475" w:rsidP="001C100C">
            <w:pPr>
              <w:pStyle w:val="Tabletext"/>
              <w:cnfStyle w:val="000000000000" w:firstRow="0" w:lastRow="0" w:firstColumn="0" w:lastColumn="0" w:oddVBand="0" w:evenVBand="0" w:oddHBand="0" w:evenHBand="0" w:firstRowFirstColumn="0" w:firstRowLastColumn="0" w:lastRowFirstColumn="0" w:lastRowLastColumn="0"/>
            </w:pPr>
            <w:r w:rsidRPr="0042214E">
              <w:rPr>
                <w:rStyle w:val="Emphasis"/>
              </w:rPr>
              <w:t>8.</w:t>
            </w:r>
            <w:r w:rsidRPr="0042214E">
              <w:t xml:space="preserve"> Have key dependencies critical to benefit delivery been considered?</w:t>
            </w:r>
          </w:p>
        </w:tc>
        <w:tc>
          <w:tcPr>
            <w:tcW w:w="2268" w:type="dxa"/>
          </w:tcPr>
          <w:p w14:paraId="1FEC8248" w14:textId="6434000C" w:rsidR="00466475" w:rsidRPr="0042214E" w:rsidRDefault="00466475" w:rsidP="001C100C">
            <w:pPr>
              <w:pStyle w:val="Tabletext"/>
              <w:cnfStyle w:val="000000000000" w:firstRow="0" w:lastRow="0" w:firstColumn="0" w:lastColumn="0" w:oddVBand="0" w:evenVBand="0" w:oddHBand="0" w:evenHBand="0" w:firstRowFirstColumn="0" w:firstRowLastColumn="0" w:lastRowFirstColumn="0" w:lastRowLastColumn="0"/>
            </w:pPr>
            <w:r w:rsidRPr="0042214E">
              <w:rPr>
                <w:rStyle w:val="Emphasis"/>
              </w:rPr>
              <w:t>12.</w:t>
            </w:r>
            <w:r w:rsidRPr="0042214E">
              <w:t xml:space="preserve"> Is the preferred </w:t>
            </w:r>
            <w:r w:rsidR="00784678" w:rsidRPr="0042214E">
              <w:t>response</w:t>
            </w:r>
            <w:r w:rsidRPr="0042214E">
              <w:t xml:space="preserve"> option the most effective way to address the problem and deliver the benefits?</w:t>
            </w:r>
          </w:p>
        </w:tc>
        <w:tc>
          <w:tcPr>
            <w:tcW w:w="2195" w:type="dxa"/>
          </w:tcPr>
          <w:p w14:paraId="4F4EB77B" w14:textId="77777777" w:rsidR="00466475" w:rsidRPr="0042214E" w:rsidRDefault="00466475" w:rsidP="001C100C">
            <w:pPr>
              <w:pStyle w:val="Tabletext"/>
              <w:cnfStyle w:val="000000000000" w:firstRow="0" w:lastRow="0" w:firstColumn="0" w:lastColumn="0" w:oddVBand="0" w:evenVBand="0" w:oddHBand="0" w:evenHBand="0" w:firstRowFirstColumn="0" w:firstRowLastColumn="0" w:lastRowFirstColumn="0" w:lastRowLastColumn="0"/>
            </w:pPr>
            <w:r w:rsidRPr="0042214E">
              <w:rPr>
                <w:rStyle w:val="Emphasis"/>
              </w:rPr>
              <w:t>16.</w:t>
            </w:r>
            <w:r w:rsidRPr="0042214E">
              <w:t xml:space="preserve"> Can the solution really be delivered (cost, risk, timeframes etc.)?</w:t>
            </w:r>
          </w:p>
        </w:tc>
      </w:tr>
    </w:tbl>
    <w:p w14:paraId="4846773E" w14:textId="77777777" w:rsidR="00104E20" w:rsidRDefault="00104E20" w:rsidP="00104E20">
      <w:pPr>
        <w:pStyle w:val="Spacer"/>
      </w:pPr>
      <w:bookmarkStart w:id="45" w:name="_Toc18568439"/>
      <w:bookmarkStart w:id="46" w:name="_Toc18568457"/>
      <w:bookmarkStart w:id="47" w:name="_Toc18568463"/>
      <w:bookmarkStart w:id="48" w:name="_Toc18568469"/>
      <w:bookmarkStart w:id="49" w:name="_Toc18568475"/>
      <w:bookmarkStart w:id="50" w:name="_Toc18568487"/>
      <w:bookmarkStart w:id="51" w:name="_Toc18568493"/>
      <w:bookmarkStart w:id="52" w:name="_Toc18568499"/>
      <w:bookmarkStart w:id="53" w:name="_Toc18568507"/>
      <w:bookmarkStart w:id="54" w:name="_Toc18568513"/>
      <w:bookmarkStart w:id="55" w:name="_Toc18568525"/>
      <w:bookmarkStart w:id="56" w:name="_Toc18568531"/>
      <w:bookmarkStart w:id="57" w:name="_Toc18568537"/>
      <w:bookmarkStart w:id="58" w:name="_Toc18568543"/>
      <w:bookmarkStart w:id="59" w:name="_Toc18568549"/>
      <w:bookmarkStart w:id="60" w:name="_Toc18568562"/>
      <w:bookmarkStart w:id="61" w:name="_Toc18568568"/>
      <w:bookmarkStart w:id="62" w:name="_Toc499215083"/>
      <w:bookmarkStart w:id="63" w:name="_Toc49921508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55A7043E" w14:textId="1B4F3239" w:rsidR="0000555E" w:rsidRPr="0042214E" w:rsidRDefault="0000555E" w:rsidP="005E1934">
      <w:pPr>
        <w:pStyle w:val="Heading2numbered"/>
      </w:pPr>
      <w:bookmarkStart w:id="64" w:name="_Toc121415299"/>
      <w:r w:rsidRPr="0042214E">
        <w:t>How long</w:t>
      </w:r>
      <w:r w:rsidR="00034452" w:rsidRPr="0042214E">
        <w:noBreakHyphen/>
      </w:r>
      <w:r w:rsidRPr="0042214E">
        <w:t>term planning relates to this stage</w:t>
      </w:r>
      <w:bookmarkEnd w:id="62"/>
      <w:bookmarkEnd w:id="64"/>
    </w:p>
    <w:p w14:paraId="035AA7E0" w14:textId="6D908BDB" w:rsidR="0000555E" w:rsidRPr="0042214E" w:rsidRDefault="0000555E" w:rsidP="005E1934">
      <w:pPr>
        <w:pStyle w:val="NormalIndent"/>
      </w:pPr>
      <w:r w:rsidRPr="0042214E">
        <w:t>At the investment case stage, agencies should ensure that an identified need for an investment aligns with the agency’s long</w:t>
      </w:r>
      <w:r w:rsidR="00034452" w:rsidRPr="0042214E">
        <w:noBreakHyphen/>
      </w:r>
      <w:r w:rsidRPr="0042214E">
        <w:t>term service planning to meet future service needs and demands</w:t>
      </w:r>
      <w:r w:rsidR="0046303D" w:rsidRPr="0042214E">
        <w:t>,</w:t>
      </w:r>
      <w:r w:rsidRPr="0042214E">
        <w:t xml:space="preserve"> as well as its asset management objectives.</w:t>
      </w:r>
    </w:p>
    <w:p w14:paraId="47E6FEB0" w14:textId="5694C853" w:rsidR="0000555E" w:rsidRPr="0042214E" w:rsidRDefault="0000555E" w:rsidP="005E1934">
      <w:pPr>
        <w:pStyle w:val="NormalIndent"/>
      </w:pPr>
      <w:r w:rsidRPr="0042214E">
        <w:t>Agencies should satisfy themselves that the investment proposal has been considered in the context of a cohesive response to a service delivery challenge. Asset investment proposals should consider the requirements of the Victorian Government’s Asset Management Accountability Framework</w:t>
      </w:r>
      <w:r w:rsidR="000C2DD7" w:rsidRPr="0042214E">
        <w:t xml:space="preserve"> (AMAF)</w:t>
      </w:r>
      <w:r w:rsidRPr="0042214E">
        <w:t xml:space="preserve">, align with the department or agency’s asset management strategy, and be included in the asset management strategy for the department’s entire asset base. </w:t>
      </w:r>
    </w:p>
    <w:p w14:paraId="4956B764" w14:textId="3877A4CA" w:rsidR="0000555E" w:rsidRPr="0042214E" w:rsidRDefault="0000555E" w:rsidP="005E1934">
      <w:pPr>
        <w:pStyle w:val="NormalIndent"/>
      </w:pPr>
      <w:r w:rsidRPr="0042214E">
        <w:t xml:space="preserve">Implementation dependencies of other investment initiatives need to be identified and coordinated. </w:t>
      </w:r>
      <w:bookmarkEnd w:id="63"/>
    </w:p>
    <w:p w14:paraId="6905DF10" w14:textId="7448EF1F" w:rsidR="0000555E" w:rsidRPr="0042214E" w:rsidRDefault="0000555E" w:rsidP="005E1934">
      <w:pPr>
        <w:pStyle w:val="NormalIndent"/>
      </w:pPr>
      <w:r w:rsidRPr="0042214E">
        <w:t xml:space="preserve">Central to initiating a new investment is carrying out research, which may have been partially addressed in agency planning processes. This </w:t>
      </w:r>
      <w:r w:rsidR="007A6A1C" w:rsidRPr="0042214E">
        <w:t xml:space="preserve">research </w:t>
      </w:r>
      <w:r w:rsidR="000C208A" w:rsidRPr="0042214E">
        <w:t xml:space="preserve">involves </w:t>
      </w:r>
      <w:r w:rsidRPr="0042214E">
        <w:t xml:space="preserve">analysing the: </w:t>
      </w:r>
    </w:p>
    <w:p w14:paraId="214B4880" w14:textId="24244AF3" w:rsidR="0000555E" w:rsidRPr="0042214E" w:rsidRDefault="0000555E" w:rsidP="006570FB">
      <w:pPr>
        <w:pStyle w:val="Bulletindent"/>
        <w:contextualSpacing/>
      </w:pPr>
      <w:r w:rsidRPr="0042214E">
        <w:t>long</w:t>
      </w:r>
      <w:r w:rsidR="00034452" w:rsidRPr="0042214E">
        <w:noBreakHyphen/>
      </w:r>
      <w:r w:rsidRPr="0042214E">
        <w:t xml:space="preserve">term planning data of the </w:t>
      </w:r>
      <w:proofErr w:type="gramStart"/>
      <w:r w:rsidRPr="0042214E">
        <w:t>organisation;</w:t>
      </w:r>
      <w:proofErr w:type="gramEnd"/>
      <w:r w:rsidRPr="0042214E">
        <w:t xml:space="preserve"> </w:t>
      </w:r>
    </w:p>
    <w:p w14:paraId="60290840" w14:textId="7DE7DE80" w:rsidR="0000555E" w:rsidRPr="0042214E" w:rsidRDefault="0000555E" w:rsidP="006570FB">
      <w:pPr>
        <w:pStyle w:val="Bulletindent"/>
        <w:contextualSpacing/>
      </w:pPr>
      <w:r w:rsidRPr="0042214E">
        <w:t>current market environment (</w:t>
      </w:r>
      <w:r w:rsidR="00126E61" w:rsidRPr="0042214E">
        <w:t>e.g.,</w:t>
      </w:r>
      <w:r w:rsidRPr="0042214E">
        <w:t xml:space="preserve"> cause of the market failure, employment levels</w:t>
      </w:r>
      <w:proofErr w:type="gramStart"/>
      <w:r w:rsidRPr="0042214E">
        <w:t>);</w:t>
      </w:r>
      <w:proofErr w:type="gramEnd"/>
    </w:p>
    <w:p w14:paraId="212E7078" w14:textId="77777777" w:rsidR="0000555E" w:rsidRPr="0042214E" w:rsidRDefault="0000555E" w:rsidP="006570FB">
      <w:pPr>
        <w:pStyle w:val="Bulletindent"/>
        <w:contextualSpacing/>
      </w:pPr>
      <w:r w:rsidRPr="0042214E">
        <w:t xml:space="preserve">impacts on </w:t>
      </w:r>
      <w:proofErr w:type="gramStart"/>
      <w:r w:rsidRPr="0042214E">
        <w:t>stakeholders;</w:t>
      </w:r>
      <w:proofErr w:type="gramEnd"/>
    </w:p>
    <w:p w14:paraId="0D9D70AE" w14:textId="77777777" w:rsidR="0000555E" w:rsidRPr="0042214E" w:rsidRDefault="0000555E" w:rsidP="006570FB">
      <w:pPr>
        <w:pStyle w:val="Bulletindent"/>
        <w:contextualSpacing/>
      </w:pPr>
      <w:r w:rsidRPr="0042214E">
        <w:t xml:space="preserve">evidence of the cause and effect of the </w:t>
      </w:r>
      <w:proofErr w:type="gramStart"/>
      <w:r w:rsidRPr="0042214E">
        <w:t>problem;</w:t>
      </w:r>
      <w:proofErr w:type="gramEnd"/>
    </w:p>
    <w:p w14:paraId="6BF888D1" w14:textId="77777777" w:rsidR="0000555E" w:rsidRPr="0042214E" w:rsidRDefault="0000555E" w:rsidP="006570FB">
      <w:pPr>
        <w:pStyle w:val="Bulletindent"/>
        <w:contextualSpacing/>
      </w:pPr>
      <w:proofErr w:type="gramStart"/>
      <w:r w:rsidRPr="0042214E">
        <w:t>drivers;</w:t>
      </w:r>
      <w:proofErr w:type="gramEnd"/>
    </w:p>
    <w:p w14:paraId="38A5B050" w14:textId="77777777" w:rsidR="0000555E" w:rsidRPr="0042214E" w:rsidRDefault="0000555E" w:rsidP="006570FB">
      <w:pPr>
        <w:pStyle w:val="Bulletindent"/>
        <w:contextualSpacing/>
      </w:pPr>
      <w:r w:rsidRPr="0042214E">
        <w:t xml:space="preserve">current and projected trends and published </w:t>
      </w:r>
      <w:proofErr w:type="gramStart"/>
      <w:r w:rsidRPr="0042214E">
        <w:t>forecasts;</w:t>
      </w:r>
      <w:proofErr w:type="gramEnd"/>
    </w:p>
    <w:p w14:paraId="4769C69A" w14:textId="77777777" w:rsidR="0000555E" w:rsidRPr="0042214E" w:rsidRDefault="0000555E" w:rsidP="006570FB">
      <w:pPr>
        <w:pStyle w:val="Bulletindent"/>
        <w:contextualSpacing/>
      </w:pPr>
      <w:r w:rsidRPr="0042214E">
        <w:t>modelling; and</w:t>
      </w:r>
    </w:p>
    <w:p w14:paraId="3FF4DE1C" w14:textId="77777777" w:rsidR="0000555E" w:rsidRPr="0042214E" w:rsidRDefault="0000555E" w:rsidP="006570FB">
      <w:pPr>
        <w:pStyle w:val="Bulletindent"/>
        <w:contextualSpacing/>
      </w:pPr>
      <w:r w:rsidRPr="0042214E">
        <w:t>technological developments.</w:t>
      </w:r>
    </w:p>
    <w:p w14:paraId="61119B0A" w14:textId="63CC88A8" w:rsidR="004528C5" w:rsidRPr="0042214E" w:rsidRDefault="004E6742" w:rsidP="005E1934">
      <w:pPr>
        <w:pStyle w:val="Heading2numbered"/>
      </w:pPr>
      <w:bookmarkStart w:id="65" w:name="_Toc20816108"/>
      <w:bookmarkStart w:id="66" w:name="_Toc20816109"/>
      <w:bookmarkStart w:id="67" w:name="_Toc121415300"/>
      <w:bookmarkEnd w:id="65"/>
      <w:bookmarkEnd w:id="66"/>
      <w:r w:rsidRPr="0042214E">
        <w:lastRenderedPageBreak/>
        <w:t>Supporting material for the investment case</w:t>
      </w:r>
      <w:bookmarkEnd w:id="67"/>
    </w:p>
    <w:p w14:paraId="7B75C22B" w14:textId="6B4DA1A2" w:rsidR="004528C5" w:rsidRPr="0042214E" w:rsidRDefault="004528C5" w:rsidP="005E1934">
      <w:pPr>
        <w:pStyle w:val="NormalIndent"/>
      </w:pPr>
      <w:r w:rsidRPr="0042214E">
        <w:t xml:space="preserve">The underlying framework of </w:t>
      </w:r>
      <w:r w:rsidR="003D68EE" w:rsidRPr="0042214E">
        <w:t xml:space="preserve">the investment </w:t>
      </w:r>
      <w:r w:rsidRPr="0042214E">
        <w:t xml:space="preserve">case </w:t>
      </w:r>
      <w:r w:rsidR="0099293D" w:rsidRPr="0042214E">
        <w:t>will be submitted together with the following documents</w:t>
      </w:r>
      <w:r w:rsidRPr="0042214E">
        <w:t>:</w:t>
      </w:r>
    </w:p>
    <w:p w14:paraId="74D78DE6" w14:textId="339E3C33" w:rsidR="0099293D" w:rsidRPr="0042214E" w:rsidRDefault="0099293D" w:rsidP="009F67BC">
      <w:pPr>
        <w:pStyle w:val="Bulletindent"/>
        <w:contextualSpacing/>
      </w:pPr>
      <w:r w:rsidRPr="0042214E">
        <w:t xml:space="preserve">Project Profile </w:t>
      </w:r>
      <w:proofErr w:type="gramStart"/>
      <w:r w:rsidRPr="0042214E">
        <w:t>Model;</w:t>
      </w:r>
      <w:proofErr w:type="gramEnd"/>
    </w:p>
    <w:p w14:paraId="0C6B9915" w14:textId="3A8FC372" w:rsidR="0099293D" w:rsidRPr="0042214E" w:rsidRDefault="00681B11" w:rsidP="009F67BC">
      <w:pPr>
        <w:pStyle w:val="Bulletindent"/>
        <w:contextualSpacing/>
      </w:pPr>
      <w:r w:rsidRPr="0042214E">
        <w:t xml:space="preserve">investment logic </w:t>
      </w:r>
      <w:proofErr w:type="gramStart"/>
      <w:r w:rsidRPr="0042214E">
        <w:t>map</w:t>
      </w:r>
      <w:r w:rsidR="0099293D" w:rsidRPr="0042214E">
        <w:t>;</w:t>
      </w:r>
      <w:proofErr w:type="gramEnd"/>
    </w:p>
    <w:p w14:paraId="16DC7D18" w14:textId="008AA418" w:rsidR="0099293D" w:rsidRPr="0042214E" w:rsidRDefault="00681B11" w:rsidP="009F67BC">
      <w:pPr>
        <w:pStyle w:val="Bulletindent"/>
        <w:contextualSpacing/>
      </w:pPr>
      <w:r w:rsidRPr="0042214E">
        <w:t xml:space="preserve">benefit management plan </w:t>
      </w:r>
      <w:r w:rsidR="0099293D" w:rsidRPr="0042214E">
        <w:t xml:space="preserve">(note this is a live document and should be refreshed at regular intervals); and </w:t>
      </w:r>
    </w:p>
    <w:p w14:paraId="23B7B99E" w14:textId="0E681F6E" w:rsidR="0099293D" w:rsidRPr="0042214E" w:rsidRDefault="00A50ADC" w:rsidP="009F67BC">
      <w:pPr>
        <w:pStyle w:val="Bulletindent"/>
        <w:contextualSpacing/>
      </w:pPr>
      <w:r w:rsidRPr="0042214E">
        <w:t>red</w:t>
      </w:r>
      <w:r w:rsidR="00681B11">
        <w:t>-</w:t>
      </w:r>
      <w:r w:rsidR="0099293D" w:rsidRPr="0042214E">
        <w:t>rated Gateway recommendations in the Recommendation Action Plan.</w:t>
      </w:r>
    </w:p>
    <w:p w14:paraId="3846EA03" w14:textId="25D410F9" w:rsidR="00D23097" w:rsidRPr="0042214E" w:rsidRDefault="002771EE" w:rsidP="005E1934">
      <w:pPr>
        <w:pStyle w:val="Heading3numbered"/>
      </w:pPr>
      <w:bookmarkStart w:id="68" w:name="_Toc121415301"/>
      <w:bookmarkStart w:id="69" w:name="_Toc499215095"/>
      <w:r w:rsidRPr="0042214E">
        <w:t>T</w:t>
      </w:r>
      <w:r w:rsidR="00D23097" w:rsidRPr="0042214E">
        <w:t xml:space="preserve">he </w:t>
      </w:r>
      <w:r w:rsidR="007433EF" w:rsidRPr="0042214E">
        <w:t>I</w:t>
      </w:r>
      <w:r w:rsidR="00D23097" w:rsidRPr="0042214E">
        <w:t xml:space="preserve">nvestment </w:t>
      </w:r>
      <w:r w:rsidR="007433EF" w:rsidRPr="0042214E">
        <w:t>Management Standard</w:t>
      </w:r>
      <w:bookmarkEnd w:id="68"/>
    </w:p>
    <w:p w14:paraId="5F43C051" w14:textId="2ACADA1E" w:rsidR="00D23097" w:rsidRPr="0042214E" w:rsidRDefault="00D23097" w:rsidP="005E1934">
      <w:pPr>
        <w:pStyle w:val="NormalIndent"/>
      </w:pPr>
      <w:r w:rsidRPr="0042214E">
        <w:t xml:space="preserve">The </w:t>
      </w:r>
      <w:r w:rsidR="007433EF" w:rsidRPr="0042214E">
        <w:t>I</w:t>
      </w:r>
      <w:r w:rsidRPr="0042214E">
        <w:t xml:space="preserve">nvestment </w:t>
      </w:r>
      <w:r w:rsidR="007433EF" w:rsidRPr="0042214E">
        <w:t>M</w:t>
      </w:r>
      <w:r w:rsidRPr="0042214E">
        <w:t xml:space="preserve">anagement </w:t>
      </w:r>
      <w:r w:rsidR="007433EF" w:rsidRPr="0042214E">
        <w:t xml:space="preserve">Standard (IMS) </w:t>
      </w:r>
      <w:r w:rsidRPr="0042214E">
        <w:t>is a process for applying simple, common</w:t>
      </w:r>
      <w:r w:rsidR="00034452" w:rsidRPr="0042214E">
        <w:noBreakHyphen/>
      </w:r>
      <w:r w:rsidRPr="0042214E">
        <w:t>sense ideas and practices that help organisations to direct their resources and achieve the best outcomes from their investments.</w:t>
      </w:r>
    </w:p>
    <w:p w14:paraId="5FC0362B" w14:textId="77777777" w:rsidR="00D23097" w:rsidRPr="0042214E" w:rsidRDefault="00D23097" w:rsidP="005E1934">
      <w:pPr>
        <w:pStyle w:val="NormalIndent"/>
      </w:pPr>
      <w:r w:rsidRPr="0042214E">
        <w:t>It is grounded on three principles:</w:t>
      </w:r>
    </w:p>
    <w:p w14:paraId="6BEAF00D" w14:textId="620147C8" w:rsidR="00D23097" w:rsidRPr="0042214E" w:rsidRDefault="00FD08C0" w:rsidP="009F67BC">
      <w:pPr>
        <w:pStyle w:val="Bulletindent"/>
      </w:pPr>
      <w:r w:rsidRPr="0042214E">
        <w:t>t</w:t>
      </w:r>
      <w:r w:rsidR="00D23097" w:rsidRPr="0042214E">
        <w:t xml:space="preserve">he best way to pool knowledge is through an informed discussion that brings together those people with the most knowledge of a </w:t>
      </w:r>
      <w:proofErr w:type="gramStart"/>
      <w:r w:rsidR="00D23097" w:rsidRPr="0042214E">
        <w:t>subject;</w:t>
      </w:r>
      <w:proofErr w:type="gramEnd"/>
    </w:p>
    <w:p w14:paraId="2F081A29" w14:textId="3FA48555" w:rsidR="00D23097" w:rsidRPr="0042214E" w:rsidRDefault="00FD08C0" w:rsidP="009F67BC">
      <w:pPr>
        <w:pStyle w:val="Bulletindent"/>
      </w:pPr>
      <w:r w:rsidRPr="0042214E">
        <w:t>t</w:t>
      </w:r>
      <w:r w:rsidR="00D23097" w:rsidRPr="0042214E">
        <w:t>he ‘investment story’ is best depicted on a single page using language and concepts that can be understood by a lay person; and</w:t>
      </w:r>
    </w:p>
    <w:p w14:paraId="64E05F0C" w14:textId="4E648FC6" w:rsidR="00D23097" w:rsidRPr="0042214E" w:rsidRDefault="00215AB4" w:rsidP="009F67BC">
      <w:pPr>
        <w:pStyle w:val="Bulletindent"/>
      </w:pPr>
      <w:r w:rsidRPr="0042214E">
        <w:t>e</w:t>
      </w:r>
      <w:r w:rsidR="00D23097" w:rsidRPr="0042214E">
        <w:t>ach investment should have clearly defined benefits that align with the outcomes the organisation is seeking.</w:t>
      </w:r>
    </w:p>
    <w:p w14:paraId="2A8CBA74" w14:textId="04FCAF00" w:rsidR="00D23097" w:rsidRPr="0042214E" w:rsidRDefault="00EE792B" w:rsidP="005E1934">
      <w:pPr>
        <w:pStyle w:val="NormalIndent"/>
      </w:pPr>
      <w:r w:rsidRPr="0042214E">
        <w:t xml:space="preserve">The </w:t>
      </w:r>
      <w:r w:rsidR="007433EF" w:rsidRPr="0042214E">
        <w:t>IMS</w:t>
      </w:r>
      <w:r w:rsidRPr="0042214E">
        <w:t xml:space="preserve"> was first used to identify </w:t>
      </w:r>
      <w:r w:rsidR="00D23097" w:rsidRPr="0042214E">
        <w:t>individual investments. Today, its uses have broadened to the point where it can now support all the primary investment decision</w:t>
      </w:r>
      <w:r w:rsidR="00034452" w:rsidRPr="0042214E">
        <w:noBreakHyphen/>
      </w:r>
      <w:r w:rsidR="00D23097" w:rsidRPr="0042214E">
        <w:t xml:space="preserve">making functions of an organisation. The investment management map can be used to undertake the following </w:t>
      </w:r>
      <w:r w:rsidR="00FD08C0" w:rsidRPr="0042214E">
        <w:t>seven</w:t>
      </w:r>
      <w:r w:rsidR="00D23097" w:rsidRPr="0042214E">
        <w:t xml:space="preserve"> practices:</w:t>
      </w:r>
    </w:p>
    <w:p w14:paraId="73D9B600" w14:textId="467B6C84" w:rsidR="00D23097" w:rsidRPr="0042214E" w:rsidRDefault="00FD08C0" w:rsidP="009F67BC">
      <w:pPr>
        <w:pStyle w:val="Bulletindent"/>
        <w:contextualSpacing/>
      </w:pPr>
      <w:r w:rsidRPr="0042214E">
        <w:t xml:space="preserve">shape a new </w:t>
      </w:r>
      <w:proofErr w:type="gramStart"/>
      <w:r w:rsidRPr="0042214E">
        <w:t>investment</w:t>
      </w:r>
      <w:r w:rsidR="00D23097" w:rsidRPr="0042214E">
        <w:t>;</w:t>
      </w:r>
      <w:proofErr w:type="gramEnd"/>
      <w:r w:rsidR="00D23097" w:rsidRPr="0042214E">
        <w:t xml:space="preserve"> </w:t>
      </w:r>
    </w:p>
    <w:p w14:paraId="0228113E" w14:textId="240C8814" w:rsidR="00D23097" w:rsidRPr="0042214E" w:rsidRDefault="00FD08C0" w:rsidP="009F67BC">
      <w:pPr>
        <w:pStyle w:val="Bulletindent"/>
        <w:contextualSpacing/>
      </w:pPr>
      <w:r w:rsidRPr="0042214E">
        <w:t xml:space="preserve">prioritise investment </w:t>
      </w:r>
      <w:proofErr w:type="gramStart"/>
      <w:r w:rsidRPr="0042214E">
        <w:t>proposals</w:t>
      </w:r>
      <w:r w:rsidR="00D23097" w:rsidRPr="0042214E">
        <w:t>;</w:t>
      </w:r>
      <w:proofErr w:type="gramEnd"/>
      <w:r w:rsidR="00D23097" w:rsidRPr="0042214E">
        <w:t xml:space="preserve"> </w:t>
      </w:r>
    </w:p>
    <w:p w14:paraId="562A3916" w14:textId="3D8F716C" w:rsidR="00D23097" w:rsidRPr="0042214E" w:rsidRDefault="00FD08C0" w:rsidP="009F67BC">
      <w:pPr>
        <w:pStyle w:val="Bulletindent"/>
        <w:contextualSpacing/>
      </w:pPr>
      <w:r w:rsidRPr="0042214E">
        <w:t xml:space="preserve">develop new </w:t>
      </w:r>
      <w:proofErr w:type="gramStart"/>
      <w:r w:rsidRPr="0042214E">
        <w:t>policy</w:t>
      </w:r>
      <w:r w:rsidR="00D23097" w:rsidRPr="0042214E">
        <w:t>;</w:t>
      </w:r>
      <w:proofErr w:type="gramEnd"/>
      <w:r w:rsidR="00D23097" w:rsidRPr="0042214E">
        <w:t xml:space="preserve"> </w:t>
      </w:r>
    </w:p>
    <w:p w14:paraId="2CDCD85D" w14:textId="7D7224D7" w:rsidR="00D23097" w:rsidRPr="0042214E" w:rsidRDefault="00FD08C0" w:rsidP="009F67BC">
      <w:pPr>
        <w:pStyle w:val="Bulletindent"/>
        <w:contextualSpacing/>
      </w:pPr>
      <w:r w:rsidRPr="0042214E">
        <w:t xml:space="preserve">monitor and measure the delivery of </w:t>
      </w:r>
      <w:proofErr w:type="gramStart"/>
      <w:r w:rsidRPr="0042214E">
        <w:t>benefits</w:t>
      </w:r>
      <w:r w:rsidR="00D23097" w:rsidRPr="0042214E">
        <w:t>;</w:t>
      </w:r>
      <w:proofErr w:type="gramEnd"/>
      <w:r w:rsidR="00D23097" w:rsidRPr="0042214E">
        <w:t xml:space="preserve"> </w:t>
      </w:r>
    </w:p>
    <w:p w14:paraId="2F652A53" w14:textId="741FA117" w:rsidR="00D23097" w:rsidRPr="0042214E" w:rsidRDefault="00FD08C0" w:rsidP="009F67BC">
      <w:pPr>
        <w:pStyle w:val="Bulletindent"/>
        <w:contextualSpacing/>
      </w:pPr>
      <w:r w:rsidRPr="0042214E">
        <w:t xml:space="preserve">evaluate a program of </w:t>
      </w:r>
      <w:proofErr w:type="gramStart"/>
      <w:r w:rsidRPr="0042214E">
        <w:t>investment</w:t>
      </w:r>
      <w:r w:rsidR="00D23097" w:rsidRPr="0042214E">
        <w:t>;</w:t>
      </w:r>
      <w:proofErr w:type="gramEnd"/>
      <w:r w:rsidR="00D23097" w:rsidRPr="0042214E">
        <w:t xml:space="preserve"> </w:t>
      </w:r>
    </w:p>
    <w:p w14:paraId="57157104" w14:textId="46FA45F1" w:rsidR="00D23097" w:rsidRPr="0042214E" w:rsidRDefault="00FD08C0" w:rsidP="009F67BC">
      <w:pPr>
        <w:pStyle w:val="Bulletindent"/>
        <w:contextualSpacing/>
      </w:pPr>
      <w:r w:rsidRPr="0042214E">
        <w:t>refocus an organisation to improve its effectiveness</w:t>
      </w:r>
      <w:r w:rsidR="00D23097" w:rsidRPr="0042214E">
        <w:t xml:space="preserve">; and </w:t>
      </w:r>
    </w:p>
    <w:p w14:paraId="6C9D8F80" w14:textId="557603DC" w:rsidR="00D23097" w:rsidRPr="0042214E" w:rsidRDefault="00FD08C0" w:rsidP="009F67BC">
      <w:pPr>
        <w:pStyle w:val="Bulletindent"/>
        <w:contextualSpacing/>
      </w:pPr>
      <w:r w:rsidRPr="0042214E">
        <w:t>monitor an organisation’s outcomes</w:t>
      </w:r>
      <w:r w:rsidR="00D23097" w:rsidRPr="0042214E">
        <w:t>.</w:t>
      </w:r>
    </w:p>
    <w:p w14:paraId="1CF88EDA" w14:textId="11872675" w:rsidR="00D23097" w:rsidRPr="0042214E" w:rsidRDefault="00D23097" w:rsidP="005E1934">
      <w:pPr>
        <w:pStyle w:val="NormalIndent"/>
      </w:pPr>
      <w:r w:rsidRPr="0042214E">
        <w:t xml:space="preserve">The </w:t>
      </w:r>
      <w:r w:rsidR="007433EF" w:rsidRPr="0042214E">
        <w:t>IMS</w:t>
      </w:r>
      <w:r w:rsidRPr="0042214E">
        <w:t xml:space="preserve"> involves a series of up to four facilitated workshops </w:t>
      </w:r>
      <w:r w:rsidR="00A50ADC" w:rsidRPr="0042214E">
        <w:t xml:space="preserve">that </w:t>
      </w:r>
      <w:r w:rsidRPr="0042214E">
        <w:t>step participants through a ‘line of enquiry’ and helps decision</w:t>
      </w:r>
      <w:r w:rsidR="00034452" w:rsidRPr="0042214E">
        <w:noBreakHyphen/>
      </w:r>
      <w:r w:rsidRPr="0042214E">
        <w:t>makers determine whether:</w:t>
      </w:r>
    </w:p>
    <w:p w14:paraId="068CF713" w14:textId="453A8F1E" w:rsidR="00D23097" w:rsidRPr="0042214E" w:rsidRDefault="00D23097" w:rsidP="009F67BC">
      <w:pPr>
        <w:pStyle w:val="Bulletindent"/>
        <w:contextualSpacing/>
      </w:pPr>
      <w:r w:rsidRPr="0042214E">
        <w:t>there is a real, evidence</w:t>
      </w:r>
      <w:r w:rsidR="00034452" w:rsidRPr="0042214E">
        <w:noBreakHyphen/>
      </w:r>
      <w:r w:rsidRPr="0042214E">
        <w:t xml:space="preserve">based problem that needs to be addressed, now and by this </w:t>
      </w:r>
      <w:proofErr w:type="gramStart"/>
      <w:r w:rsidR="00B31C6F" w:rsidRPr="0042214E">
        <w:t>G</w:t>
      </w:r>
      <w:r w:rsidRPr="0042214E">
        <w:t>overnment;</w:t>
      </w:r>
      <w:proofErr w:type="gramEnd"/>
    </w:p>
    <w:p w14:paraId="68EF3804" w14:textId="1DA5AA29" w:rsidR="00D23097" w:rsidRPr="0042214E" w:rsidRDefault="00D23097" w:rsidP="009F67BC">
      <w:pPr>
        <w:pStyle w:val="Bulletindent"/>
        <w:contextualSpacing/>
      </w:pPr>
      <w:r w:rsidRPr="0042214E">
        <w:t xml:space="preserve">the benefits </w:t>
      </w:r>
      <w:r w:rsidR="00A50ADC" w:rsidRPr="0042214E">
        <w:t xml:space="preserve">that </w:t>
      </w:r>
      <w:r w:rsidRPr="0042214E">
        <w:t xml:space="preserve">will be delivered through successfully addressing the problem are of high value to the organisation and the </w:t>
      </w:r>
      <w:proofErr w:type="gramStart"/>
      <w:r w:rsidRPr="0042214E">
        <w:t>community;</w:t>
      </w:r>
      <w:proofErr w:type="gramEnd"/>
    </w:p>
    <w:p w14:paraId="3C44E06C" w14:textId="77777777" w:rsidR="00D23097" w:rsidRPr="0042214E" w:rsidRDefault="00D23097" w:rsidP="009F67BC">
      <w:pPr>
        <w:pStyle w:val="Bulletindent"/>
        <w:contextualSpacing/>
      </w:pPr>
      <w:r w:rsidRPr="0042214E">
        <w:t xml:space="preserve">the benefits’ KPIs are meaningful, measurable and attributable to the investment and are worth tracking and </w:t>
      </w:r>
      <w:proofErr w:type="gramStart"/>
      <w:r w:rsidRPr="0042214E">
        <w:t>reporting;</w:t>
      </w:r>
      <w:proofErr w:type="gramEnd"/>
    </w:p>
    <w:p w14:paraId="39626973" w14:textId="77777777" w:rsidR="00D23097" w:rsidRPr="0042214E" w:rsidRDefault="00D23097" w:rsidP="009F67BC">
      <w:pPr>
        <w:pStyle w:val="Bulletindent"/>
        <w:contextualSpacing/>
      </w:pPr>
      <w:r w:rsidRPr="0042214E">
        <w:t xml:space="preserve">the way the problem will be addressed is strategic, feasible, and </w:t>
      </w:r>
      <w:proofErr w:type="gramStart"/>
      <w:r w:rsidRPr="0042214E">
        <w:t>innovative;</w:t>
      </w:r>
      <w:proofErr w:type="gramEnd"/>
    </w:p>
    <w:p w14:paraId="0F742EEE" w14:textId="77777777" w:rsidR="00D23097" w:rsidRPr="0042214E" w:rsidRDefault="00D23097" w:rsidP="009F67BC">
      <w:pPr>
        <w:pStyle w:val="Bulletindent"/>
        <w:contextualSpacing/>
      </w:pPr>
      <w:r w:rsidRPr="0042214E">
        <w:t>the solution is likely to be delivered within time and budget constraints; and</w:t>
      </w:r>
    </w:p>
    <w:p w14:paraId="314E26D0" w14:textId="7DB42B8C" w:rsidR="00D23097" w:rsidRPr="0042214E" w:rsidRDefault="00D23097" w:rsidP="009F67BC">
      <w:pPr>
        <w:pStyle w:val="Bulletindent"/>
        <w:contextualSpacing/>
      </w:pPr>
      <w:r w:rsidRPr="0042214E">
        <w:t>the solution can be applied flexibly to manage uncertainty and adapt to changing conditions and demand.</w:t>
      </w:r>
    </w:p>
    <w:p w14:paraId="4F94E044" w14:textId="10909659" w:rsidR="00B258DE" w:rsidRPr="0042214E" w:rsidRDefault="00B258DE" w:rsidP="005E1934">
      <w:pPr>
        <w:pStyle w:val="Heading3numbered"/>
      </w:pPr>
      <w:bookmarkStart w:id="70" w:name="_Toc121415302"/>
      <w:r w:rsidRPr="0042214E">
        <w:lastRenderedPageBreak/>
        <w:t xml:space="preserve">Business case outputs from the </w:t>
      </w:r>
      <w:r w:rsidR="0029659E" w:rsidRPr="0042214E">
        <w:t>IMS</w:t>
      </w:r>
      <w:bookmarkEnd w:id="70"/>
    </w:p>
    <w:p w14:paraId="032C6694" w14:textId="297A301F" w:rsidR="00D23097" w:rsidRPr="0042214E" w:rsidRDefault="00D23097" w:rsidP="005E1934">
      <w:pPr>
        <w:pStyle w:val="NormalIndent"/>
      </w:pPr>
      <w:r w:rsidRPr="0042214E">
        <w:t>It is expected that business case will be accompanied by the following:</w:t>
      </w:r>
    </w:p>
    <w:p w14:paraId="3E25C269" w14:textId="3D3F2605" w:rsidR="00D23097" w:rsidRPr="0042214E" w:rsidRDefault="00681B11" w:rsidP="00681B11">
      <w:pPr>
        <w:pStyle w:val="Bulletindent"/>
      </w:pPr>
      <w:r w:rsidRPr="0042214E">
        <w:rPr>
          <w:b/>
          <w:color w:val="E57200" w:themeColor="accent2"/>
        </w:rPr>
        <w:t xml:space="preserve">investment logic map </w:t>
      </w:r>
      <w:r w:rsidR="00D23097" w:rsidRPr="0042214E">
        <w:rPr>
          <w:b/>
          <w:color w:val="E57200" w:themeColor="accent2"/>
        </w:rPr>
        <w:t>(ILM)</w:t>
      </w:r>
      <w:r w:rsidR="008958CA" w:rsidRPr="0042214E">
        <w:rPr>
          <w:b/>
          <w:color w:val="E57200" w:themeColor="accent2"/>
        </w:rPr>
        <w:t>:</w:t>
      </w:r>
      <w:r w:rsidR="00D23097" w:rsidRPr="0042214E">
        <w:t xml:space="preserve"> </w:t>
      </w:r>
      <w:r w:rsidR="008958CA" w:rsidRPr="0042214E">
        <w:t xml:space="preserve">a </w:t>
      </w:r>
      <w:r w:rsidR="00A36E74" w:rsidRPr="0042214E">
        <w:t>single</w:t>
      </w:r>
      <w:r w:rsidR="00034452" w:rsidRPr="0042214E">
        <w:noBreakHyphen/>
      </w:r>
      <w:r w:rsidR="00A36E74" w:rsidRPr="0042214E">
        <w:t xml:space="preserve">page depiction of the logic that underpins a single investment. It </w:t>
      </w:r>
      <w:r w:rsidR="001D113B" w:rsidRPr="0042214E">
        <w:t>aims to communicate the investment story on a single page using language and concepts that are understandable to a layperson. There are three different levels of ILM</w:t>
      </w:r>
      <w:r w:rsidR="006570FB" w:rsidRPr="0042214E">
        <w:t> </w:t>
      </w:r>
      <w:r w:rsidR="001D113B" w:rsidRPr="0042214E">
        <w:t xml:space="preserve">– for an </w:t>
      </w:r>
      <w:r w:rsidR="001D113B" w:rsidRPr="0042214E">
        <w:rPr>
          <w:i/>
          <w:iCs/>
        </w:rPr>
        <w:t>individual</w:t>
      </w:r>
      <w:r w:rsidR="001D113B" w:rsidRPr="0042214E">
        <w:t xml:space="preserve"> investment, for a </w:t>
      </w:r>
      <w:r w:rsidR="001D113B" w:rsidRPr="0042214E">
        <w:rPr>
          <w:i/>
          <w:iCs/>
        </w:rPr>
        <w:t>program</w:t>
      </w:r>
      <w:r w:rsidR="001D113B" w:rsidRPr="0042214E">
        <w:t xml:space="preserve"> of investment and for an entire </w:t>
      </w:r>
      <w:proofErr w:type="gramStart"/>
      <w:r w:rsidR="001D113B" w:rsidRPr="0042214E">
        <w:rPr>
          <w:i/>
          <w:iCs/>
        </w:rPr>
        <w:t>organisation</w:t>
      </w:r>
      <w:r w:rsidR="003E089D" w:rsidRPr="0042214E">
        <w:t>;</w:t>
      </w:r>
      <w:proofErr w:type="gramEnd"/>
      <w:r w:rsidR="003E089D" w:rsidRPr="0042214E">
        <w:t xml:space="preserve"> and </w:t>
      </w:r>
    </w:p>
    <w:p w14:paraId="4A755382" w14:textId="59F7E648" w:rsidR="00C563CE" w:rsidRPr="0042214E" w:rsidRDefault="00681B11" w:rsidP="00681B11">
      <w:pPr>
        <w:pStyle w:val="Bulletindent"/>
      </w:pPr>
      <w:r w:rsidRPr="0042214E">
        <w:rPr>
          <w:b/>
          <w:color w:val="E57200" w:themeColor="accent2"/>
        </w:rPr>
        <w:t xml:space="preserve">benefit management plan </w:t>
      </w:r>
      <w:r w:rsidR="00D23097" w:rsidRPr="0042214E">
        <w:rPr>
          <w:b/>
          <w:color w:val="E57200" w:themeColor="accent2"/>
        </w:rPr>
        <w:t>(BMP</w:t>
      </w:r>
      <w:r w:rsidR="00C563CE" w:rsidRPr="0042214E">
        <w:rPr>
          <w:b/>
          <w:color w:val="E57200" w:themeColor="accent2"/>
        </w:rPr>
        <w:t>)</w:t>
      </w:r>
      <w:r w:rsidR="008958CA" w:rsidRPr="0042214E">
        <w:rPr>
          <w:b/>
          <w:color w:val="E57200" w:themeColor="accent2"/>
        </w:rPr>
        <w:t>:</w:t>
      </w:r>
      <w:r w:rsidR="00D23097" w:rsidRPr="0042214E">
        <w:t xml:space="preserve"> </w:t>
      </w:r>
      <w:r w:rsidR="008958CA" w:rsidRPr="0042214E">
        <w:t xml:space="preserve">a </w:t>
      </w:r>
      <w:r w:rsidR="00A36E74" w:rsidRPr="0042214E">
        <w:t xml:space="preserve">short document that specifies the benefits an investment will need to deliver to successfully address an identified problem. </w:t>
      </w:r>
      <w:r w:rsidR="00C563CE" w:rsidRPr="0042214E">
        <w:t xml:space="preserve">A benefit definition workshop is used to identify the KPIs, measures and targets that must be met to mitigate the effect of the problem. This workshop produces the first iteration of the benefit management plan that, like the </w:t>
      </w:r>
      <w:r w:rsidR="0029659E" w:rsidRPr="0042214E">
        <w:t>ILM</w:t>
      </w:r>
      <w:r w:rsidR="00C563CE" w:rsidRPr="0042214E">
        <w:t>, evolves as the investment is shaped.</w:t>
      </w:r>
    </w:p>
    <w:p w14:paraId="0A66E94E" w14:textId="482D0349" w:rsidR="00B258DE" w:rsidRPr="0042214E" w:rsidRDefault="00B258DE" w:rsidP="005E1934">
      <w:pPr>
        <w:pStyle w:val="Heading3numbered"/>
      </w:pPr>
      <w:bookmarkStart w:id="71" w:name="_Toc121415303"/>
      <w:r w:rsidRPr="0042214E">
        <w:t>Involving stakeholders</w:t>
      </w:r>
      <w:bookmarkEnd w:id="71"/>
    </w:p>
    <w:p w14:paraId="1226634B" w14:textId="6FA3BA10" w:rsidR="00917919" w:rsidRPr="0042214E" w:rsidRDefault="00D23097" w:rsidP="005E1934">
      <w:pPr>
        <w:pStyle w:val="NormalIndent"/>
      </w:pPr>
      <w:r w:rsidRPr="0042214E">
        <w:t>The ILM and BMP are typically developed through workshops</w:t>
      </w:r>
      <w:r w:rsidR="00917919" w:rsidRPr="0042214E">
        <w:t>. It is recommended that a</w:t>
      </w:r>
      <w:r w:rsidR="007C1AA7" w:rsidRPr="0042214E">
        <w:t xml:space="preserve"> </w:t>
      </w:r>
      <w:hyperlink r:id="rId40" w:tgtFrame="_top" w:tooltip="accredited facilitator" w:history="1">
        <w:r w:rsidR="00917919" w:rsidRPr="0042214E">
          <w:t>facilitator</w:t>
        </w:r>
      </w:hyperlink>
      <w:r w:rsidR="00917919" w:rsidRPr="0042214E">
        <w:t xml:space="preserve"> be used to facilitate workshops for the large investments.</w:t>
      </w:r>
      <w:r w:rsidR="00EE792B" w:rsidRPr="0042214E">
        <w:t xml:space="preserve"> Project teams are encouraged to undertake preliminary analysis to support the discussion, for example</w:t>
      </w:r>
      <w:r w:rsidR="008958CA" w:rsidRPr="0042214E">
        <w:t>,</w:t>
      </w:r>
      <w:r w:rsidR="00EE792B" w:rsidRPr="0042214E">
        <w:t xml:space="preserve"> service modelling and a scan of policy and other </w:t>
      </w:r>
      <w:r w:rsidR="00341D94" w:rsidRPr="0042214E">
        <w:t>g</w:t>
      </w:r>
      <w:r w:rsidR="00EE792B" w:rsidRPr="0042214E">
        <w:t>overnment commitments, prior to the workshops taking place.</w:t>
      </w:r>
    </w:p>
    <w:p w14:paraId="75D4CBCC" w14:textId="205D733F" w:rsidR="0000555E" w:rsidRPr="0042214E" w:rsidRDefault="0000555E" w:rsidP="005E1934">
      <w:pPr>
        <w:pStyle w:val="NormalIndent"/>
      </w:pPr>
      <w:r w:rsidRPr="0042214E">
        <w:t xml:space="preserve">Prior to confirming the case for change, key stakeholders with a vested interest in the investment proposal will provide specialist judgement and opinions to help confirm the need for investment. The client should attend the workshops. </w:t>
      </w:r>
    </w:p>
    <w:p w14:paraId="4F341919" w14:textId="7725E4E8" w:rsidR="0000555E" w:rsidRPr="0042214E" w:rsidRDefault="0000555E" w:rsidP="005E1934">
      <w:pPr>
        <w:pStyle w:val="NormalIndent"/>
      </w:pPr>
      <w:r w:rsidRPr="0042214E">
        <w:t>The client should bring together those people who understand the problem(s) and can provide the evidence that will validate that the identified problem(s) are real. If a project is likely to be HVHR, project teams should involve DTF in the ILM process. The number of people involved will probably be between five and eight, depending on the nature of the investment</w:t>
      </w:r>
      <w:r w:rsidR="008958CA" w:rsidRPr="0042214E">
        <w:t>,</w:t>
      </w:r>
      <w:r w:rsidRPr="0042214E">
        <w:t xml:space="preserve"> but could be anything up to 15.</w:t>
      </w:r>
    </w:p>
    <w:p w14:paraId="03E6A1DB" w14:textId="2F098C88" w:rsidR="00E7610C" w:rsidRPr="0042214E" w:rsidRDefault="00D23097" w:rsidP="005E1934">
      <w:pPr>
        <w:pStyle w:val="NormalIndent"/>
      </w:pPr>
      <w:r w:rsidRPr="0042214E">
        <w:t xml:space="preserve">Departments may wish to undertake two additional stages of workshops </w:t>
      </w:r>
      <w:r w:rsidR="005F74FD" w:rsidRPr="0042214E">
        <w:t>related to developing a strategic response and solution.</w:t>
      </w:r>
      <w:r w:rsidR="00A36E74" w:rsidRPr="0042214E">
        <w:t xml:space="preserve"> The outputs of these two further workshops are the </w:t>
      </w:r>
      <w:r w:rsidR="00784678" w:rsidRPr="0042214E">
        <w:t xml:space="preserve">response </w:t>
      </w:r>
      <w:r w:rsidR="00A36E74" w:rsidRPr="0042214E">
        <w:t>options analysis and investment concept brief.</w:t>
      </w:r>
      <w:r w:rsidR="00917919" w:rsidRPr="0042214E">
        <w:t xml:space="preserve"> </w:t>
      </w:r>
    </w:p>
    <w:p w14:paraId="7FA38C67" w14:textId="6E92CF0F" w:rsidR="00B258DE" w:rsidRPr="0042214E" w:rsidRDefault="00B258DE" w:rsidP="005E1934">
      <w:pPr>
        <w:pStyle w:val="Heading3numbered"/>
      </w:pPr>
      <w:bookmarkStart w:id="72" w:name="_Toc121415304"/>
      <w:r w:rsidRPr="0042214E">
        <w:t>The Investment Logic Map (ILM)</w:t>
      </w:r>
      <w:bookmarkEnd w:id="72"/>
    </w:p>
    <w:p w14:paraId="3D49E0C9" w14:textId="2EEAC565" w:rsidR="0038765E" w:rsidRPr="0042214E" w:rsidRDefault="0038765E" w:rsidP="00104E20">
      <w:pPr>
        <w:pStyle w:val="NormalIndent"/>
        <w:keepNext/>
      </w:pPr>
      <w:r w:rsidRPr="0042214E">
        <w:t>The ILM makes the investment case in a page, made up of the following stages:</w:t>
      </w:r>
    </w:p>
    <w:p w14:paraId="338E6BC5" w14:textId="0BD08AA4" w:rsidR="0038765E" w:rsidRPr="0042214E" w:rsidRDefault="008958CA" w:rsidP="009F67BC">
      <w:pPr>
        <w:pStyle w:val="Bulletindent"/>
      </w:pPr>
      <w:r w:rsidRPr="0042214E">
        <w:rPr>
          <w:b/>
        </w:rPr>
        <w:t xml:space="preserve">the </w:t>
      </w:r>
      <w:r w:rsidR="0038765E" w:rsidRPr="0042214E">
        <w:rPr>
          <w:b/>
        </w:rPr>
        <w:t>problem</w:t>
      </w:r>
      <w:r w:rsidR="007169E3" w:rsidRPr="0042214E">
        <w:t xml:space="preserve"> –</w:t>
      </w:r>
      <w:r w:rsidR="0052545E" w:rsidRPr="0042214E">
        <w:t xml:space="preserve"> </w:t>
      </w:r>
      <w:r w:rsidRPr="0042214E">
        <w:t xml:space="preserve">the </w:t>
      </w:r>
      <w:r w:rsidR="00B263EE" w:rsidRPr="0042214E">
        <w:t>first discussion establishes the problem that needs to be addressed.</w:t>
      </w:r>
      <w:r w:rsidR="00BB796D" w:rsidRPr="0042214E">
        <w:t xml:space="preserve"> It seeks to identify the problem driving consideration of a new investment</w:t>
      </w:r>
      <w:r w:rsidR="00B05DDB" w:rsidRPr="0042214E">
        <w:t xml:space="preserve"> or </w:t>
      </w:r>
      <w:r w:rsidR="003F4147" w:rsidRPr="0042214E">
        <w:t>intervention</w:t>
      </w:r>
      <w:r w:rsidR="00BB796D" w:rsidRPr="0042214E">
        <w:t xml:space="preserve">, the evidence to confirm both cause and effect of the problem, and the benefits for the organisation in responding to the </w:t>
      </w:r>
      <w:proofErr w:type="gramStart"/>
      <w:r w:rsidR="00BB796D" w:rsidRPr="0042214E">
        <w:t>problem</w:t>
      </w:r>
      <w:r w:rsidR="003E089D" w:rsidRPr="0042214E">
        <w:t>;</w:t>
      </w:r>
      <w:proofErr w:type="gramEnd"/>
    </w:p>
    <w:p w14:paraId="2F7A02A3" w14:textId="3BE41E84" w:rsidR="00D1728F" w:rsidRPr="0042214E" w:rsidRDefault="008958CA" w:rsidP="009F67BC">
      <w:pPr>
        <w:pStyle w:val="Bulletindent"/>
      </w:pPr>
      <w:r w:rsidRPr="0042214E">
        <w:rPr>
          <w:b/>
        </w:rPr>
        <w:t xml:space="preserve">the </w:t>
      </w:r>
      <w:r w:rsidR="00D1728F" w:rsidRPr="0042214E">
        <w:rPr>
          <w:b/>
        </w:rPr>
        <w:t>benefits</w:t>
      </w:r>
      <w:r w:rsidR="00D1728F" w:rsidRPr="0042214E">
        <w:t xml:space="preserve"> – </w:t>
      </w:r>
      <w:r w:rsidRPr="0042214E">
        <w:t xml:space="preserve">this </w:t>
      </w:r>
      <w:r w:rsidR="00D1728F" w:rsidRPr="0042214E">
        <w:t xml:space="preserve">identifies the evidence that will be needed to demonstrate that the identified problems have been properly addressed, who will be responsible for delivering the benefits and how these will be tracked and monitored. KPIs will provide the evidence and should be developed after the solution definition is developed. </w:t>
      </w:r>
      <w:r w:rsidR="00FF3CCE" w:rsidRPr="0042214E">
        <w:t xml:space="preserve">Revisiting the benefits to identify the </w:t>
      </w:r>
      <w:r w:rsidR="00D1728F" w:rsidRPr="0042214E">
        <w:t>KPI</w:t>
      </w:r>
      <w:r w:rsidR="00FF3CCE" w:rsidRPr="0042214E">
        <w:t>s</w:t>
      </w:r>
      <w:r w:rsidR="00D1728F" w:rsidRPr="0042214E">
        <w:t xml:space="preserve"> (</w:t>
      </w:r>
      <w:r w:rsidR="00825CA5" w:rsidRPr="0042214E">
        <w:t>e.g.,</w:t>
      </w:r>
      <w:r w:rsidR="00D1728F" w:rsidRPr="0042214E">
        <w:t xml:space="preserve"> rates of childhood obesity)</w:t>
      </w:r>
      <w:r w:rsidR="00FF3CCE" w:rsidRPr="0042214E">
        <w:t xml:space="preserve"> should also involve </w:t>
      </w:r>
      <w:r w:rsidR="00D1728F" w:rsidRPr="0042214E">
        <w:t>specify</w:t>
      </w:r>
      <w:r w:rsidR="00FF3CCE" w:rsidRPr="0042214E">
        <w:t>ing the baseline and target</w:t>
      </w:r>
      <w:r w:rsidR="00FD3661" w:rsidRPr="0042214E">
        <w:t xml:space="preserve"> (</w:t>
      </w:r>
      <w:r w:rsidR="00825CA5" w:rsidRPr="0042214E">
        <w:t>e.g.,</w:t>
      </w:r>
      <w:r w:rsidR="00D1728F" w:rsidRPr="0042214E">
        <w:t xml:space="preserve"> to what degree childhood obesity needs to be reduced</w:t>
      </w:r>
      <w:proofErr w:type="gramStart"/>
      <w:r w:rsidR="00FD3661" w:rsidRPr="0042214E">
        <w:t>)</w:t>
      </w:r>
      <w:r w:rsidR="003E089D" w:rsidRPr="0042214E">
        <w:t>;</w:t>
      </w:r>
      <w:proofErr w:type="gramEnd"/>
    </w:p>
    <w:p w14:paraId="4F8A87AD" w14:textId="32E7AAF1" w:rsidR="00F8777D" w:rsidRPr="0042214E" w:rsidRDefault="008958CA" w:rsidP="009F67BC">
      <w:pPr>
        <w:pStyle w:val="Bulletindent"/>
      </w:pPr>
      <w:r w:rsidRPr="0042214E">
        <w:rPr>
          <w:b/>
        </w:rPr>
        <w:lastRenderedPageBreak/>
        <w:t xml:space="preserve">the </w:t>
      </w:r>
      <w:r w:rsidR="00F8777D" w:rsidRPr="0042214E">
        <w:rPr>
          <w:b/>
        </w:rPr>
        <w:t>strategic response</w:t>
      </w:r>
      <w:r w:rsidR="00F8777D" w:rsidRPr="0042214E">
        <w:t xml:space="preserve"> </w:t>
      </w:r>
      <w:r w:rsidR="003F4147" w:rsidRPr="0042214E">
        <w:t>–</w:t>
      </w:r>
      <w:r w:rsidR="00F8777D" w:rsidRPr="0042214E">
        <w:t xml:space="preserve"> </w:t>
      </w:r>
      <w:r w:rsidRPr="0042214E">
        <w:t xml:space="preserve">the </w:t>
      </w:r>
      <w:r w:rsidR="003F4147" w:rsidRPr="0042214E">
        <w:t>strategic response</w:t>
      </w:r>
      <w:r w:rsidR="00A6044E" w:rsidRPr="0042214E">
        <w:t xml:space="preserve"> should consider</w:t>
      </w:r>
      <w:r w:rsidR="003F4147" w:rsidRPr="0042214E">
        <w:t xml:space="preserve"> </w:t>
      </w:r>
      <w:r w:rsidR="00A6044E" w:rsidRPr="0042214E">
        <w:t>a broad range of interventions such as demand management, regulation change, repurposing assets, investing in new assets and market</w:t>
      </w:r>
      <w:r w:rsidR="00034452" w:rsidRPr="0042214E">
        <w:noBreakHyphen/>
      </w:r>
      <w:r w:rsidR="00A6044E" w:rsidRPr="0042214E">
        <w:t xml:space="preserve">based solutions. </w:t>
      </w:r>
      <w:r w:rsidR="00F8777D" w:rsidRPr="0042214E">
        <w:t>Each time there is a need to consider a new investment there is also an opportunity to substantially improve the way things will be done in the future.</w:t>
      </w:r>
      <w:r w:rsidR="00A6044E" w:rsidRPr="0042214E">
        <w:t xml:space="preserve"> I</w:t>
      </w:r>
      <w:r w:rsidR="00F8777D" w:rsidRPr="0042214E">
        <w:t>nnovative approaches that are better and cheaper can be explored</w:t>
      </w:r>
      <w:r w:rsidR="003E089D" w:rsidRPr="0042214E">
        <w:t>; and</w:t>
      </w:r>
    </w:p>
    <w:p w14:paraId="7E4919BE" w14:textId="592AFBA3" w:rsidR="00F8777D" w:rsidRPr="0042214E" w:rsidRDefault="008958CA" w:rsidP="009F67BC">
      <w:pPr>
        <w:pStyle w:val="Bulletindent"/>
      </w:pPr>
      <w:r w:rsidRPr="0042214E">
        <w:rPr>
          <w:b/>
        </w:rPr>
        <w:t xml:space="preserve">the </w:t>
      </w:r>
      <w:r w:rsidR="00F8777D" w:rsidRPr="0042214E">
        <w:rPr>
          <w:b/>
        </w:rPr>
        <w:t>solution definition</w:t>
      </w:r>
      <w:r w:rsidR="00F8777D" w:rsidRPr="0042214E">
        <w:t xml:space="preserve"> – </w:t>
      </w:r>
      <w:r w:rsidRPr="0042214E">
        <w:t xml:space="preserve">these </w:t>
      </w:r>
      <w:r w:rsidR="00F8777D" w:rsidRPr="0042214E">
        <w:t>build on the strategic response and identify the project options (‘Should the hospital have 350 or 500 beds?’) or procurement options (‘What acquisition model should be adopted?’). Merit is based on a balance of five factors: benefits, cost, timelines, risks</w:t>
      </w:r>
      <w:r w:rsidRPr="0042214E">
        <w:t>,</w:t>
      </w:r>
      <w:r w:rsidR="00F8777D" w:rsidRPr="0042214E">
        <w:t xml:space="preserve"> and dis</w:t>
      </w:r>
      <w:r w:rsidR="00034452" w:rsidRPr="0042214E">
        <w:noBreakHyphen/>
      </w:r>
      <w:r w:rsidR="00F8777D" w:rsidRPr="0042214E">
        <w:t xml:space="preserve">benefits. </w:t>
      </w:r>
    </w:p>
    <w:p w14:paraId="569DBDA6" w14:textId="7F6B129B" w:rsidR="00B258DE" w:rsidRPr="0042214E" w:rsidRDefault="009354B2" w:rsidP="005E1934">
      <w:pPr>
        <w:pStyle w:val="Heading2numbered"/>
      </w:pPr>
      <w:bookmarkStart w:id="73" w:name="_Toc121415305"/>
      <w:r w:rsidRPr="0042214E">
        <w:t xml:space="preserve">Step 1: </w:t>
      </w:r>
      <w:r w:rsidR="00B258DE" w:rsidRPr="0042214E">
        <w:t>Understanding the problem</w:t>
      </w:r>
      <w:bookmarkEnd w:id="73"/>
    </w:p>
    <w:p w14:paraId="23BA51B3" w14:textId="64BB1C4A" w:rsidR="00B258DE" w:rsidRPr="0042214E" w:rsidRDefault="00B258DE" w:rsidP="005E1934">
      <w:pPr>
        <w:pStyle w:val="NormalIndent"/>
        <w:rPr>
          <w:rStyle w:val="Emphasis"/>
        </w:rPr>
      </w:pPr>
      <w:r w:rsidRPr="0042214E">
        <w:rPr>
          <w:rStyle w:val="Emphasis"/>
        </w:rPr>
        <w:t>The problem is</w:t>
      </w:r>
      <w:r w:rsidR="005C4A90" w:rsidRPr="0042214E">
        <w:rPr>
          <w:rStyle w:val="Emphasis"/>
        </w:rPr>
        <w:t xml:space="preserve"> </w:t>
      </w:r>
      <w:r w:rsidRPr="0042214E">
        <w:rPr>
          <w:rStyle w:val="Emphasis"/>
        </w:rPr>
        <w:t>… to understand what the problem is. A problem can also be an opportunity that will be lost.</w:t>
      </w:r>
    </w:p>
    <w:p w14:paraId="0C29AE63" w14:textId="0FFAEABD" w:rsidR="00B258DE" w:rsidRPr="0042214E" w:rsidRDefault="00B258DE" w:rsidP="005E1934">
      <w:pPr>
        <w:pStyle w:val="NormalIndent"/>
      </w:pPr>
      <w:r w:rsidRPr="0042214E">
        <w:t xml:space="preserve">One of the primary reasons that investments fail is that the basic logic for the investment was either not understood or was not shared by all the parties who needed to know. The common cause of this is that the investors themselves were not clear as to what was driving the investment decision or what benefits the investment could reasonably be expected to deliver. </w:t>
      </w:r>
    </w:p>
    <w:p w14:paraId="280C024B" w14:textId="2E6AE6B0" w:rsidR="00F775F7" w:rsidRPr="0042214E" w:rsidRDefault="00F775F7" w:rsidP="005E1934">
      <w:pPr>
        <w:pStyle w:val="NormalIndent"/>
      </w:pPr>
      <w:r w:rsidRPr="0042214E">
        <w:t xml:space="preserve">Note that each problem statement has two elements, a </w:t>
      </w:r>
      <w:proofErr w:type="gramStart"/>
      <w:r w:rsidRPr="0042214E">
        <w:t>cause</w:t>
      </w:r>
      <w:proofErr w:type="gramEnd"/>
      <w:r w:rsidRPr="0042214E">
        <w:t xml:space="preserve"> and an effect, each of which should be explained and evidenced. </w:t>
      </w:r>
    </w:p>
    <w:tbl>
      <w:tblPr>
        <w:tblStyle w:val="TableGrid"/>
        <w:tblW w:w="0" w:type="auto"/>
        <w:tblInd w:w="792" w:type="dxa"/>
        <w:shd w:val="clear" w:color="auto" w:fill="FDF3EA" w:themeFill="accent5" w:themeFillTint="33"/>
        <w:tblLook w:val="0680" w:firstRow="0" w:lastRow="0" w:firstColumn="1" w:lastColumn="0" w:noHBand="1" w:noVBand="1"/>
      </w:tblPr>
      <w:tblGrid>
        <w:gridCol w:w="8406"/>
      </w:tblGrid>
      <w:tr w:rsidR="001B7307" w:rsidRPr="0042214E" w14:paraId="46F33066" w14:textId="77777777" w:rsidTr="00B40ABF">
        <w:tc>
          <w:tcPr>
            <w:cnfStyle w:val="001000000000" w:firstRow="0" w:lastRow="0" w:firstColumn="1" w:lastColumn="0" w:oddVBand="0" w:evenVBand="0" w:oddHBand="0" w:evenHBand="0" w:firstRowFirstColumn="0" w:firstRowLastColumn="0" w:lastRowFirstColumn="0" w:lastRowLastColumn="0"/>
            <w:tcW w:w="8719" w:type="dxa"/>
            <w:shd w:val="clear" w:color="auto" w:fill="FDF3EA" w:themeFill="accent5" w:themeFillTint="33"/>
          </w:tcPr>
          <w:p w14:paraId="4C31BC4A" w14:textId="78A07F1C" w:rsidR="001B7307" w:rsidRPr="0042214E" w:rsidRDefault="001B7307" w:rsidP="00104E20">
            <w:pPr>
              <w:pStyle w:val="Tabletextbold"/>
              <w:pageBreakBefore/>
            </w:pPr>
            <w:r w:rsidRPr="0042214E">
              <w:lastRenderedPageBreak/>
              <w:t>Business case information requirements for problem definition</w:t>
            </w:r>
          </w:p>
          <w:p w14:paraId="261D9CC9" w14:textId="77777777" w:rsidR="00A03BEA" w:rsidRPr="0042214E" w:rsidRDefault="00A03BEA" w:rsidP="00DB6377">
            <w:pPr>
              <w:pStyle w:val="Tablebullet"/>
            </w:pPr>
            <w:r w:rsidRPr="0042214E">
              <w:t>Describe any context and background necessary to outline the existing service delivery environment and introduce the problem or opportunity.</w:t>
            </w:r>
          </w:p>
          <w:p w14:paraId="591499B1" w14:textId="77777777" w:rsidR="00A03BEA" w:rsidRPr="0042214E" w:rsidRDefault="00A03BEA" w:rsidP="00DB6377">
            <w:pPr>
              <w:pStyle w:val="Tablebullet"/>
            </w:pPr>
            <w:r w:rsidRPr="0042214E">
              <w:t xml:space="preserve">Provide details (as relevant) of how the service need is currently addressed, including: </w:t>
            </w:r>
          </w:p>
          <w:p w14:paraId="065910DE" w14:textId="741E50C4" w:rsidR="00A03BEA" w:rsidRPr="0042214E" w:rsidRDefault="00A03BEA" w:rsidP="00104E20">
            <w:pPr>
              <w:pStyle w:val="Tabledash"/>
              <w:contextualSpacing/>
            </w:pPr>
            <w:r w:rsidRPr="0042214E">
              <w:t>any existing similar or related services currently being delivered, how they are being delivered and by who (nominating any government or private sector service delivery agencies and their locations</w:t>
            </w:r>
            <w:proofErr w:type="gramStart"/>
            <w:r w:rsidRPr="0042214E">
              <w:t>);</w:t>
            </w:r>
            <w:proofErr w:type="gramEnd"/>
          </w:p>
          <w:p w14:paraId="21E8C7E7" w14:textId="064276C2" w:rsidR="00A03BEA" w:rsidRPr="0042214E" w:rsidRDefault="00A03BEA" w:rsidP="00104E20">
            <w:pPr>
              <w:pStyle w:val="Tabledash"/>
              <w:contextualSpacing/>
            </w:pPr>
            <w:r w:rsidRPr="0042214E">
              <w:t xml:space="preserve">the existing asset base and its condition, </w:t>
            </w:r>
            <w:proofErr w:type="gramStart"/>
            <w:r w:rsidRPr="0042214E">
              <w:t>capacity</w:t>
            </w:r>
            <w:proofErr w:type="gramEnd"/>
            <w:r w:rsidRPr="0042214E">
              <w:t xml:space="preserve"> and capability to support ongoing service delivery requirements; and</w:t>
            </w:r>
          </w:p>
          <w:p w14:paraId="7A49A5AE" w14:textId="3501BBDE" w:rsidR="00A03BEA" w:rsidRPr="0042214E" w:rsidRDefault="00A03BEA" w:rsidP="00104E20">
            <w:pPr>
              <w:pStyle w:val="Tabledash"/>
              <w:contextualSpacing/>
            </w:pPr>
            <w:r w:rsidRPr="0042214E">
              <w:t>any funding commitments or other resources that support service delivery, including lapsing status.</w:t>
            </w:r>
          </w:p>
          <w:p w14:paraId="76661053" w14:textId="1C2B0258" w:rsidR="00A03BEA" w:rsidRPr="0042214E" w:rsidRDefault="00A03BEA" w:rsidP="00DB6377">
            <w:pPr>
              <w:pStyle w:val="Tablebullet"/>
            </w:pPr>
            <w:r w:rsidRPr="0042214E">
              <w:t>Outline the existing service distribution and levels, commenting on service delivery effectiveness and efficiency and any capacity or capability issues. Note any relevant relationships between the problem and the organisation’s long</w:t>
            </w:r>
            <w:r w:rsidR="00034452" w:rsidRPr="0042214E">
              <w:noBreakHyphen/>
            </w:r>
            <w:r w:rsidRPr="0042214E">
              <w:t>term service and asset planning, Government commitments and strategic priorities (including election commitments) or other relevant plans.</w:t>
            </w:r>
          </w:p>
          <w:p w14:paraId="448D33C4" w14:textId="77777777" w:rsidR="00A03BEA" w:rsidRPr="0042214E" w:rsidRDefault="00A03BEA" w:rsidP="006C1E65">
            <w:pPr>
              <w:pStyle w:val="Tablebullet"/>
              <w:keepNext/>
            </w:pPr>
            <w:r w:rsidRPr="0042214E">
              <w:t>Provide details of any significant prior history relevant to this investment:</w:t>
            </w:r>
          </w:p>
          <w:p w14:paraId="7807CA87" w14:textId="0E89D503" w:rsidR="00A03BEA" w:rsidRPr="0042214E" w:rsidRDefault="00A03BEA" w:rsidP="00104E20">
            <w:pPr>
              <w:pStyle w:val="Tabledash"/>
              <w:contextualSpacing/>
            </w:pPr>
            <w:r w:rsidRPr="0042214E">
              <w:t>any approaches that have been taken to address this problem in the past;</w:t>
            </w:r>
            <w:r w:rsidR="006A6173" w:rsidRPr="0042214E">
              <w:t xml:space="preserve"> and</w:t>
            </w:r>
          </w:p>
          <w:p w14:paraId="49F9C2C3" w14:textId="7091AE67" w:rsidR="00A03BEA" w:rsidRPr="0042214E" w:rsidRDefault="00A03BEA" w:rsidP="00104E20">
            <w:pPr>
              <w:pStyle w:val="Tabledash"/>
              <w:contextualSpacing/>
            </w:pPr>
            <w:r w:rsidRPr="0042214E">
              <w:t>any previous or current funding allocations.</w:t>
            </w:r>
          </w:p>
          <w:p w14:paraId="3E8A6EBE" w14:textId="6E619148" w:rsidR="00F56734" w:rsidRPr="0042214E" w:rsidRDefault="00F56734" w:rsidP="000F7C8B">
            <w:pPr>
              <w:numPr>
                <w:ilvl w:val="0"/>
                <w:numId w:val="2"/>
              </w:numPr>
            </w:pPr>
            <w:r w:rsidRPr="0042214E">
              <w:t>Outline the strategic case for investment – explain the investment need.</w:t>
            </w:r>
          </w:p>
          <w:p w14:paraId="5072C9F2" w14:textId="32C8F7B2" w:rsidR="001B7307" w:rsidRPr="0042214E" w:rsidRDefault="001B7307" w:rsidP="00DB6377">
            <w:pPr>
              <w:pStyle w:val="Tablebullet"/>
            </w:pPr>
            <w:r w:rsidRPr="0042214E">
              <w:t>Explain in plain English on one page the problems that the investment is intended to address. The explanation should cover the cause and effect of each problem, who is affected, how they are affected</w:t>
            </w:r>
            <w:r w:rsidR="00583A72" w:rsidRPr="0042214E">
              <w:t xml:space="preserve">, whether the problem is immediate, transitory, </w:t>
            </w:r>
            <w:proofErr w:type="gramStart"/>
            <w:r w:rsidR="00583A72" w:rsidRPr="0042214E">
              <w:t>ongoing</w:t>
            </w:r>
            <w:proofErr w:type="gramEnd"/>
            <w:r w:rsidR="00583A72" w:rsidRPr="0042214E">
              <w:t xml:space="preserve"> or escalating.</w:t>
            </w:r>
          </w:p>
          <w:p w14:paraId="524C16E8" w14:textId="20289DBB" w:rsidR="00583A72" w:rsidRPr="0042214E" w:rsidRDefault="00583A72" w:rsidP="00DB6377">
            <w:pPr>
              <w:pStyle w:val="Tablebullet"/>
            </w:pPr>
            <w:r w:rsidRPr="0042214E">
              <w:t>Identify the underlying drivers of the service need and how they are contributing to the cause of the problem. Examples of service need drivers include demographic change (population growth/decline, population ageing and longevity, increasing demographic diversity), economic and environmental change, technology advancements, changing social expectations of service delivery, evolving service delivery models, asset condition, etc.</w:t>
            </w:r>
          </w:p>
          <w:p w14:paraId="5EBA2C31" w14:textId="50139DDC" w:rsidR="001B7307" w:rsidRPr="0042214E" w:rsidRDefault="001B7307" w:rsidP="00DB6377">
            <w:pPr>
              <w:pStyle w:val="Tablebullet"/>
            </w:pPr>
            <w:r w:rsidRPr="0042214E">
              <w:t>Provide detailed evidence of both the cause and effect of the problems (</w:t>
            </w:r>
            <w:r w:rsidR="00126E61" w:rsidRPr="0042214E">
              <w:t>e.g.,</w:t>
            </w:r>
            <w:r w:rsidRPr="0042214E">
              <w:t xml:space="preserve"> demand forecasts with assumptions, current performance levels)</w:t>
            </w:r>
            <w:r w:rsidR="001206F4" w:rsidRPr="0042214E">
              <w:t>.</w:t>
            </w:r>
          </w:p>
          <w:p w14:paraId="273E477E" w14:textId="6E27FB30" w:rsidR="001B7307" w:rsidRPr="0042214E" w:rsidRDefault="001B7307" w:rsidP="00DB6377">
            <w:pPr>
              <w:pStyle w:val="Tablebullet"/>
            </w:pPr>
            <w:r w:rsidRPr="0042214E">
              <w:t xml:space="preserve">Where detailed quantitative evidence is not available, </w:t>
            </w:r>
            <w:r w:rsidR="00583A72" w:rsidRPr="0042214E">
              <w:t xml:space="preserve">findings of audits, reviews or other internal or external research, or other </w:t>
            </w:r>
            <w:r w:rsidRPr="0042214E">
              <w:t>facts or examples of the problems can be helpful.</w:t>
            </w:r>
          </w:p>
          <w:p w14:paraId="1639C01F" w14:textId="77777777" w:rsidR="00583A72" w:rsidRPr="0042214E" w:rsidRDefault="00583A72" w:rsidP="00DB6377">
            <w:pPr>
              <w:pStyle w:val="Tablebullet"/>
            </w:pPr>
            <w:r w:rsidRPr="0042214E">
              <w:t xml:space="preserve">Justify why the State should intervene as opposed to private sector/market solution, </w:t>
            </w:r>
            <w:proofErr w:type="gramStart"/>
            <w:r w:rsidRPr="0042214E">
              <w:t>Commonwealth</w:t>
            </w:r>
            <w:proofErr w:type="gramEnd"/>
            <w:r w:rsidRPr="0042214E">
              <w:t xml:space="preserve"> or local government investment. </w:t>
            </w:r>
          </w:p>
          <w:p w14:paraId="1B4971A3" w14:textId="483249C4" w:rsidR="001B7307" w:rsidRPr="0042214E" w:rsidRDefault="001B7307" w:rsidP="00DB6377">
            <w:pPr>
              <w:pStyle w:val="Tablebullet"/>
            </w:pPr>
            <w:r w:rsidRPr="0042214E">
              <w:t>Give an indication of the urgency of the problems by explaining why the problems should be solved now rather than later</w:t>
            </w:r>
            <w:r w:rsidR="009C3D4C" w:rsidRPr="0042214E">
              <w:t>.</w:t>
            </w:r>
          </w:p>
          <w:p w14:paraId="53335BF8" w14:textId="77777777" w:rsidR="009C3D4C" w:rsidRPr="0042214E" w:rsidRDefault="009C3D4C" w:rsidP="00DB6377">
            <w:pPr>
              <w:pStyle w:val="Tablebullet"/>
            </w:pPr>
            <w:r w:rsidRPr="0042214E">
              <w:t>Explain the implications of delaying a response to the defined problem, such as:</w:t>
            </w:r>
          </w:p>
          <w:p w14:paraId="745C0B36" w14:textId="424DF0D3" w:rsidR="009C3D4C" w:rsidRPr="0042214E" w:rsidRDefault="009C3D4C" w:rsidP="00104E20">
            <w:pPr>
              <w:pStyle w:val="Tabledash"/>
              <w:contextualSpacing/>
            </w:pPr>
            <w:r w:rsidRPr="0042214E">
              <w:t xml:space="preserve">physical or capacity limits will be </w:t>
            </w:r>
            <w:proofErr w:type="gramStart"/>
            <w:r w:rsidRPr="0042214E">
              <w:t>reached;</w:t>
            </w:r>
            <w:proofErr w:type="gramEnd"/>
          </w:p>
          <w:p w14:paraId="0A2719D2" w14:textId="345FB18D" w:rsidR="009C3D4C" w:rsidRPr="0042214E" w:rsidRDefault="009C3D4C" w:rsidP="00104E20">
            <w:pPr>
              <w:pStyle w:val="Tabledash"/>
              <w:contextualSpacing/>
            </w:pPr>
            <w:r w:rsidRPr="0042214E">
              <w:t xml:space="preserve">significant reductions in the level of service (quality/quantity) will be </w:t>
            </w:r>
            <w:proofErr w:type="gramStart"/>
            <w:r w:rsidRPr="0042214E">
              <w:t>experienced;</w:t>
            </w:r>
            <w:proofErr w:type="gramEnd"/>
          </w:p>
          <w:p w14:paraId="191642DE" w14:textId="066D661D" w:rsidR="009C3D4C" w:rsidRPr="0042214E" w:rsidRDefault="009C3D4C" w:rsidP="00104E20">
            <w:pPr>
              <w:pStyle w:val="Tabledash"/>
              <w:contextualSpacing/>
            </w:pPr>
            <w:r w:rsidRPr="0042214E">
              <w:t xml:space="preserve">failure to meet specific </w:t>
            </w:r>
            <w:r w:rsidR="00681B11" w:rsidRPr="0042214E">
              <w:t xml:space="preserve">Government </w:t>
            </w:r>
            <w:r w:rsidRPr="0042214E">
              <w:t xml:space="preserve">commitments or legislative </w:t>
            </w:r>
            <w:proofErr w:type="gramStart"/>
            <w:r w:rsidRPr="0042214E">
              <w:t>requirements;</w:t>
            </w:r>
            <w:proofErr w:type="gramEnd"/>
          </w:p>
          <w:p w14:paraId="060FED42" w14:textId="0B630B41" w:rsidR="009C3D4C" w:rsidRPr="0042214E" w:rsidRDefault="009C3D4C" w:rsidP="00104E20">
            <w:pPr>
              <w:pStyle w:val="Tabledash"/>
              <w:contextualSpacing/>
            </w:pPr>
            <w:r w:rsidRPr="0042214E">
              <w:t>requirement for urgent action at additional cost due to asset failure, system overload</w:t>
            </w:r>
            <w:r w:rsidR="001206F4" w:rsidRPr="0042214E">
              <w:t>,</w:t>
            </w:r>
            <w:r w:rsidRPr="0042214E">
              <w:t xml:space="preserve"> </w:t>
            </w:r>
            <w:proofErr w:type="gramStart"/>
            <w:r w:rsidRPr="0042214E">
              <w:t>etc.;</w:t>
            </w:r>
            <w:proofErr w:type="gramEnd"/>
          </w:p>
          <w:p w14:paraId="2C0DAFB4" w14:textId="18D28BA6" w:rsidR="009C3D4C" w:rsidRPr="0042214E" w:rsidRDefault="009C3D4C" w:rsidP="00104E20">
            <w:pPr>
              <w:pStyle w:val="Tabledash"/>
              <w:contextualSpacing/>
            </w:pPr>
            <w:r w:rsidRPr="0042214E">
              <w:t>lead time for investment to become operational; and</w:t>
            </w:r>
          </w:p>
          <w:p w14:paraId="4C44C9E1" w14:textId="083387EB" w:rsidR="009C3D4C" w:rsidRPr="0042214E" w:rsidRDefault="009C3D4C" w:rsidP="00104E20">
            <w:pPr>
              <w:pStyle w:val="Tabledash"/>
              <w:contextualSpacing/>
            </w:pPr>
            <w:r w:rsidRPr="0042214E">
              <w:t>any critical dependencies with related service requirements.</w:t>
            </w:r>
          </w:p>
          <w:p w14:paraId="35F2BF6F" w14:textId="617EAA52" w:rsidR="009C3D4C" w:rsidRPr="0042214E" w:rsidRDefault="009C3D4C" w:rsidP="00DB6377">
            <w:pPr>
              <w:pStyle w:val="Tablebullet"/>
            </w:pPr>
            <w:r w:rsidRPr="0042214E">
              <w:t>Explore whether the problem is suited to a staged response and consider the interface with other programs underway.</w:t>
            </w:r>
          </w:p>
          <w:p w14:paraId="25C38AD5" w14:textId="77777777" w:rsidR="009C517F" w:rsidRPr="0042214E" w:rsidRDefault="009C517F" w:rsidP="00DB6377">
            <w:pPr>
              <w:pStyle w:val="Tablebullet"/>
            </w:pPr>
            <w:r w:rsidRPr="0042214E">
              <w:t>Explain whether similar needs or opportunities exist either inside or outside your organisation that might be addressed together with this proposal.</w:t>
            </w:r>
          </w:p>
          <w:p w14:paraId="7EC8821A" w14:textId="433A82B1" w:rsidR="00583A72" w:rsidRPr="0042214E" w:rsidRDefault="00583A72" w:rsidP="00DB6377">
            <w:pPr>
              <w:pStyle w:val="Tablebullet"/>
            </w:pPr>
            <w:r w:rsidRPr="0042214E">
              <w:t>Identify if there is any uncertainty in the nature, extent or definition of the problem</w:t>
            </w:r>
            <w:r w:rsidR="00DB64D3" w:rsidRPr="0042214E">
              <w:t>/</w:t>
            </w:r>
            <w:r w:rsidRPr="0042214E">
              <w:t xml:space="preserve">opportunity or the ongoing need for the investment: </w:t>
            </w:r>
          </w:p>
          <w:p w14:paraId="6D34123C" w14:textId="195137A1" w:rsidR="00583A72" w:rsidRPr="0042214E" w:rsidRDefault="00583A72" w:rsidP="00104E20">
            <w:pPr>
              <w:pStyle w:val="Tabledash"/>
              <w:contextualSpacing/>
            </w:pPr>
            <w:r w:rsidRPr="0042214E">
              <w:t xml:space="preserve">Are there any interdependencies or external factors that could materially impact the nature or extent of the problem or opportunity, or the underlying service need, in the future?  </w:t>
            </w:r>
          </w:p>
          <w:p w14:paraId="01AC6C21" w14:textId="229D5C0A" w:rsidR="00583A72" w:rsidRPr="0042214E" w:rsidRDefault="00583A72" w:rsidP="00104E20">
            <w:pPr>
              <w:pStyle w:val="Tabledash"/>
              <w:contextualSpacing/>
            </w:pPr>
            <w:r w:rsidRPr="0042214E">
              <w:t>If these uncertainties are realised on the investment, what would be their impact on the ongoing demand or need for the investment?</w:t>
            </w:r>
          </w:p>
          <w:p w14:paraId="3D7715F7" w14:textId="2C265616" w:rsidR="00583A72" w:rsidRPr="0042214E" w:rsidRDefault="00583A72" w:rsidP="00104E20">
            <w:pPr>
              <w:pStyle w:val="Tabledash"/>
              <w:contextualSpacing/>
            </w:pPr>
            <w:r w:rsidRPr="0042214E">
              <w:t>Is there sufficient uncertainty in the nature and extent of the problem to warrant this business case being informed by real options analysis?</w:t>
            </w:r>
          </w:p>
          <w:p w14:paraId="68DED08A" w14:textId="47C37E04" w:rsidR="001B7307" w:rsidRPr="0042214E" w:rsidRDefault="001B7307" w:rsidP="006F2631">
            <w:pPr>
              <w:pStyle w:val="Tablebullet"/>
            </w:pPr>
            <w:r w:rsidRPr="0042214E">
              <w:t>Detail the impact of the problem in the broader service context</w:t>
            </w:r>
            <w:r w:rsidR="00EB46EF" w:rsidRPr="0042214E">
              <w:t>.</w:t>
            </w:r>
          </w:p>
        </w:tc>
      </w:tr>
    </w:tbl>
    <w:p w14:paraId="4EF2616A" w14:textId="030BBD96" w:rsidR="001F1059" w:rsidRPr="0042214E" w:rsidRDefault="008D3A66" w:rsidP="005E1934">
      <w:pPr>
        <w:pStyle w:val="Heading2numbered"/>
      </w:pPr>
      <w:bookmarkStart w:id="74" w:name="_Toc20816142"/>
      <w:bookmarkStart w:id="75" w:name="_Toc121415306"/>
      <w:bookmarkEnd w:id="74"/>
      <w:r w:rsidRPr="0042214E">
        <w:lastRenderedPageBreak/>
        <w:t>Step 2</w:t>
      </w:r>
      <w:r w:rsidR="00DB584B" w:rsidRPr="0042214E">
        <w:t>: Case for change (</w:t>
      </w:r>
      <w:r w:rsidR="001206F4" w:rsidRPr="0042214E">
        <w:t>benefits</w:t>
      </w:r>
      <w:r w:rsidR="00DB584B" w:rsidRPr="0042214E">
        <w:t>)</w:t>
      </w:r>
      <w:bookmarkEnd w:id="75"/>
    </w:p>
    <w:p w14:paraId="2F2C531B" w14:textId="77777777" w:rsidR="001F1059" w:rsidRPr="0042214E" w:rsidRDefault="001F1059" w:rsidP="005E1934">
      <w:pPr>
        <w:pStyle w:val="NormalIndent"/>
      </w:pPr>
      <w:r w:rsidRPr="0042214E">
        <w:t xml:space="preserve">Benefits are the direct advantage gained by Victoria </w:t>
      </w:r>
      <w:proofErr w:type="gramStart"/>
      <w:r w:rsidRPr="0042214E">
        <w:t>as a result of</w:t>
      </w:r>
      <w:proofErr w:type="gramEnd"/>
      <w:r w:rsidRPr="0042214E">
        <w:t xml:space="preserve"> undertaking a particular investment and solving the problems. If an investment would deliver benefits that do not contribute to the public outcomes, then there is no basis of proceeding with the investment.</w:t>
      </w:r>
    </w:p>
    <w:p w14:paraId="527CF8CA" w14:textId="77777777" w:rsidR="001F1059" w:rsidRPr="0042214E" w:rsidRDefault="001F1059" w:rsidP="005E1934">
      <w:pPr>
        <w:pStyle w:val="NormalIndent"/>
      </w:pPr>
      <w:r w:rsidRPr="0042214E">
        <w:t>Benefits should:</w:t>
      </w:r>
    </w:p>
    <w:p w14:paraId="1F615040" w14:textId="29393BC9" w:rsidR="001F1059" w:rsidRPr="0042214E" w:rsidRDefault="001F1059" w:rsidP="009F67BC">
      <w:pPr>
        <w:pStyle w:val="Bulletindent"/>
      </w:pPr>
      <w:r w:rsidRPr="0042214E">
        <w:t>align to organisational outcomes, long</w:t>
      </w:r>
      <w:r w:rsidR="00034452" w:rsidRPr="0042214E">
        <w:noBreakHyphen/>
      </w:r>
      <w:r w:rsidRPr="0042214E">
        <w:t xml:space="preserve">term plans, policies and </w:t>
      </w:r>
      <w:proofErr w:type="gramStart"/>
      <w:r w:rsidRPr="0042214E">
        <w:t>objectives;</w:t>
      </w:r>
      <w:proofErr w:type="gramEnd"/>
    </w:p>
    <w:p w14:paraId="73506C2E" w14:textId="77777777" w:rsidR="001F1059" w:rsidRPr="0042214E" w:rsidRDefault="001F1059" w:rsidP="009F67BC">
      <w:pPr>
        <w:pStyle w:val="Bulletindent"/>
      </w:pPr>
      <w:r w:rsidRPr="0042214E">
        <w:t>be portfolio or agency specific, or whole of government, as the case requires; and</w:t>
      </w:r>
    </w:p>
    <w:p w14:paraId="6F53251B" w14:textId="77777777" w:rsidR="001F1059" w:rsidRPr="0042214E" w:rsidRDefault="001F1059" w:rsidP="00681B11">
      <w:pPr>
        <w:pStyle w:val="Bulletindent"/>
      </w:pPr>
      <w:r w:rsidRPr="0042214E">
        <w:t xml:space="preserve">be real in </w:t>
      </w:r>
      <w:r w:rsidRPr="00681B11">
        <w:t>nature</w:t>
      </w:r>
      <w:r w:rsidRPr="0042214E">
        <w:t>, attainable and be a direct consequence of the proposed investment.</w:t>
      </w:r>
    </w:p>
    <w:p w14:paraId="63C37B83" w14:textId="77777777" w:rsidR="001F1059" w:rsidRPr="0042214E" w:rsidRDefault="001F1059" w:rsidP="00681B11">
      <w:pPr>
        <w:pStyle w:val="NormalIndent"/>
      </w:pPr>
      <w:r w:rsidRPr="0042214E">
        <w:t xml:space="preserve">Benefits </w:t>
      </w:r>
      <w:proofErr w:type="gramStart"/>
      <w:r w:rsidRPr="0042214E">
        <w:t>are able to</w:t>
      </w:r>
      <w:proofErr w:type="gramEnd"/>
      <w:r w:rsidRPr="0042214E">
        <w:t xml:space="preserve"> be realistically substantiated when they are underpinned with meaningful, measurable and attributable key performance indicators (KPIs), and appropriate research.</w:t>
      </w:r>
    </w:p>
    <w:tbl>
      <w:tblPr>
        <w:tblStyle w:val="TableGrid"/>
        <w:tblW w:w="0" w:type="auto"/>
        <w:tblInd w:w="792" w:type="dxa"/>
        <w:shd w:val="clear" w:color="auto" w:fill="FDF3EA" w:themeFill="accent5" w:themeFillTint="33"/>
        <w:tblLook w:val="0600" w:firstRow="0" w:lastRow="0" w:firstColumn="0" w:lastColumn="0" w:noHBand="1" w:noVBand="1"/>
      </w:tblPr>
      <w:tblGrid>
        <w:gridCol w:w="8406"/>
      </w:tblGrid>
      <w:tr w:rsidR="001F1059" w:rsidRPr="0042214E" w14:paraId="544FA447" w14:textId="77777777" w:rsidTr="006F2631">
        <w:trPr>
          <w:cantSplit/>
        </w:trPr>
        <w:tc>
          <w:tcPr>
            <w:tcW w:w="8719" w:type="dxa"/>
            <w:shd w:val="clear" w:color="auto" w:fill="FDF3EA" w:themeFill="accent5" w:themeFillTint="33"/>
          </w:tcPr>
          <w:p w14:paraId="5D66306C" w14:textId="35F18181" w:rsidR="001F1059" w:rsidRPr="0042214E" w:rsidRDefault="001F1059" w:rsidP="006F2631">
            <w:pPr>
              <w:pStyle w:val="Tabletextbold"/>
            </w:pPr>
            <w:r w:rsidRPr="0042214E">
              <w:t xml:space="preserve">Business case information requirements for </w:t>
            </w:r>
            <w:r w:rsidR="00D07DA1" w:rsidRPr="0042214E">
              <w:t>case for change (</w:t>
            </w:r>
            <w:r w:rsidRPr="0042214E">
              <w:t>benefits</w:t>
            </w:r>
            <w:r w:rsidR="00D07DA1" w:rsidRPr="0042214E">
              <w:t>)</w:t>
            </w:r>
          </w:p>
          <w:p w14:paraId="345C854A" w14:textId="790D8EA8" w:rsidR="001F1059" w:rsidRPr="0042214E" w:rsidRDefault="001F1059" w:rsidP="006F2631">
            <w:pPr>
              <w:pStyle w:val="Tabletext"/>
            </w:pPr>
            <w:r w:rsidRPr="0042214E">
              <w:t>Identify the key benefits (high</w:t>
            </w:r>
            <w:r w:rsidR="00034452" w:rsidRPr="0042214E">
              <w:noBreakHyphen/>
            </w:r>
            <w:r w:rsidRPr="0042214E">
              <w:t xml:space="preserve">level economic, </w:t>
            </w:r>
            <w:proofErr w:type="gramStart"/>
            <w:r w:rsidRPr="0042214E">
              <w:t>social</w:t>
            </w:r>
            <w:proofErr w:type="gramEnd"/>
            <w:r w:rsidRPr="0042214E">
              <w:t xml:space="preserve"> and environmental benefits) </w:t>
            </w:r>
            <w:r w:rsidR="00D07DA1" w:rsidRPr="0042214E">
              <w:t xml:space="preserve">and the desired outcomes </w:t>
            </w:r>
            <w:r w:rsidRPr="0042214E">
              <w:t>that flow if the problem(s) are solved.</w:t>
            </w:r>
          </w:p>
          <w:p w14:paraId="5C722A7E" w14:textId="2909D7E5" w:rsidR="001F1059" w:rsidRPr="0042214E" w:rsidRDefault="001F1059" w:rsidP="006F2631">
            <w:pPr>
              <w:pStyle w:val="Tabletext"/>
            </w:pPr>
            <w:r w:rsidRPr="0042214E">
              <w:t>Clearly outline any unrealised benefits or negative consequences resulting from not addressing the problem.</w:t>
            </w:r>
          </w:p>
          <w:p w14:paraId="79AC2C8D" w14:textId="61350BF0" w:rsidR="00D07DA1" w:rsidRPr="0042214E" w:rsidRDefault="00D07DA1" w:rsidP="006F2631">
            <w:pPr>
              <w:pStyle w:val="Tablebullet"/>
            </w:pPr>
            <w:r w:rsidRPr="0042214E">
              <w:t>Outline how business as usual will impact on government policies and strategies.</w:t>
            </w:r>
          </w:p>
          <w:p w14:paraId="22D50FF9" w14:textId="61B1C804" w:rsidR="001F1059" w:rsidRPr="0042214E" w:rsidRDefault="001F1059" w:rsidP="006F2631">
            <w:pPr>
              <w:pStyle w:val="Tablebullet"/>
            </w:pPr>
            <w:r w:rsidRPr="0042214E">
              <w:t xml:space="preserve">Outline how or why the benefits reflect </w:t>
            </w:r>
            <w:r w:rsidR="00D07DA1" w:rsidRPr="0042214E">
              <w:t>government priorities and the department’s corporate, strategic and/or long</w:t>
            </w:r>
            <w:r w:rsidR="00034452" w:rsidRPr="0042214E">
              <w:noBreakHyphen/>
            </w:r>
            <w:r w:rsidR="00D07DA1" w:rsidRPr="0042214E">
              <w:t>term planning documents (</w:t>
            </w:r>
            <w:r w:rsidR="00126E61" w:rsidRPr="0042214E">
              <w:t>e.g.,</w:t>
            </w:r>
            <w:r w:rsidR="00D07DA1" w:rsidRPr="0042214E">
              <w:t xml:space="preserve"> asset management strategy) and how this investment will help to advance the Government and/or organisation to meet its objectives. This might include reference to the size and timing of those benefits.</w:t>
            </w:r>
          </w:p>
          <w:p w14:paraId="62D28205" w14:textId="77777777" w:rsidR="001F1059" w:rsidRPr="0042214E" w:rsidRDefault="001F1059" w:rsidP="006F2631">
            <w:pPr>
              <w:pStyle w:val="Tablebullet"/>
            </w:pPr>
            <w:r w:rsidRPr="0042214E">
              <w:t>Define the measures to be used to show whether the benefits have been delivered.</w:t>
            </w:r>
          </w:p>
          <w:p w14:paraId="40D2ED5B" w14:textId="469952AF" w:rsidR="001F1059" w:rsidRPr="0042214E" w:rsidRDefault="001F1059" w:rsidP="006F2631">
            <w:pPr>
              <w:pStyle w:val="Tablebullet"/>
            </w:pPr>
            <w:r w:rsidRPr="0042214E">
              <w:t>Outline any dis</w:t>
            </w:r>
            <w:r w:rsidR="00034452" w:rsidRPr="0042214E">
              <w:noBreakHyphen/>
            </w:r>
            <w:r w:rsidRPr="0042214E">
              <w:t>benefits that would follow from addressing the problem.</w:t>
            </w:r>
          </w:p>
          <w:p w14:paraId="1CB3CD5E" w14:textId="1010B6FA" w:rsidR="00D07DA1" w:rsidRPr="0042214E" w:rsidRDefault="00D07DA1" w:rsidP="006F2631">
            <w:pPr>
              <w:pStyle w:val="Tablebullet"/>
            </w:pPr>
            <w:r w:rsidRPr="0042214E">
              <w:t>Outline any key interdependencies critical to benefit delivery and strategies required for management. For staged investments this may include successful completion of earlier stages.</w:t>
            </w:r>
          </w:p>
          <w:p w14:paraId="76E89957" w14:textId="7F43CC57" w:rsidR="008B685E" w:rsidRPr="0042214E" w:rsidRDefault="001F1059" w:rsidP="006F2631">
            <w:pPr>
              <w:pStyle w:val="Tablebullet"/>
            </w:pPr>
            <w:r w:rsidRPr="0042214E">
              <w:t>Show that any uncertainties</w:t>
            </w:r>
            <w:r w:rsidR="004C4189" w:rsidRPr="0042214E">
              <w:t xml:space="preserve">, risks, </w:t>
            </w:r>
            <w:proofErr w:type="gramStart"/>
            <w:r w:rsidR="004C4189" w:rsidRPr="0042214E">
              <w:t>constraints</w:t>
            </w:r>
            <w:proofErr w:type="gramEnd"/>
            <w:r w:rsidRPr="0042214E">
              <w:t xml:space="preserve"> or key dependencies critical to benefit delivery have been considered.</w:t>
            </w:r>
          </w:p>
        </w:tc>
      </w:tr>
    </w:tbl>
    <w:p w14:paraId="14F5BA77" w14:textId="77777777" w:rsidR="005B42AE" w:rsidRPr="0042214E" w:rsidRDefault="005B42AE" w:rsidP="005B42AE">
      <w:pPr>
        <w:pStyle w:val="Spacer"/>
      </w:pPr>
    </w:p>
    <w:p w14:paraId="0E5E136F" w14:textId="7E40BF3E" w:rsidR="001F1059" w:rsidRPr="0042214E" w:rsidRDefault="001F1059" w:rsidP="005E1934">
      <w:pPr>
        <w:pStyle w:val="NormalIndent"/>
      </w:pPr>
      <w:r w:rsidRPr="0042214E">
        <w:t>A fictional example for how this might be done is shown below.</w:t>
      </w:r>
    </w:p>
    <w:tbl>
      <w:tblPr>
        <w:tblStyle w:val="DTFtexttableindent"/>
        <w:tblW w:w="0" w:type="auto"/>
        <w:tblBorders>
          <w:top w:val="single" w:sz="12" w:space="0" w:color="E57200" w:themeColor="accent2"/>
          <w:bottom w:val="single" w:sz="12" w:space="0" w:color="E57200" w:themeColor="accent2"/>
          <w:insideH w:val="none" w:sz="0" w:space="0" w:color="auto"/>
          <w:insideV w:val="none" w:sz="0" w:space="0" w:color="auto"/>
        </w:tblBorders>
        <w:tblLook w:val="0480" w:firstRow="0" w:lastRow="0" w:firstColumn="1" w:lastColumn="0" w:noHBand="0" w:noVBand="1"/>
      </w:tblPr>
      <w:tblGrid>
        <w:gridCol w:w="8435"/>
      </w:tblGrid>
      <w:tr w:rsidR="001F1059" w:rsidRPr="0042214E" w14:paraId="7EF5A46D" w14:textId="77777777" w:rsidTr="005B42AE">
        <w:tc>
          <w:tcPr>
            <w:cnfStyle w:val="001000000000" w:firstRow="0" w:lastRow="0" w:firstColumn="1" w:lastColumn="0" w:oddVBand="0" w:evenVBand="0" w:oddHBand="0" w:evenHBand="0" w:firstRowFirstColumn="0" w:firstRowLastColumn="0" w:lastRowFirstColumn="0" w:lastRowLastColumn="0"/>
            <w:tcW w:w="8719" w:type="dxa"/>
          </w:tcPr>
          <w:p w14:paraId="4A1C426B" w14:textId="77777777" w:rsidR="001F1059" w:rsidRPr="0042214E" w:rsidRDefault="001F1059" w:rsidP="006F2631">
            <w:pPr>
              <w:pStyle w:val="Tabletextbold"/>
              <w:rPr>
                <w:sz w:val="20"/>
              </w:rPr>
            </w:pPr>
            <w:r w:rsidRPr="0042214E">
              <w:rPr>
                <w:sz w:val="20"/>
              </w:rPr>
              <w:t>Definition of the benefits (fictional justice example)</w:t>
            </w:r>
          </w:p>
          <w:p w14:paraId="392CEC72" w14:textId="77777777" w:rsidR="001F1059" w:rsidRPr="0042214E" w:rsidRDefault="001F1059" w:rsidP="006F2631">
            <w:pPr>
              <w:pStyle w:val="Tabletextbold"/>
            </w:pPr>
            <w:r w:rsidRPr="0042214E">
              <w:t>Benefits to be delivered</w:t>
            </w:r>
          </w:p>
          <w:p w14:paraId="0B77A8A2" w14:textId="77777777" w:rsidR="001F1059" w:rsidRPr="0042214E" w:rsidRDefault="001F1059" w:rsidP="00817034">
            <w:pPr>
              <w:pStyle w:val="Tabletext"/>
            </w:pPr>
            <w:r w:rsidRPr="0042214E">
              <w:t>Three benefits flow from solving the problems:</w:t>
            </w:r>
          </w:p>
          <w:p w14:paraId="088D12D1" w14:textId="5B4EEB85" w:rsidR="001F1059" w:rsidRPr="0042214E" w:rsidRDefault="001F1059" w:rsidP="0005492C">
            <w:pPr>
              <w:pStyle w:val="Tablenum1"/>
            </w:pPr>
            <w:r w:rsidRPr="0042214E">
              <w:t>More efficient courts – 50</w:t>
            </w:r>
            <w:r w:rsidR="00034452" w:rsidRPr="0042214E">
              <w:t> per cent</w:t>
            </w:r>
          </w:p>
          <w:p w14:paraId="271785BD" w14:textId="77777777" w:rsidR="001F1059" w:rsidRPr="0042214E" w:rsidRDefault="001F1059" w:rsidP="005B42AE">
            <w:pPr>
              <w:pStyle w:val="Tabletextindent"/>
            </w:pPr>
            <w:r w:rsidRPr="0042214E">
              <w:t xml:space="preserve">The court system is currently unable to meet the growing and changing demand for court services, leading to </w:t>
            </w:r>
            <w:proofErr w:type="gramStart"/>
            <w:r w:rsidRPr="0042214E">
              <w:t>delays</w:t>
            </w:r>
            <w:proofErr w:type="gramEnd"/>
            <w:r w:rsidRPr="0042214E">
              <w:t xml:space="preserve"> and increasing costs for all parties. If the problems are solved, a direct benefit will be a decrease in time and costs associated with processing caseloads.</w:t>
            </w:r>
          </w:p>
          <w:p w14:paraId="4C7264C6" w14:textId="21E0E480" w:rsidR="001F1059" w:rsidRPr="0042214E" w:rsidRDefault="001F1059" w:rsidP="0005492C">
            <w:pPr>
              <w:pStyle w:val="Tablenum1"/>
            </w:pPr>
            <w:r w:rsidRPr="0042214E">
              <w:t>More effective justice services – 35</w:t>
            </w:r>
            <w:r w:rsidR="00034452" w:rsidRPr="0042214E">
              <w:t> per cent</w:t>
            </w:r>
          </w:p>
          <w:p w14:paraId="5B90D3D9" w14:textId="4A5A76A9" w:rsidR="001F1059" w:rsidRPr="0042214E" w:rsidRDefault="001F1059" w:rsidP="005B42AE">
            <w:pPr>
              <w:pStyle w:val="Tabletextindent"/>
            </w:pPr>
            <w:r w:rsidRPr="0042214E">
              <w:t xml:space="preserve">Assets that are not able to be easily adapted to meet evolving service delivery requirements. The court system’s ageing asset portfolio is not suited to modern service delivery modes and is undermining programs to reduce recidivism. Modernising the asset base is likely to increase the number of participants completing therapeutic justice programs and </w:t>
            </w:r>
            <w:r w:rsidR="001206F4" w:rsidRPr="0042214E">
              <w:t xml:space="preserve">reduce </w:t>
            </w:r>
            <w:r w:rsidRPr="0042214E">
              <w:t>the percentage of defendants who re</w:t>
            </w:r>
            <w:r w:rsidR="007C3905" w:rsidRPr="0042214E">
              <w:t>-</w:t>
            </w:r>
            <w:r w:rsidRPr="0042214E">
              <w:t>offend.</w:t>
            </w:r>
          </w:p>
          <w:p w14:paraId="5E1C1674" w14:textId="181D7BD2" w:rsidR="001F1059" w:rsidRPr="0042214E" w:rsidRDefault="001F1059" w:rsidP="0005492C">
            <w:pPr>
              <w:pStyle w:val="Tablenum1"/>
            </w:pPr>
            <w:r w:rsidRPr="0042214E">
              <w:t>Improved court safety – 15</w:t>
            </w:r>
            <w:r w:rsidR="00AE4AD0" w:rsidRPr="0042214E">
              <w:t xml:space="preserve"> per cent</w:t>
            </w:r>
          </w:p>
          <w:p w14:paraId="76964C2F" w14:textId="7FA37A43" w:rsidR="001F1059" w:rsidRPr="0042214E" w:rsidRDefault="001F1059" w:rsidP="005B42AE">
            <w:pPr>
              <w:pStyle w:val="Tabletextindent"/>
            </w:pPr>
            <w:r w:rsidRPr="0042214E">
              <w:t>Outdated facilities are unable to support current security requirements and protect court users. Improving court safety and security will enable improved remote witnessing and digital evidence presentation and improve physical separation between parties and court activities.</w:t>
            </w:r>
          </w:p>
        </w:tc>
      </w:tr>
      <w:tr w:rsidR="00A5315C" w:rsidRPr="0042214E" w14:paraId="031DBEF9" w14:textId="77777777" w:rsidTr="005B42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19" w:type="dxa"/>
          </w:tcPr>
          <w:p w14:paraId="52863EA2" w14:textId="284696EF" w:rsidR="00A5315C" w:rsidRPr="0042214E" w:rsidRDefault="00A5315C" w:rsidP="00A5315C">
            <w:pPr>
              <w:pStyle w:val="Tabletextbold"/>
              <w:jc w:val="center"/>
            </w:pPr>
            <w:r w:rsidRPr="0042214E">
              <w:rPr>
                <w:noProof/>
              </w:rPr>
              <w:lastRenderedPageBreak/>
              <w:drawing>
                <wp:inline distT="0" distB="0" distL="0" distR="0" wp14:anchorId="37190DFD" wp14:editId="573A8178">
                  <wp:extent cx="5132977" cy="609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extLst>
                              <a:ext uri="{28A0092B-C50C-407E-A947-70E740481C1C}">
                                <a14:useLocalDpi xmlns:a14="http://schemas.microsoft.com/office/drawing/2010/main" val="0"/>
                              </a:ext>
                            </a:extLst>
                          </a:blip>
                          <a:srcRect b="16031"/>
                          <a:stretch/>
                        </pic:blipFill>
                        <pic:spPr bwMode="auto">
                          <a:xfrm>
                            <a:off x="0" y="0"/>
                            <a:ext cx="5147164" cy="611284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r>
    </w:tbl>
    <w:p w14:paraId="33BC76B9" w14:textId="180AB3BC" w:rsidR="001F1059" w:rsidRPr="0042214E" w:rsidRDefault="001F1059" w:rsidP="00A5315C">
      <w:pPr>
        <w:rPr>
          <w:highlight w:val="yellow"/>
        </w:rPr>
      </w:pPr>
    </w:p>
    <w:p w14:paraId="0F1DD6FD" w14:textId="787DBFFF" w:rsidR="00B258DE" w:rsidRPr="0042214E" w:rsidRDefault="00DE40AF" w:rsidP="005E1934">
      <w:pPr>
        <w:pStyle w:val="Heading2numbered"/>
      </w:pPr>
      <w:bookmarkStart w:id="76" w:name="_Toc20816144"/>
      <w:bookmarkStart w:id="77" w:name="_Toc18568578"/>
      <w:bookmarkStart w:id="78" w:name="_Toc499215103"/>
      <w:bookmarkStart w:id="79" w:name="_Toc121415307"/>
      <w:bookmarkEnd w:id="76"/>
      <w:bookmarkEnd w:id="77"/>
      <w:r w:rsidRPr="0042214E">
        <w:t xml:space="preserve">Step 3: </w:t>
      </w:r>
      <w:r w:rsidR="002771EE" w:rsidRPr="0042214E">
        <w:t>Response option development</w:t>
      </w:r>
      <w:bookmarkEnd w:id="78"/>
      <w:bookmarkEnd w:id="79"/>
    </w:p>
    <w:p w14:paraId="06CD60EF" w14:textId="12882020" w:rsidR="00B258DE" w:rsidRPr="0042214E" w:rsidRDefault="00B258DE" w:rsidP="005E1934">
      <w:pPr>
        <w:pStyle w:val="NormalIndent"/>
      </w:pPr>
      <w:r w:rsidRPr="0042214E">
        <w:t>Each time there is a need to consider a new investment there is also an opportunity to improve the way things will be done in future. Instead of just solving problems the way they were solved ‘last time’</w:t>
      </w:r>
      <w:r w:rsidR="008338CB" w:rsidRPr="0042214E">
        <w:t>,</w:t>
      </w:r>
      <w:r w:rsidRPr="0042214E">
        <w:t xml:space="preserve"> there is an opportunity to consider innovative approaches that are better and cheaper. </w:t>
      </w:r>
    </w:p>
    <w:p w14:paraId="100C6D12" w14:textId="36F34672" w:rsidR="00B258DE" w:rsidRPr="0042214E" w:rsidRDefault="00ED113E" w:rsidP="00A5315C">
      <w:pPr>
        <w:pStyle w:val="NormalIndent"/>
        <w:keepNext/>
      </w:pPr>
      <w:r w:rsidRPr="0042214E">
        <w:lastRenderedPageBreak/>
        <w:t>Agencies should identify p</w:t>
      </w:r>
      <w:r w:rsidR="00B258DE" w:rsidRPr="0042214E">
        <w:t xml:space="preserve">otential </w:t>
      </w:r>
      <w:r w:rsidRPr="0042214E">
        <w:t xml:space="preserve">strategic </w:t>
      </w:r>
      <w:r w:rsidR="00B258DE" w:rsidRPr="0042214E">
        <w:t xml:space="preserve">interventions </w:t>
      </w:r>
      <w:r w:rsidRPr="0042214E">
        <w:t xml:space="preserve">first </w:t>
      </w:r>
      <w:r w:rsidR="00B258DE" w:rsidRPr="0042214E">
        <w:t xml:space="preserve">by exploring a range of alternatives under the following headings: </w:t>
      </w:r>
    </w:p>
    <w:p w14:paraId="47C10083" w14:textId="3989F627" w:rsidR="00B258DE" w:rsidRPr="0042214E" w:rsidRDefault="00B258DE" w:rsidP="00A5315C">
      <w:pPr>
        <w:pStyle w:val="Bulletindent"/>
        <w:keepNext/>
      </w:pPr>
      <w:r w:rsidRPr="0042214E">
        <w:t>change demand (</w:t>
      </w:r>
      <w:r w:rsidR="00126E61" w:rsidRPr="0042214E">
        <w:t>e.g.,</w:t>
      </w:r>
      <w:r w:rsidRPr="0042214E">
        <w:t xml:space="preserve"> measures to reduce demand for services</w:t>
      </w:r>
      <w:proofErr w:type="gramStart"/>
      <w:r w:rsidRPr="0042214E">
        <w:t>);</w:t>
      </w:r>
      <w:proofErr w:type="gramEnd"/>
    </w:p>
    <w:p w14:paraId="523D8B8A" w14:textId="2E73B6FD" w:rsidR="00B258DE" w:rsidRPr="0042214E" w:rsidRDefault="00B258DE" w:rsidP="009F67BC">
      <w:pPr>
        <w:pStyle w:val="Bulletindent"/>
      </w:pPr>
      <w:r w:rsidRPr="0042214E">
        <w:t>improve productivity (</w:t>
      </w:r>
      <w:r w:rsidR="00126E61" w:rsidRPr="0042214E">
        <w:t>e.g.,</w:t>
      </w:r>
      <w:r w:rsidRPr="0042214E">
        <w:t xml:space="preserve"> change service delivery mechanisms); and</w:t>
      </w:r>
    </w:p>
    <w:p w14:paraId="1E1F00D5" w14:textId="4601C463" w:rsidR="00B258DE" w:rsidRPr="0042214E" w:rsidRDefault="00B258DE" w:rsidP="009F67BC">
      <w:pPr>
        <w:pStyle w:val="Bulletindent"/>
      </w:pPr>
      <w:r w:rsidRPr="0042214E">
        <w:t>change supply (</w:t>
      </w:r>
      <w:r w:rsidR="00126E61" w:rsidRPr="0042214E">
        <w:t>e.g.,</w:t>
      </w:r>
      <w:r w:rsidRPr="0042214E">
        <w:t xml:space="preserve"> add capacity to meet increased demand).</w:t>
      </w:r>
    </w:p>
    <w:p w14:paraId="266F9ABC" w14:textId="77777777" w:rsidR="00B258DE" w:rsidRPr="0042214E" w:rsidRDefault="00B258DE" w:rsidP="009F67BC">
      <w:pPr>
        <w:pStyle w:val="NormalIndent"/>
      </w:pPr>
      <w:r w:rsidRPr="0042214E">
        <w:t>Interventions can be implemented via:</w:t>
      </w:r>
    </w:p>
    <w:p w14:paraId="228FF058" w14:textId="7DC59D2A" w:rsidR="00B258DE" w:rsidRPr="0042214E" w:rsidRDefault="008338CB" w:rsidP="009F67BC">
      <w:pPr>
        <w:pStyle w:val="Bulletindent"/>
      </w:pPr>
      <w:r w:rsidRPr="0042214E">
        <w:rPr>
          <w:b/>
        </w:rPr>
        <w:t>non</w:t>
      </w:r>
      <w:r w:rsidR="00034452" w:rsidRPr="0042214E">
        <w:rPr>
          <w:b/>
        </w:rPr>
        <w:noBreakHyphen/>
      </w:r>
      <w:r w:rsidR="00B258DE" w:rsidRPr="0042214E">
        <w:rPr>
          <w:b/>
        </w:rPr>
        <w:t>asset investments:</w:t>
      </w:r>
      <w:r w:rsidR="00B258DE" w:rsidRPr="0042214E">
        <w:t xml:space="preserve"> to deliver new or additional service capacity without creating the need for additional </w:t>
      </w:r>
      <w:proofErr w:type="gramStart"/>
      <w:r w:rsidR="00B258DE" w:rsidRPr="0042214E">
        <w:t>assets;</w:t>
      </w:r>
      <w:proofErr w:type="gramEnd"/>
    </w:p>
    <w:p w14:paraId="070435D7" w14:textId="58A778ED" w:rsidR="00B258DE" w:rsidRPr="0042214E" w:rsidRDefault="008338CB" w:rsidP="009F67BC">
      <w:pPr>
        <w:pStyle w:val="Bulletindent"/>
      </w:pPr>
      <w:bookmarkStart w:id="80" w:name="_Hlk15897915"/>
      <w:r w:rsidRPr="0042214E">
        <w:rPr>
          <w:b/>
        </w:rPr>
        <w:t xml:space="preserve">asset </w:t>
      </w:r>
      <w:r w:rsidR="00B258DE" w:rsidRPr="0042214E">
        <w:rPr>
          <w:b/>
        </w:rPr>
        <w:t>enhancements:</w:t>
      </w:r>
      <w:r w:rsidR="00B258DE" w:rsidRPr="0042214E">
        <w:t xml:space="preserve"> using operational and non</w:t>
      </w:r>
      <w:r w:rsidR="00034452" w:rsidRPr="0042214E">
        <w:noBreakHyphen/>
      </w:r>
      <w:r w:rsidR="00B258DE" w:rsidRPr="0042214E">
        <w:t>operational assets to meet the need, including but not limited to:</w:t>
      </w:r>
    </w:p>
    <w:p w14:paraId="479232BA" w14:textId="54D5D714" w:rsidR="00B258DE" w:rsidRPr="0042214E" w:rsidRDefault="00B258DE" w:rsidP="009F67BC">
      <w:pPr>
        <w:pStyle w:val="Bulletindent2"/>
      </w:pPr>
      <w:r w:rsidRPr="0042214E">
        <w:t>re</w:t>
      </w:r>
      <w:r w:rsidR="00034452" w:rsidRPr="0042214E">
        <w:noBreakHyphen/>
      </w:r>
      <w:r w:rsidRPr="0042214E">
        <w:t xml:space="preserve">purposing </w:t>
      </w:r>
      <w:proofErr w:type="gramStart"/>
      <w:r w:rsidRPr="0042214E">
        <w:t>assets;</w:t>
      </w:r>
      <w:proofErr w:type="gramEnd"/>
    </w:p>
    <w:p w14:paraId="4EB0D732" w14:textId="2F6FD88F" w:rsidR="00B258DE" w:rsidRPr="0042214E" w:rsidRDefault="00B258DE" w:rsidP="009F67BC">
      <w:pPr>
        <w:pStyle w:val="Bulletindent2"/>
      </w:pPr>
      <w:r w:rsidRPr="0042214E">
        <w:t>improving, optimising and re</w:t>
      </w:r>
      <w:r w:rsidR="00034452" w:rsidRPr="0042214E">
        <w:noBreakHyphen/>
      </w:r>
      <w:r w:rsidRPr="0042214E">
        <w:t>examining operations and maintenance strategies to improve productivity and performance of current assets; and</w:t>
      </w:r>
    </w:p>
    <w:p w14:paraId="713C79E5" w14:textId="28285177" w:rsidR="00B258DE" w:rsidRPr="0042214E" w:rsidRDefault="00B258DE" w:rsidP="009F67BC">
      <w:pPr>
        <w:pStyle w:val="Bulletindent2"/>
      </w:pPr>
      <w:r w:rsidRPr="0042214E">
        <w:t>improving the performance of assets through modification/upgrade, enhancement, life extension, sustainability, de</w:t>
      </w:r>
      <w:r w:rsidR="00034452" w:rsidRPr="0042214E">
        <w:noBreakHyphen/>
      </w:r>
      <w:r w:rsidRPr="0042214E">
        <w:t xml:space="preserve">bottlenecking and supply chain </w:t>
      </w:r>
      <w:proofErr w:type="gramStart"/>
      <w:r w:rsidRPr="0042214E">
        <w:t>strategies</w:t>
      </w:r>
      <w:r w:rsidR="008338CB" w:rsidRPr="0042214E">
        <w:t>;</w:t>
      </w:r>
      <w:proofErr w:type="gramEnd"/>
    </w:p>
    <w:p w14:paraId="381D3323" w14:textId="21BAF879" w:rsidR="00B258DE" w:rsidRPr="0042214E" w:rsidRDefault="008338CB" w:rsidP="009F67BC">
      <w:pPr>
        <w:pStyle w:val="Bulletindent"/>
      </w:pPr>
      <w:r w:rsidRPr="0042214E">
        <w:rPr>
          <w:b/>
        </w:rPr>
        <w:t xml:space="preserve">new </w:t>
      </w:r>
      <w:r w:rsidR="00B258DE" w:rsidRPr="0042214E">
        <w:rPr>
          <w:b/>
        </w:rPr>
        <w:t>asset acquisition:</w:t>
      </w:r>
      <w:r w:rsidR="00B258DE" w:rsidRPr="0042214E">
        <w:t xml:space="preserve"> only investing in the development or procurement of new assets that are required to support service delivery objectives</w:t>
      </w:r>
      <w:r w:rsidR="00890695" w:rsidRPr="0042214E">
        <w:t>; and</w:t>
      </w:r>
    </w:p>
    <w:p w14:paraId="533FA3C0" w14:textId="02A7A768" w:rsidR="00B258DE" w:rsidRPr="0042214E" w:rsidRDefault="008338CB" w:rsidP="009F67BC">
      <w:pPr>
        <w:pStyle w:val="Bulletindent"/>
      </w:pPr>
      <w:r w:rsidRPr="0042214E">
        <w:rPr>
          <w:b/>
        </w:rPr>
        <w:t>market</w:t>
      </w:r>
      <w:r w:rsidR="00034452" w:rsidRPr="0042214E">
        <w:rPr>
          <w:b/>
        </w:rPr>
        <w:noBreakHyphen/>
      </w:r>
      <w:r w:rsidR="00B258DE" w:rsidRPr="0042214E">
        <w:rPr>
          <w:b/>
        </w:rPr>
        <w:t>based solutions:</w:t>
      </w:r>
      <w:r w:rsidR="00B258DE" w:rsidRPr="0042214E">
        <w:t xml:space="preserve"> that use market mechanisms such as pricing, property rights and competition to solve common problems. Some examples of market</w:t>
      </w:r>
      <w:r w:rsidR="00034452" w:rsidRPr="0042214E">
        <w:noBreakHyphen/>
      </w:r>
      <w:r w:rsidR="00B258DE" w:rsidRPr="0042214E">
        <w:t>based solutions are:</w:t>
      </w:r>
    </w:p>
    <w:p w14:paraId="4B79D504" w14:textId="7D0C368D" w:rsidR="00B258DE" w:rsidRPr="0042214E" w:rsidRDefault="00B258DE" w:rsidP="009F67BC">
      <w:pPr>
        <w:pStyle w:val="Bulletindent2"/>
      </w:pPr>
      <w:r w:rsidRPr="0042214E">
        <w:t>pricing to manage demand</w:t>
      </w:r>
      <w:r w:rsidR="008338CB" w:rsidRPr="0042214E">
        <w:t>,</w:t>
      </w:r>
      <w:r w:rsidRPr="0042214E">
        <w:t xml:space="preserve"> </w:t>
      </w:r>
      <w:r w:rsidR="00126E61" w:rsidRPr="0042214E">
        <w:t>e.g.,</w:t>
      </w:r>
      <w:r w:rsidRPr="0042214E">
        <w:t xml:space="preserve"> user </w:t>
      </w:r>
      <w:proofErr w:type="gramStart"/>
      <w:r w:rsidRPr="0042214E">
        <w:t>charges;</w:t>
      </w:r>
      <w:proofErr w:type="gramEnd"/>
    </w:p>
    <w:p w14:paraId="1BEDD33F" w14:textId="1D47E63A" w:rsidR="00B258DE" w:rsidRPr="0042214E" w:rsidRDefault="00B258DE" w:rsidP="009F67BC">
      <w:pPr>
        <w:pStyle w:val="Bulletindent2"/>
      </w:pPr>
      <w:r w:rsidRPr="0042214E">
        <w:t>introducing competition into government service delivery</w:t>
      </w:r>
      <w:r w:rsidR="008338CB" w:rsidRPr="0042214E">
        <w:t>,</w:t>
      </w:r>
      <w:r w:rsidRPr="0042214E">
        <w:t xml:space="preserve"> </w:t>
      </w:r>
      <w:r w:rsidR="00126E61" w:rsidRPr="0042214E">
        <w:t>e.g.,</w:t>
      </w:r>
      <w:r w:rsidRPr="0042214E">
        <w:t xml:space="preserve"> through private sector provision; and</w:t>
      </w:r>
    </w:p>
    <w:p w14:paraId="0DCDD4BB" w14:textId="77777777" w:rsidR="00B258DE" w:rsidRPr="0042214E" w:rsidRDefault="00B258DE" w:rsidP="009F67BC">
      <w:pPr>
        <w:pStyle w:val="Bulletindent2"/>
      </w:pPr>
      <w:r w:rsidRPr="0042214E">
        <w:t>implementing incentive structures for purchasing or service delivery arrangements.</w:t>
      </w:r>
    </w:p>
    <w:bookmarkEnd w:id="80"/>
    <w:p w14:paraId="2C66D04B" w14:textId="5BC74E05" w:rsidR="00B258DE" w:rsidRPr="0042214E" w:rsidRDefault="00B258DE" w:rsidP="009F67BC">
      <w:pPr>
        <w:pStyle w:val="NormalIndent"/>
      </w:pPr>
      <w:r w:rsidRPr="0042214E">
        <w:t>Any intervention should be developed following consideration of benchmarks to inform expected performance and value for money outcomes.</w:t>
      </w:r>
    </w:p>
    <w:p w14:paraId="0808FAAC" w14:textId="5A9AED91" w:rsidR="00ED113E" w:rsidRPr="0042214E" w:rsidRDefault="00ED113E" w:rsidP="009F67BC">
      <w:pPr>
        <w:pStyle w:val="NormalIndent"/>
      </w:pPr>
      <w:r w:rsidRPr="0042214E">
        <w:t>Agencies can then group strategic interventions into response options, which are a mix of high</w:t>
      </w:r>
      <w:r w:rsidR="00034452" w:rsidRPr="0042214E">
        <w:noBreakHyphen/>
      </w:r>
      <w:r w:rsidRPr="0042214E">
        <w:t>level strategic interventions that could be taken to respond to an identified problem.</w:t>
      </w:r>
    </w:p>
    <w:p w14:paraId="7F519639" w14:textId="00DC460F" w:rsidR="00B258DE" w:rsidRPr="0042214E" w:rsidRDefault="00ED113E" w:rsidP="009F67BC">
      <w:pPr>
        <w:pStyle w:val="NormalIndent"/>
      </w:pPr>
      <w:r w:rsidRPr="0042214E">
        <w:t xml:space="preserve">Agencies should identify and explore a range of possible response options. </w:t>
      </w:r>
      <w:r w:rsidR="00B258DE" w:rsidRPr="0042214E">
        <w:t xml:space="preserve">Only after </w:t>
      </w:r>
      <w:r w:rsidR="00B26E72" w:rsidRPr="0042214E">
        <w:t>agencies</w:t>
      </w:r>
      <w:r w:rsidR="00B258DE" w:rsidRPr="0042214E">
        <w:t xml:space="preserve"> have identified a preferred response </w:t>
      </w:r>
      <w:r w:rsidRPr="0042214E">
        <w:t xml:space="preserve">option </w:t>
      </w:r>
      <w:r w:rsidR="00B258DE" w:rsidRPr="0042214E">
        <w:t xml:space="preserve">should </w:t>
      </w:r>
      <w:r w:rsidR="00B258DE" w:rsidRPr="00681B11">
        <w:t>project</w:t>
      </w:r>
      <w:r w:rsidR="00B258DE" w:rsidRPr="0042214E">
        <w:t xml:space="preserve"> options</w:t>
      </w:r>
      <w:r w:rsidR="00B26E72" w:rsidRPr="0042214E">
        <w:t xml:space="preserve"> be considered</w:t>
      </w:r>
      <w:r w:rsidR="00B258DE" w:rsidRPr="0042214E">
        <w:t xml:space="preserve">. Project options explore how the preferred </w:t>
      </w:r>
      <w:r w:rsidRPr="0042214E">
        <w:t>response option</w:t>
      </w:r>
      <w:r w:rsidR="00B258DE" w:rsidRPr="0042214E">
        <w:t xml:space="preserve"> might be implemented. They might be business changes that could be made or assets that could be acquired as a way of delivering the benefits expected from an investment (as specified in a benefit management plan) or involve a combination of non</w:t>
      </w:r>
      <w:r w:rsidR="00003CEF" w:rsidRPr="0042214E">
        <w:t>-</w:t>
      </w:r>
      <w:r w:rsidR="00B258DE" w:rsidRPr="0042214E">
        <w:t xml:space="preserve">asset and asset responses. These must be consistent with the identified strategic response. </w:t>
      </w:r>
    </w:p>
    <w:p w14:paraId="7FDA73CE" w14:textId="1EC102E1" w:rsidR="00B258DE" w:rsidRPr="0042214E" w:rsidRDefault="00B258DE" w:rsidP="009F67BC">
      <w:pPr>
        <w:pStyle w:val="NormalIndent"/>
      </w:pPr>
      <w:r w:rsidRPr="0042214E">
        <w:t xml:space="preserve">However, at this stage of the analysis </w:t>
      </w:r>
      <w:r w:rsidR="00B26E72" w:rsidRPr="0042214E">
        <w:t>agencies</w:t>
      </w:r>
      <w:r w:rsidRPr="0042214E">
        <w:t xml:space="preserve"> are asked to focus solely on </w:t>
      </w:r>
      <w:r w:rsidR="00ED113E" w:rsidRPr="0042214E">
        <w:t xml:space="preserve">developing </w:t>
      </w:r>
      <w:r w:rsidRPr="0042214E">
        <w:t xml:space="preserve">the response </w:t>
      </w:r>
      <w:r w:rsidR="00ED113E" w:rsidRPr="0042214E">
        <w:t xml:space="preserve">options </w:t>
      </w:r>
      <w:r w:rsidRPr="0042214E">
        <w:t>to the identified problem</w:t>
      </w:r>
      <w:r w:rsidR="00003CEF" w:rsidRPr="0042214E">
        <w:t xml:space="preserve">; </w:t>
      </w:r>
      <w:r w:rsidRPr="0042214E">
        <w:t xml:space="preserve">project options will be addressed later in </w:t>
      </w:r>
      <w:r w:rsidR="00B26E72" w:rsidRPr="0042214E">
        <w:t xml:space="preserve">the </w:t>
      </w:r>
      <w:r w:rsidRPr="0042214E">
        <w:t xml:space="preserve">analysis. </w:t>
      </w:r>
    </w:p>
    <w:p w14:paraId="7AB572D9" w14:textId="77777777" w:rsidR="002F4F6F" w:rsidRPr="0042214E" w:rsidRDefault="002F4F6F" w:rsidP="005E1934">
      <w:pPr>
        <w:pStyle w:val="Heading3numbered"/>
      </w:pPr>
      <w:bookmarkStart w:id="81" w:name="_Toc121415308"/>
      <w:r w:rsidRPr="0042214E">
        <w:lastRenderedPageBreak/>
        <w:t>Defining the base case – the first response option</w:t>
      </w:r>
      <w:bookmarkEnd w:id="81"/>
    </w:p>
    <w:p w14:paraId="1E03E85E" w14:textId="77777777" w:rsidR="002F4F6F" w:rsidRPr="0042214E" w:rsidRDefault="002F4F6F" w:rsidP="00A5315C">
      <w:pPr>
        <w:pStyle w:val="NormalIndent"/>
        <w:keepNext/>
      </w:pPr>
      <w:r w:rsidRPr="0042214E">
        <w:t>The ‘base case’ is the first response option defining what will occur if continuing under the current policy settings. The base case is a realistic option that could be used for future service delivery.</w:t>
      </w:r>
    </w:p>
    <w:p w14:paraId="16F6299B" w14:textId="0A62763E" w:rsidR="002F4F6F" w:rsidRPr="0042214E" w:rsidRDefault="002F4F6F" w:rsidP="009F67BC">
      <w:pPr>
        <w:pStyle w:val="NormalIndent"/>
      </w:pPr>
      <w:r w:rsidRPr="0042214E">
        <w:t>There are situations when determining the base case isn’t straightforward. Sometimes a ‘do nothing’ (</w:t>
      </w:r>
      <w:r w:rsidR="00126E61" w:rsidRPr="0042214E">
        <w:t>i.e.,</w:t>
      </w:r>
      <w:r w:rsidRPr="0042214E">
        <w:t xml:space="preserve"> spend nothing) base case is possible, in which case base case represents the minimum cost of using the existing arrangements to deliver services at current levels and standards. The Government’s current policy settings should be assumed to be maintained on a per capita basis, including investment levels, unless there is an explicit policy or reason why this should not be the case. </w:t>
      </w:r>
    </w:p>
    <w:tbl>
      <w:tblPr>
        <w:tblStyle w:val="DTFfinancialtableindent"/>
        <w:tblW w:w="0" w:type="auto"/>
        <w:shd w:val="clear" w:color="auto" w:fill="FDF3EA" w:themeFill="accent5" w:themeFillTint="33"/>
        <w:tblLook w:val="0480" w:firstRow="0" w:lastRow="0" w:firstColumn="1" w:lastColumn="0" w:noHBand="0" w:noVBand="1"/>
      </w:tblPr>
      <w:tblGrid>
        <w:gridCol w:w="8377"/>
      </w:tblGrid>
      <w:tr w:rsidR="001B7307" w:rsidRPr="0042214E" w14:paraId="645414E7" w14:textId="77777777" w:rsidTr="00A5315C">
        <w:tc>
          <w:tcPr>
            <w:cnfStyle w:val="001000000000" w:firstRow="0" w:lastRow="0" w:firstColumn="1" w:lastColumn="0" w:oddVBand="0" w:evenVBand="0" w:oddHBand="0" w:evenHBand="0" w:firstRowFirstColumn="0" w:firstRowLastColumn="0" w:lastRowFirstColumn="0" w:lastRowLastColumn="0"/>
            <w:tcW w:w="8719" w:type="dxa"/>
            <w:shd w:val="clear" w:color="auto" w:fill="FDF3EA" w:themeFill="accent5" w:themeFillTint="33"/>
          </w:tcPr>
          <w:p w14:paraId="0F7B47B4" w14:textId="7E42CE76" w:rsidR="001B7307" w:rsidRPr="0042214E" w:rsidRDefault="001B7307" w:rsidP="00A5315C">
            <w:pPr>
              <w:pStyle w:val="Tabletextbold"/>
            </w:pPr>
            <w:r w:rsidRPr="0042214E">
              <w:t>Business case information requirements for response option development</w:t>
            </w:r>
          </w:p>
          <w:p w14:paraId="055A3151" w14:textId="7364FA06" w:rsidR="008B685E" w:rsidRPr="0042214E" w:rsidRDefault="008B685E" w:rsidP="00A5315C">
            <w:pPr>
              <w:pStyle w:val="Tabletextbullet"/>
            </w:pPr>
            <w:r w:rsidRPr="0042214E">
              <w:t xml:space="preserve">Describe the method and criteria used to select, </w:t>
            </w:r>
            <w:proofErr w:type="gramStart"/>
            <w:r w:rsidRPr="0042214E">
              <w:t>assess</w:t>
            </w:r>
            <w:proofErr w:type="gramEnd"/>
            <w:r w:rsidRPr="0042214E">
              <w:t xml:space="preserve"> and rank response options, including assumptions and constraints.</w:t>
            </w:r>
          </w:p>
          <w:p w14:paraId="1719F610" w14:textId="7105D0C4" w:rsidR="008B685E" w:rsidRPr="0042214E" w:rsidRDefault="008B685E" w:rsidP="00A5315C">
            <w:pPr>
              <w:pStyle w:val="Tabletextbullet"/>
            </w:pPr>
            <w:r w:rsidRPr="0042214E">
              <w:t xml:space="preserve">Describe and model the base case, including information on the present service delivery performance, status and condition, </w:t>
            </w:r>
            <w:proofErr w:type="gramStart"/>
            <w:r w:rsidRPr="0042214E">
              <w:t>assumptions</w:t>
            </w:r>
            <w:proofErr w:type="gramEnd"/>
            <w:r w:rsidRPr="0042214E">
              <w:t xml:space="preserve"> and use of existing infrastructure.</w:t>
            </w:r>
          </w:p>
          <w:p w14:paraId="077A825C" w14:textId="7C3E83FB" w:rsidR="001B7307" w:rsidRPr="0042214E" w:rsidRDefault="001B7307" w:rsidP="00A5315C">
            <w:pPr>
              <w:pStyle w:val="Tabletextbullet"/>
            </w:pPr>
            <w:r w:rsidRPr="0042214E">
              <w:t>List and explain potential strategic interventions.</w:t>
            </w:r>
          </w:p>
          <w:p w14:paraId="01E7BF38" w14:textId="18F4C471" w:rsidR="001B7307" w:rsidRPr="0042214E" w:rsidRDefault="001B7307" w:rsidP="00A5315C">
            <w:pPr>
              <w:pStyle w:val="Tabletextbullet"/>
            </w:pPr>
            <w:r w:rsidRPr="0042214E">
              <w:t xml:space="preserve">Explain how the potential strategic interventions can be packaged into </w:t>
            </w:r>
            <w:r w:rsidR="0062009F" w:rsidRPr="0042214E">
              <w:t xml:space="preserve">response </w:t>
            </w:r>
            <w:r w:rsidRPr="0042214E">
              <w:t>options.</w:t>
            </w:r>
          </w:p>
          <w:p w14:paraId="329F78DF" w14:textId="12C3BA4A" w:rsidR="001B7307" w:rsidRPr="0042214E" w:rsidRDefault="001B7307" w:rsidP="00A5315C">
            <w:pPr>
              <w:pStyle w:val="Tabletextbullet"/>
            </w:pPr>
            <w:r w:rsidRPr="0042214E">
              <w:t xml:space="preserve">List (and explain) any </w:t>
            </w:r>
            <w:r w:rsidR="0062009F" w:rsidRPr="0042214E">
              <w:t xml:space="preserve">response </w:t>
            </w:r>
            <w:r w:rsidRPr="0042214E">
              <w:t xml:space="preserve">options considered but then removed prior to the </w:t>
            </w:r>
            <w:r w:rsidR="0062009F" w:rsidRPr="0042214E">
              <w:t xml:space="preserve">response </w:t>
            </w:r>
            <w:r w:rsidRPr="0042214E">
              <w:t xml:space="preserve">options analysis. </w:t>
            </w:r>
          </w:p>
          <w:p w14:paraId="0C318F53" w14:textId="4763B15C" w:rsidR="001B7307" w:rsidRPr="0042214E" w:rsidRDefault="001B7307" w:rsidP="00A5315C">
            <w:pPr>
              <w:pStyle w:val="Tabletextbullet"/>
            </w:pPr>
            <w:r w:rsidRPr="0042214E">
              <w:t xml:space="preserve">Detail the evaluation of the </w:t>
            </w:r>
            <w:r w:rsidR="0062009F" w:rsidRPr="0042214E">
              <w:t xml:space="preserve">response </w:t>
            </w:r>
            <w:r w:rsidRPr="0042214E">
              <w:t>options to determine the recommended response</w:t>
            </w:r>
            <w:r w:rsidR="0062009F" w:rsidRPr="0042214E">
              <w:t xml:space="preserve"> option</w:t>
            </w:r>
            <w:r w:rsidRPr="0042214E">
              <w:t>.</w:t>
            </w:r>
          </w:p>
        </w:tc>
      </w:tr>
    </w:tbl>
    <w:p w14:paraId="6BD48BEB" w14:textId="4FCDED35" w:rsidR="00324D8F" w:rsidRPr="0042214E" w:rsidRDefault="00EC3F96" w:rsidP="005E1934">
      <w:pPr>
        <w:pStyle w:val="Heading2numbered"/>
      </w:pPr>
      <w:bookmarkStart w:id="82" w:name="_Toc20816147"/>
      <w:bookmarkStart w:id="83" w:name="_Toc20816148"/>
      <w:bookmarkStart w:id="84" w:name="_Toc20816149"/>
      <w:bookmarkStart w:id="85" w:name="_Toc20816150"/>
      <w:bookmarkStart w:id="86" w:name="_Toc20816151"/>
      <w:bookmarkStart w:id="87" w:name="_Toc20816152"/>
      <w:bookmarkStart w:id="88" w:name="_Toc20816153"/>
      <w:bookmarkStart w:id="89" w:name="_Toc20816154"/>
      <w:bookmarkStart w:id="90" w:name="_Toc20816155"/>
      <w:bookmarkStart w:id="91" w:name="_Toc20816156"/>
      <w:bookmarkStart w:id="92" w:name="_Toc20816157"/>
      <w:bookmarkStart w:id="93" w:name="_Toc20816158"/>
      <w:bookmarkStart w:id="94" w:name="_Toc20816159"/>
      <w:bookmarkStart w:id="95" w:name="_Toc20816160"/>
      <w:bookmarkStart w:id="96" w:name="_Toc20816161"/>
      <w:bookmarkStart w:id="97" w:name="_Toc20816162"/>
      <w:bookmarkStart w:id="98" w:name="_Toc20816163"/>
      <w:bookmarkStart w:id="99" w:name="_Toc20816164"/>
      <w:bookmarkStart w:id="100" w:name="_Toc20816165"/>
      <w:bookmarkStart w:id="101" w:name="_Toc20816166"/>
      <w:bookmarkStart w:id="102" w:name="_Toc20816167"/>
      <w:bookmarkStart w:id="103" w:name="_Toc20816168"/>
      <w:bookmarkStart w:id="104" w:name="_Toc20816169"/>
      <w:bookmarkStart w:id="105" w:name="_Toc20816170"/>
      <w:bookmarkStart w:id="106" w:name="_Toc20816171"/>
      <w:bookmarkStart w:id="107" w:name="_Toc20816172"/>
      <w:bookmarkStart w:id="108" w:name="_Toc20816173"/>
      <w:bookmarkStart w:id="109" w:name="_Toc20816174"/>
      <w:bookmarkStart w:id="110" w:name="_Toc20816182"/>
      <w:bookmarkStart w:id="111" w:name="_Toc20816192"/>
      <w:bookmarkStart w:id="112" w:name="_Toc20816193"/>
      <w:bookmarkStart w:id="113" w:name="_Toc20816194"/>
      <w:bookmarkStart w:id="114" w:name="_Toc20816195"/>
      <w:bookmarkStart w:id="115" w:name="_Toc20816196"/>
      <w:bookmarkStart w:id="116" w:name="_Toc20816197"/>
      <w:bookmarkStart w:id="117" w:name="_Toc20816198"/>
      <w:bookmarkStart w:id="118" w:name="_Toc20816199"/>
      <w:bookmarkStart w:id="119" w:name="_Toc20816200"/>
      <w:bookmarkStart w:id="120" w:name="_Toc20816208"/>
      <w:bookmarkStart w:id="121" w:name="_Toc12141530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42214E">
        <w:t xml:space="preserve">Step 4: </w:t>
      </w:r>
      <w:r w:rsidR="003E2118" w:rsidRPr="0042214E">
        <w:t xml:space="preserve">Project </w:t>
      </w:r>
      <w:r w:rsidRPr="0042214E">
        <w:t>option</w:t>
      </w:r>
      <w:r w:rsidR="0097602C" w:rsidRPr="0042214E">
        <w:t>s</w:t>
      </w:r>
      <w:r w:rsidRPr="0042214E">
        <w:t xml:space="preserve"> assessment</w:t>
      </w:r>
      <w:bookmarkEnd w:id="121"/>
    </w:p>
    <w:p w14:paraId="1848D09F" w14:textId="77777777" w:rsidR="0097602C" w:rsidRPr="0042214E" w:rsidRDefault="0097602C" w:rsidP="005E1934">
      <w:pPr>
        <w:pStyle w:val="Heading3numbered"/>
      </w:pPr>
      <w:bookmarkStart w:id="122" w:name="_Toc121415310"/>
      <w:r w:rsidRPr="0042214E">
        <w:t>Choosing project options</w:t>
      </w:r>
      <w:bookmarkEnd w:id="122"/>
      <w:r w:rsidRPr="0042214E">
        <w:t xml:space="preserve"> </w:t>
      </w:r>
    </w:p>
    <w:p w14:paraId="3C783356" w14:textId="77777777" w:rsidR="0097602C" w:rsidRPr="0042214E" w:rsidRDefault="0097602C" w:rsidP="009F67BC">
      <w:pPr>
        <w:pStyle w:val="NormalIndent"/>
      </w:pPr>
      <w:r w:rsidRPr="0042214E">
        <w:t xml:space="preserve">Agencies need to develop and set out realistic and feasible project options to address the underlying problem and meet the overall </w:t>
      </w:r>
      <w:r w:rsidRPr="0042214E">
        <w:rPr>
          <w:b/>
          <w:color w:val="E57200" w:themeColor="accent2"/>
        </w:rPr>
        <w:t>investment benefits</w:t>
      </w:r>
      <w:r w:rsidRPr="0042214E">
        <w:t xml:space="preserve">. </w:t>
      </w:r>
    </w:p>
    <w:p w14:paraId="6A564055" w14:textId="0BD48841" w:rsidR="0097602C" w:rsidRPr="0042214E" w:rsidRDefault="0097602C" w:rsidP="009F67BC">
      <w:pPr>
        <w:pStyle w:val="NormalIndent"/>
      </w:pPr>
      <w:r w:rsidRPr="0042214E">
        <w:t>These project options should be aligned to the preferred response option and may be comprised of service changes, assets or other actions proposed. The initial project options scoping looks at a variety of scoped asset and non</w:t>
      </w:r>
      <w:r w:rsidR="00034452" w:rsidRPr="0042214E">
        <w:noBreakHyphen/>
      </w:r>
      <w:r w:rsidRPr="0042214E">
        <w:t>asset solutions for the purpose of selecting the preferred project option.</w:t>
      </w:r>
    </w:p>
    <w:p w14:paraId="09EEF1C5" w14:textId="7CEAD4BA" w:rsidR="0097602C" w:rsidRPr="0042214E" w:rsidRDefault="0097602C" w:rsidP="00A5315C">
      <w:pPr>
        <w:pStyle w:val="NormalIndent"/>
      </w:pPr>
      <w:r w:rsidRPr="0042214E">
        <w:rPr>
          <w:rStyle w:val="Emphasis"/>
        </w:rPr>
        <w:t>Business cases that are weakest in this area often propose just three options: do nothing, do something that is unfeasible</w:t>
      </w:r>
      <w:r w:rsidR="00580982" w:rsidRPr="0042214E">
        <w:rPr>
          <w:rStyle w:val="Emphasis"/>
        </w:rPr>
        <w:t>,</w:t>
      </w:r>
      <w:r w:rsidRPr="0042214E">
        <w:rPr>
          <w:rStyle w:val="Emphasis"/>
        </w:rPr>
        <w:t xml:space="preserve"> or do what the business case is proposing.</w:t>
      </w:r>
      <w:r w:rsidRPr="0042214E">
        <w:t xml:space="preserve"> This strategy should be avoided, and Government should be able to consider several feasible alternatives.</w:t>
      </w:r>
    </w:p>
    <w:p w14:paraId="2EBDD3D5" w14:textId="77777777" w:rsidR="0097602C" w:rsidRPr="0042214E" w:rsidRDefault="0097602C" w:rsidP="009F67BC">
      <w:pPr>
        <w:pStyle w:val="NormalIndent"/>
      </w:pPr>
      <w:r w:rsidRPr="0042214E">
        <w:t>Conversely, developing and evaluating too many options is expensive and time consuming. Agencies are encouraged to select a manageable shortlist of project options from those initially considered. Do not spend time developing and evaluating options unlikely to be pursued. If project options have been removed at any stage, briefly outline what those options were, and why they were not further analysed.</w:t>
      </w:r>
    </w:p>
    <w:p w14:paraId="43744DDF" w14:textId="77777777" w:rsidR="0097602C" w:rsidRPr="0042214E" w:rsidRDefault="0097602C" w:rsidP="00A5315C">
      <w:pPr>
        <w:pStyle w:val="Heading4"/>
      </w:pPr>
      <w:r w:rsidRPr="0042214E">
        <w:lastRenderedPageBreak/>
        <w:t>Types of project options</w:t>
      </w:r>
    </w:p>
    <w:p w14:paraId="5FDC4664" w14:textId="77777777" w:rsidR="0097602C" w:rsidRPr="0042214E" w:rsidRDefault="0097602C" w:rsidP="00A5315C">
      <w:pPr>
        <w:pStyle w:val="NormalIndent"/>
        <w:keepNext/>
      </w:pPr>
      <w:r w:rsidRPr="0042214E">
        <w:t xml:space="preserve">The preferred project option should be aligned to the response option and demonstrate that the solution aligns service demand or needs to the assets required to meet that service demand. Investments to address service delivery challenges may include one or more – or even all – of the following: </w:t>
      </w:r>
    </w:p>
    <w:p w14:paraId="20855720" w14:textId="6FEE086A" w:rsidR="0097602C" w:rsidRPr="0042214E" w:rsidRDefault="0097602C" w:rsidP="009F67BC">
      <w:pPr>
        <w:pStyle w:val="NormalIndent"/>
      </w:pPr>
      <w:r w:rsidRPr="0042214E">
        <w:rPr>
          <w:b/>
          <w:color w:val="E57200" w:themeColor="accent2"/>
        </w:rPr>
        <w:t>Non</w:t>
      </w:r>
      <w:r w:rsidR="00034452" w:rsidRPr="0042214E">
        <w:rPr>
          <w:b/>
          <w:color w:val="E57200" w:themeColor="accent2"/>
        </w:rPr>
        <w:noBreakHyphen/>
      </w:r>
      <w:r w:rsidRPr="0042214E">
        <w:rPr>
          <w:b/>
          <w:color w:val="E57200" w:themeColor="accent2"/>
        </w:rPr>
        <w:t>asset investments:</w:t>
      </w:r>
      <w:r w:rsidRPr="0042214E">
        <w:t xml:space="preserve"> to deliver new or additional service capacity without creating the need for additional assets, including but not limited to:</w:t>
      </w:r>
    </w:p>
    <w:p w14:paraId="366C3693" w14:textId="77777777" w:rsidR="0097602C" w:rsidRPr="0042214E" w:rsidRDefault="0097602C" w:rsidP="00A5315C">
      <w:pPr>
        <w:pStyle w:val="Bulletindent"/>
      </w:pPr>
      <w:r w:rsidRPr="0042214E">
        <w:t>demand management alternatives, such as pricing structures; and</w:t>
      </w:r>
    </w:p>
    <w:p w14:paraId="707677F8" w14:textId="77777777" w:rsidR="0097602C" w:rsidRPr="0042214E" w:rsidRDefault="0097602C" w:rsidP="00A5315C">
      <w:pPr>
        <w:pStyle w:val="Bulletindent"/>
      </w:pPr>
      <w:r w:rsidRPr="0042214E">
        <w:t>changing regulations or policies.</w:t>
      </w:r>
    </w:p>
    <w:p w14:paraId="0BE56BBE" w14:textId="52B108DD" w:rsidR="0097602C" w:rsidRPr="0042214E" w:rsidRDefault="0097602C" w:rsidP="00A5315C">
      <w:pPr>
        <w:pStyle w:val="NormalIndent"/>
      </w:pPr>
      <w:r w:rsidRPr="0042214E">
        <w:rPr>
          <w:b/>
          <w:color w:val="E57200" w:themeColor="accent2"/>
        </w:rPr>
        <w:t>Asset enhancements:</w:t>
      </w:r>
      <w:r w:rsidRPr="0042214E">
        <w:t xml:space="preserve"> using operational and non</w:t>
      </w:r>
      <w:r w:rsidR="00034452" w:rsidRPr="0042214E">
        <w:noBreakHyphen/>
      </w:r>
      <w:r w:rsidRPr="0042214E">
        <w:t>operational assets to meet the need, including but not limited to:</w:t>
      </w:r>
    </w:p>
    <w:p w14:paraId="7B631B3B" w14:textId="77777777" w:rsidR="0097602C" w:rsidRPr="0042214E" w:rsidRDefault="0097602C" w:rsidP="00A5315C">
      <w:pPr>
        <w:pStyle w:val="Bulletindent"/>
      </w:pPr>
      <w:r w:rsidRPr="0042214E">
        <w:t>demand management alternatives, such as pricing structures; and</w:t>
      </w:r>
    </w:p>
    <w:p w14:paraId="2418A404" w14:textId="77777777" w:rsidR="0097602C" w:rsidRPr="0042214E" w:rsidRDefault="0097602C" w:rsidP="00A5315C">
      <w:pPr>
        <w:pStyle w:val="Bulletindent"/>
      </w:pPr>
      <w:r w:rsidRPr="0042214E">
        <w:t>changing regulations or policies.</w:t>
      </w:r>
    </w:p>
    <w:p w14:paraId="6058F169" w14:textId="691C7386" w:rsidR="0097602C" w:rsidRPr="0042214E" w:rsidRDefault="0097602C" w:rsidP="00A5315C">
      <w:pPr>
        <w:pStyle w:val="NormalIndent"/>
        <w:rPr>
          <w:rStyle w:val="Emphasis"/>
        </w:rPr>
      </w:pPr>
      <w:r w:rsidRPr="0042214E">
        <w:rPr>
          <w:rStyle w:val="Emphasis"/>
        </w:rPr>
        <w:t>Each project option may require a combination of assets and non</w:t>
      </w:r>
      <w:r w:rsidR="00034452" w:rsidRPr="0042214E">
        <w:rPr>
          <w:rStyle w:val="Emphasis"/>
        </w:rPr>
        <w:noBreakHyphen/>
      </w:r>
      <w:r w:rsidRPr="0042214E">
        <w:rPr>
          <w:rStyle w:val="Emphasis"/>
        </w:rPr>
        <w:t xml:space="preserve">assets </w:t>
      </w:r>
      <w:proofErr w:type="gramStart"/>
      <w:r w:rsidRPr="0042214E">
        <w:rPr>
          <w:rStyle w:val="Emphasis"/>
        </w:rPr>
        <w:t>in order to</w:t>
      </w:r>
      <w:proofErr w:type="gramEnd"/>
      <w:r w:rsidRPr="0042214E">
        <w:rPr>
          <w:rStyle w:val="Emphasis"/>
        </w:rPr>
        <w:t xml:space="preserve"> deliver the preferred response option.</w:t>
      </w:r>
    </w:p>
    <w:p w14:paraId="4F323FAE" w14:textId="77777777" w:rsidR="0097602C" w:rsidRPr="0042214E" w:rsidRDefault="0097602C" w:rsidP="00A5315C">
      <w:pPr>
        <w:pStyle w:val="Heading4"/>
      </w:pPr>
      <w:r w:rsidRPr="0042214E">
        <w:t>Private sector involvement considerations</w:t>
      </w:r>
    </w:p>
    <w:p w14:paraId="55C1DDB0" w14:textId="77777777" w:rsidR="0097602C" w:rsidRPr="0042214E" w:rsidRDefault="0097602C" w:rsidP="00A5315C">
      <w:pPr>
        <w:pStyle w:val="NormalIndent"/>
      </w:pPr>
      <w:r w:rsidRPr="0042214E">
        <w:t xml:space="preserve">When considering private sector involvement consider: </w:t>
      </w:r>
    </w:p>
    <w:p w14:paraId="09627CDC" w14:textId="77777777" w:rsidR="0097602C" w:rsidRPr="0042214E" w:rsidRDefault="0097602C" w:rsidP="00A5315C">
      <w:pPr>
        <w:pStyle w:val="Bulletindent"/>
      </w:pPr>
      <w:r w:rsidRPr="0042214E">
        <w:t xml:space="preserve">whether a competitive market exists or can be established to provide the proposed </w:t>
      </w:r>
      <w:proofErr w:type="gramStart"/>
      <w:r w:rsidRPr="0042214E">
        <w:t>services;</w:t>
      </w:r>
      <w:proofErr w:type="gramEnd"/>
    </w:p>
    <w:p w14:paraId="225CC82F" w14:textId="3057AD97" w:rsidR="0097602C" w:rsidRPr="0042214E" w:rsidRDefault="0097602C" w:rsidP="00A5315C">
      <w:pPr>
        <w:pStyle w:val="Bulletindent"/>
      </w:pPr>
      <w:r w:rsidRPr="0042214E">
        <w:t>how private sector provision compares to the cost and quality of provision by the public sector after taking into account the after</w:t>
      </w:r>
      <w:r w:rsidR="00034452" w:rsidRPr="0042214E">
        <w:noBreakHyphen/>
      </w:r>
      <w:r w:rsidRPr="0042214E">
        <w:t xml:space="preserve">tax rate of return required by the private </w:t>
      </w:r>
      <w:proofErr w:type="gramStart"/>
      <w:r w:rsidRPr="0042214E">
        <w:t>sector;</w:t>
      </w:r>
      <w:proofErr w:type="gramEnd"/>
    </w:p>
    <w:p w14:paraId="5C7878C2" w14:textId="77777777" w:rsidR="0097602C" w:rsidRPr="0042214E" w:rsidRDefault="0097602C" w:rsidP="00A5315C">
      <w:pPr>
        <w:pStyle w:val="Bulletindent"/>
      </w:pPr>
      <w:r w:rsidRPr="0042214E">
        <w:t xml:space="preserve">the impact of private sector involvement upon the State’s financial position; and </w:t>
      </w:r>
    </w:p>
    <w:p w14:paraId="14BD8179" w14:textId="77777777" w:rsidR="0097602C" w:rsidRPr="0042214E" w:rsidRDefault="0097602C" w:rsidP="00A5315C">
      <w:pPr>
        <w:pStyle w:val="Bulletindent"/>
      </w:pPr>
      <w:r w:rsidRPr="0042214E">
        <w:t xml:space="preserve">risks of the investment and the degree to which risks can be shared with the private sector. </w:t>
      </w:r>
    </w:p>
    <w:p w14:paraId="451CAE03" w14:textId="77777777" w:rsidR="0097602C" w:rsidRPr="0042214E" w:rsidRDefault="0097602C" w:rsidP="00A5315C">
      <w:pPr>
        <w:pStyle w:val="NormalIndent"/>
      </w:pPr>
      <w:r w:rsidRPr="0042214E">
        <w:t xml:space="preserve">Indicators that the private sector may add value to an investment proposal include: </w:t>
      </w:r>
    </w:p>
    <w:p w14:paraId="784C85A0" w14:textId="77777777" w:rsidR="0097602C" w:rsidRPr="0042214E" w:rsidRDefault="0097602C" w:rsidP="00A5315C">
      <w:pPr>
        <w:pStyle w:val="Bulletindent"/>
      </w:pPr>
      <w:r w:rsidRPr="0042214E">
        <w:t xml:space="preserve">the size of the </w:t>
      </w:r>
      <w:proofErr w:type="gramStart"/>
      <w:r w:rsidRPr="0042214E">
        <w:t>investment;</w:t>
      </w:r>
      <w:proofErr w:type="gramEnd"/>
      <w:r w:rsidRPr="0042214E">
        <w:t xml:space="preserve"> </w:t>
      </w:r>
    </w:p>
    <w:p w14:paraId="2AAF317B" w14:textId="77777777" w:rsidR="0097602C" w:rsidRPr="0042214E" w:rsidRDefault="0097602C" w:rsidP="00A5315C">
      <w:pPr>
        <w:pStyle w:val="Bulletindent"/>
      </w:pPr>
      <w:r w:rsidRPr="0042214E">
        <w:t xml:space="preserve">operating efficiencies of the private sector; and </w:t>
      </w:r>
    </w:p>
    <w:p w14:paraId="1E09F3F5" w14:textId="77777777" w:rsidR="0097602C" w:rsidRPr="0042214E" w:rsidRDefault="0097602C" w:rsidP="00A5315C">
      <w:pPr>
        <w:pStyle w:val="Bulletindent"/>
      </w:pPr>
      <w:r w:rsidRPr="0042214E">
        <w:t>benefits of ownership of assets accruing to the private sector.</w:t>
      </w:r>
    </w:p>
    <w:tbl>
      <w:tblPr>
        <w:tblStyle w:val="DTFfinancialtableindent"/>
        <w:tblW w:w="0" w:type="auto"/>
        <w:shd w:val="clear" w:color="auto" w:fill="FDF3EA" w:themeFill="accent5" w:themeFillTint="33"/>
        <w:tblLook w:val="0480" w:firstRow="0" w:lastRow="0" w:firstColumn="1" w:lastColumn="0" w:noHBand="0" w:noVBand="1"/>
      </w:tblPr>
      <w:tblGrid>
        <w:gridCol w:w="8377"/>
      </w:tblGrid>
      <w:tr w:rsidR="0097602C" w:rsidRPr="0042214E" w14:paraId="519A855E" w14:textId="77777777" w:rsidTr="00A5315C">
        <w:tc>
          <w:tcPr>
            <w:cnfStyle w:val="001000000000" w:firstRow="0" w:lastRow="0" w:firstColumn="1" w:lastColumn="0" w:oddVBand="0" w:evenVBand="0" w:oddHBand="0" w:evenHBand="0" w:firstRowFirstColumn="0" w:firstRowLastColumn="0" w:lastRowFirstColumn="0" w:lastRowLastColumn="0"/>
            <w:tcW w:w="8753" w:type="dxa"/>
            <w:shd w:val="clear" w:color="auto" w:fill="FDF3EA" w:themeFill="accent5" w:themeFillTint="33"/>
          </w:tcPr>
          <w:p w14:paraId="7EE0C149" w14:textId="5D630E28" w:rsidR="0097602C" w:rsidRPr="0042214E" w:rsidRDefault="0097602C" w:rsidP="00A5315C">
            <w:pPr>
              <w:pStyle w:val="Tabletextbold"/>
            </w:pPr>
            <w:r w:rsidRPr="0042214E">
              <w:t xml:space="preserve">Business case information requirements for project options selection </w:t>
            </w:r>
          </w:p>
          <w:p w14:paraId="0F641212" w14:textId="2C40840B" w:rsidR="0097602C" w:rsidRPr="0042214E" w:rsidRDefault="0097602C" w:rsidP="00A5315C">
            <w:pPr>
              <w:pStyle w:val="Tablebullet"/>
            </w:pPr>
            <w:r w:rsidRPr="0042214E">
              <w:t xml:space="preserve">Describe the method and criteria used to select, </w:t>
            </w:r>
            <w:proofErr w:type="gramStart"/>
            <w:r w:rsidRPr="0042214E">
              <w:t>assess</w:t>
            </w:r>
            <w:proofErr w:type="gramEnd"/>
            <w:r w:rsidRPr="0042214E">
              <w:t xml:space="preserve"> and rank </w:t>
            </w:r>
            <w:r w:rsidR="008B685E" w:rsidRPr="0042214E">
              <w:t>project</w:t>
            </w:r>
            <w:r w:rsidRPr="0042214E">
              <w:t xml:space="preserve"> options, including assumptions and constraints.</w:t>
            </w:r>
          </w:p>
          <w:p w14:paraId="1F82C5A9" w14:textId="77777777" w:rsidR="0097602C" w:rsidRPr="0042214E" w:rsidRDefault="0097602C" w:rsidP="00A5315C">
            <w:pPr>
              <w:pStyle w:val="Tablebullet"/>
            </w:pPr>
            <w:r w:rsidRPr="0042214E">
              <w:t>Describe the project options and the rationale used to select the project options.</w:t>
            </w:r>
          </w:p>
          <w:p w14:paraId="76E59DDD" w14:textId="77777777" w:rsidR="0097602C" w:rsidRPr="0042214E" w:rsidRDefault="0097602C" w:rsidP="00A5315C">
            <w:pPr>
              <w:pStyle w:val="Tablebullet"/>
            </w:pPr>
            <w:r w:rsidRPr="0042214E">
              <w:t>Demonstrate that project options considered were each feasible and ranked fairly in arriving at the preferred project option.</w:t>
            </w:r>
          </w:p>
          <w:p w14:paraId="61E60D56" w14:textId="198AE12D" w:rsidR="0097602C" w:rsidRPr="0042214E" w:rsidRDefault="0097602C" w:rsidP="00A5315C">
            <w:pPr>
              <w:pStyle w:val="Tablebullet"/>
            </w:pPr>
            <w:r w:rsidRPr="0042214E">
              <w:t>Ensure that asset, non</w:t>
            </w:r>
            <w:r w:rsidR="00034452" w:rsidRPr="0042214E">
              <w:noBreakHyphen/>
            </w:r>
            <w:r w:rsidRPr="0042214E">
              <w:t xml:space="preserve">asset, private </w:t>
            </w:r>
            <w:proofErr w:type="gramStart"/>
            <w:r w:rsidRPr="0042214E">
              <w:t>sector</w:t>
            </w:r>
            <w:proofErr w:type="gramEnd"/>
            <w:r w:rsidRPr="0042214E">
              <w:t xml:space="preserve"> and market</w:t>
            </w:r>
            <w:r w:rsidR="00034452" w:rsidRPr="0042214E">
              <w:noBreakHyphen/>
            </w:r>
            <w:r w:rsidRPr="0042214E">
              <w:t>based solutions were considered in selecting project options.</w:t>
            </w:r>
          </w:p>
        </w:tc>
      </w:tr>
    </w:tbl>
    <w:p w14:paraId="2FFB3AEB" w14:textId="77777777" w:rsidR="0097602C" w:rsidRPr="0042214E" w:rsidRDefault="0097602C" w:rsidP="00A5315C">
      <w:pPr>
        <w:pStyle w:val="Spacer"/>
      </w:pPr>
    </w:p>
    <w:tbl>
      <w:tblPr>
        <w:tblStyle w:val="DTFfinancialtableindent"/>
        <w:tblW w:w="0" w:type="auto"/>
        <w:tblLayout w:type="fixed"/>
        <w:tblLook w:val="0680" w:firstRow="0" w:lastRow="0" w:firstColumn="1" w:lastColumn="0" w:noHBand="1" w:noVBand="1"/>
      </w:tblPr>
      <w:tblGrid>
        <w:gridCol w:w="8326"/>
      </w:tblGrid>
      <w:tr w:rsidR="0097602C" w:rsidRPr="0042214E" w14:paraId="5CBB2463" w14:textId="77777777" w:rsidTr="00A5315C">
        <w:trPr>
          <w:cantSplit/>
        </w:trPr>
        <w:tc>
          <w:tcPr>
            <w:cnfStyle w:val="001000000000" w:firstRow="0" w:lastRow="0" w:firstColumn="1" w:lastColumn="0" w:oddVBand="0" w:evenVBand="0" w:oddHBand="0" w:evenHBand="0" w:firstRowFirstColumn="0" w:firstRowLastColumn="0" w:lastRowFirstColumn="0" w:lastRowLastColumn="0"/>
            <w:tcW w:w="8326" w:type="dxa"/>
          </w:tcPr>
          <w:p w14:paraId="5410260E" w14:textId="77777777" w:rsidR="0097602C" w:rsidRPr="0042214E" w:rsidRDefault="0097602C" w:rsidP="00A5315C">
            <w:pPr>
              <w:pStyle w:val="Tabletextbold"/>
              <w:rPr>
                <w:sz w:val="20"/>
              </w:rPr>
            </w:pPr>
            <w:r w:rsidRPr="0042214E">
              <w:rPr>
                <w:sz w:val="20"/>
              </w:rPr>
              <w:lastRenderedPageBreak/>
              <w:t>Choosing project options (fictional transport example)</w:t>
            </w:r>
          </w:p>
          <w:p w14:paraId="0A90DB61" w14:textId="6EDAA63D" w:rsidR="0097602C" w:rsidRPr="0042214E" w:rsidRDefault="0097602C" w:rsidP="00A5315C">
            <w:pPr>
              <w:pStyle w:val="Tabletext"/>
            </w:pPr>
            <w:r w:rsidRPr="0042214E">
              <w:t>A business case should outline the basis for selecting the included project options. If there are technology, stakeholder, policy, legal and/or other constraints that make certain options unfeasible</w:t>
            </w:r>
            <w:r w:rsidR="007B75C6" w:rsidRPr="0042214E">
              <w:t>,</w:t>
            </w:r>
            <w:r w:rsidRPr="0042214E">
              <w:t xml:space="preserve"> then these should be explained. This case study illustrates how this requirement might be addressed, for a fictional road bypass project.</w:t>
            </w:r>
          </w:p>
          <w:p w14:paraId="723CC81D" w14:textId="77777777" w:rsidR="0097602C" w:rsidRPr="0042214E" w:rsidRDefault="0097602C" w:rsidP="00A5315C">
            <w:pPr>
              <w:pStyle w:val="Tabletextbold"/>
            </w:pPr>
            <w:r w:rsidRPr="0042214E">
              <w:t>Project options considered</w:t>
            </w:r>
          </w:p>
          <w:p w14:paraId="20D6035D" w14:textId="73F1225D" w:rsidR="0097602C" w:rsidRPr="0042214E" w:rsidRDefault="0097602C" w:rsidP="00A5315C">
            <w:pPr>
              <w:pStyle w:val="Tabletext"/>
            </w:pPr>
            <w:r w:rsidRPr="0042214E">
              <w:t>Three project options are presented for a bypass of Smithville (the preferred strategic response). All project options run to the east of Smithville and are a minimum 5km from the city centre.</w:t>
            </w:r>
          </w:p>
          <w:p w14:paraId="4D4BBFF4" w14:textId="77777777" w:rsidR="0097602C" w:rsidRPr="0042214E" w:rsidRDefault="0097602C" w:rsidP="00A5315C">
            <w:pPr>
              <w:pStyle w:val="Tabletext"/>
            </w:pPr>
            <w:r w:rsidRPr="0042214E">
              <w:t xml:space="preserve">Alignments to the west of Smithville, or to the east but closer to the city centre were not preferred due to: </w:t>
            </w:r>
          </w:p>
          <w:p w14:paraId="6E0FE42E" w14:textId="77777777" w:rsidR="0097602C" w:rsidRPr="0042214E" w:rsidRDefault="0097602C" w:rsidP="00A5315C">
            <w:pPr>
              <w:pStyle w:val="Tablebullet"/>
            </w:pPr>
            <w:r w:rsidRPr="0042214E">
              <w:t>The Smithville industrial precinct, in the northeast, is a common origin/destination for heavy vehicles. A bypass route to the west of Smithville would be used less, reducing the project’s key benefits.</w:t>
            </w:r>
          </w:p>
          <w:p w14:paraId="72B1B22B" w14:textId="77777777" w:rsidR="0097602C" w:rsidRPr="0042214E" w:rsidRDefault="0097602C" w:rsidP="00A5315C">
            <w:pPr>
              <w:pStyle w:val="Tablebullet"/>
            </w:pPr>
            <w:r w:rsidRPr="0042214E">
              <w:t xml:space="preserve">A route to the west needs to avoid the </w:t>
            </w:r>
            <w:proofErr w:type="spellStart"/>
            <w:r w:rsidRPr="0042214E">
              <w:t>Namillian</w:t>
            </w:r>
            <w:proofErr w:type="spellEnd"/>
            <w:r w:rsidRPr="0042214E">
              <w:t xml:space="preserve"> State Forest. To do this the route must cross two ravines requiring costly bridges and significant earthworks. Options to the east have significantly lower cost. </w:t>
            </w:r>
          </w:p>
          <w:p w14:paraId="260D0665" w14:textId="572F7427" w:rsidR="0097602C" w:rsidRPr="0042214E" w:rsidRDefault="0097602C" w:rsidP="00A5315C">
            <w:pPr>
              <w:pStyle w:val="Tablebullet"/>
            </w:pPr>
            <w:r w:rsidRPr="0042214E">
              <w:t xml:space="preserve">A number of important sites (including two schools and a recreation centre) are in the </w:t>
            </w:r>
            <w:proofErr w:type="gramStart"/>
            <w:r w:rsidRPr="0042214E">
              <w:t>south</w:t>
            </w:r>
            <w:r w:rsidR="00FB373D">
              <w:t xml:space="preserve"> </w:t>
            </w:r>
            <w:r w:rsidRPr="0042214E">
              <w:t>east</w:t>
            </w:r>
            <w:proofErr w:type="gramEnd"/>
            <w:r w:rsidRPr="0042214E">
              <w:t xml:space="preserve"> of Smithville, sited up to 4km from the city centre. Feasible routes to the east run close to these facilities raising significant community concerns about increased noise and pollution.</w:t>
            </w:r>
          </w:p>
        </w:tc>
      </w:tr>
    </w:tbl>
    <w:p w14:paraId="126FBFB0" w14:textId="77777777" w:rsidR="0097602C" w:rsidRPr="0042214E" w:rsidRDefault="0097602C" w:rsidP="00A5315C">
      <w:pPr>
        <w:pStyle w:val="Spacer"/>
      </w:pPr>
    </w:p>
    <w:p w14:paraId="64196E9E" w14:textId="7E489BE7" w:rsidR="0097602C" w:rsidRPr="0042214E" w:rsidRDefault="0097602C" w:rsidP="005E1934">
      <w:pPr>
        <w:pStyle w:val="Heading3numbered"/>
      </w:pPr>
      <w:bookmarkStart w:id="123" w:name="_Toc121415311"/>
      <w:r w:rsidRPr="0042214E">
        <w:t>Describing project options</w:t>
      </w:r>
      <w:r w:rsidR="00104EB8" w:rsidRPr="0042214E">
        <w:t xml:space="preserve"> considered</w:t>
      </w:r>
      <w:bookmarkEnd w:id="123"/>
    </w:p>
    <w:p w14:paraId="3EB59FA1" w14:textId="2A8A752C" w:rsidR="0097602C" w:rsidRPr="0042214E" w:rsidRDefault="0097602C" w:rsidP="00A5315C">
      <w:pPr>
        <w:pStyle w:val="NormalIndent"/>
      </w:pPr>
      <w:r w:rsidRPr="0042214E">
        <w:t xml:space="preserve">The full business case template asks agencies to describe project options prior to analysing them. Agencies should be able to describe project options, critical assumptions, </w:t>
      </w:r>
      <w:proofErr w:type="gramStart"/>
      <w:r w:rsidRPr="0042214E">
        <w:t>asset</w:t>
      </w:r>
      <w:proofErr w:type="gramEnd"/>
      <w:r w:rsidRPr="0042214E">
        <w:t xml:space="preserve"> and output options and at least one market</w:t>
      </w:r>
      <w:r w:rsidR="00034452" w:rsidRPr="0042214E">
        <w:noBreakHyphen/>
      </w:r>
      <w:r w:rsidRPr="0042214E">
        <w:t>based project option where possible. Note that critical assumptions or constraints must be project option</w:t>
      </w:r>
      <w:r w:rsidR="00034452" w:rsidRPr="0042214E">
        <w:noBreakHyphen/>
      </w:r>
      <w:r w:rsidRPr="0042214E">
        <w:t>specific.</w:t>
      </w:r>
    </w:p>
    <w:p w14:paraId="58B9C378" w14:textId="77777777" w:rsidR="0097602C" w:rsidRPr="0042214E" w:rsidRDefault="0097602C" w:rsidP="00A5315C">
      <w:pPr>
        <w:pStyle w:val="NormalIndent"/>
      </w:pPr>
      <w:r w:rsidRPr="0042214E">
        <w:t>Critical assumptions and constraints include:</w:t>
      </w:r>
    </w:p>
    <w:p w14:paraId="698CC695" w14:textId="77777777" w:rsidR="0097602C" w:rsidRPr="0042214E" w:rsidRDefault="0097602C" w:rsidP="00A5315C">
      <w:pPr>
        <w:pStyle w:val="Bulletindent"/>
      </w:pPr>
      <w:r w:rsidRPr="0042214E">
        <w:t xml:space="preserve">revenue drivers, capital and operating costs, social and environmental factors, financing constraints, and availability of resources and </w:t>
      </w:r>
      <w:proofErr w:type="gramStart"/>
      <w:r w:rsidRPr="0042214E">
        <w:t>expertise;</w:t>
      </w:r>
      <w:proofErr w:type="gramEnd"/>
    </w:p>
    <w:p w14:paraId="58AB22DC" w14:textId="77777777" w:rsidR="0097602C" w:rsidRPr="0042214E" w:rsidRDefault="0097602C" w:rsidP="00A5315C">
      <w:pPr>
        <w:pStyle w:val="Bulletindent"/>
      </w:pPr>
      <w:r w:rsidRPr="0042214E">
        <w:t>known or emerging constraints or windows of opportunity affecting the proposed initiative; and</w:t>
      </w:r>
    </w:p>
    <w:p w14:paraId="38653EDE" w14:textId="77777777" w:rsidR="0097602C" w:rsidRPr="0042214E" w:rsidRDefault="0097602C" w:rsidP="00A5315C">
      <w:pPr>
        <w:pStyle w:val="Bulletindent"/>
      </w:pPr>
      <w:r w:rsidRPr="0042214E">
        <w:t>regulatory, legislative, policy issues and relevant Acts that may impinge on the proposal.</w:t>
      </w:r>
    </w:p>
    <w:p w14:paraId="1F29A889" w14:textId="77777777" w:rsidR="0097602C" w:rsidRPr="0042214E" w:rsidRDefault="0097602C" w:rsidP="00A5315C">
      <w:pPr>
        <w:pStyle w:val="NormalIndent"/>
        <w:rPr>
          <w:rStyle w:val="Emphasis"/>
        </w:rPr>
      </w:pPr>
      <w:r w:rsidRPr="0042214E">
        <w:rPr>
          <w:rStyle w:val="Emphasis"/>
        </w:rPr>
        <w:t xml:space="preserve">What is the extent of uncertainty that stems from these factors? </w:t>
      </w:r>
    </w:p>
    <w:p w14:paraId="1C335A1A" w14:textId="4195021B" w:rsidR="0097602C" w:rsidRPr="0042214E" w:rsidRDefault="0097602C" w:rsidP="00A5315C">
      <w:pPr>
        <w:pStyle w:val="NormalIndent"/>
      </w:pPr>
      <w:r w:rsidRPr="0042214E">
        <w:t xml:space="preserve">These assumptions or constraints should be considered as part of the sensitivity analysis in the integrated assessment (see section </w:t>
      </w:r>
      <w:r w:rsidR="00FC7ECB">
        <w:fldChar w:fldCharType="begin"/>
      </w:r>
      <w:r w:rsidR="00FC7ECB">
        <w:instrText xml:space="preserve"> REF _Ref25936954 \r \h </w:instrText>
      </w:r>
      <w:r w:rsidR="00FC7ECB">
        <w:fldChar w:fldCharType="separate"/>
      </w:r>
      <w:r w:rsidR="00295E8F">
        <w:t>2.6.12</w:t>
      </w:r>
      <w:r w:rsidR="00FC7ECB">
        <w:fldChar w:fldCharType="end"/>
      </w:r>
      <w:r w:rsidRPr="0042214E">
        <w:t>).</w:t>
      </w:r>
    </w:p>
    <w:p w14:paraId="7914521C" w14:textId="79CCBE84" w:rsidR="0097602C" w:rsidRPr="0042214E" w:rsidRDefault="0097602C" w:rsidP="00A5315C">
      <w:pPr>
        <w:pStyle w:val="NormalIndent"/>
      </w:pPr>
      <w:r w:rsidRPr="0042214E">
        <w:t xml:space="preserve">If uncertainty and flexibility </w:t>
      </w:r>
      <w:r w:rsidR="007B75C6" w:rsidRPr="0042214E">
        <w:t xml:space="preserve">were </w:t>
      </w:r>
      <w:r w:rsidRPr="0042214E">
        <w:t xml:space="preserve">identified in the delivery of the solutions, identify </w:t>
      </w:r>
      <w:r w:rsidRPr="0042214E">
        <w:rPr>
          <w:b/>
          <w:color w:val="E57200" w:themeColor="accent2"/>
        </w:rPr>
        <w:t>real option alternatives</w:t>
      </w:r>
      <w:r w:rsidRPr="0042214E">
        <w:t xml:space="preserve"> within the project options.</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97602C" w:rsidRPr="0042214E" w14:paraId="04668533" w14:textId="77777777" w:rsidTr="00A5315C">
        <w:tc>
          <w:tcPr>
            <w:tcW w:w="8719" w:type="dxa"/>
            <w:shd w:val="clear" w:color="auto" w:fill="FDF3EA" w:themeFill="accent5" w:themeFillTint="33"/>
          </w:tcPr>
          <w:p w14:paraId="1B9F04FE" w14:textId="34D21D43" w:rsidR="0097602C" w:rsidRPr="0042214E" w:rsidRDefault="0097602C" w:rsidP="006E62FF">
            <w:pPr>
              <w:rPr>
                <w:b/>
              </w:rPr>
            </w:pPr>
            <w:r w:rsidRPr="0042214E">
              <w:rPr>
                <w:b/>
              </w:rPr>
              <w:t>Business case information requirements for describing the project options</w:t>
            </w:r>
          </w:p>
          <w:p w14:paraId="3E8F51D3" w14:textId="390BE2E8" w:rsidR="0097602C" w:rsidRPr="0042214E" w:rsidRDefault="0097602C" w:rsidP="000F7C8B">
            <w:pPr>
              <w:numPr>
                <w:ilvl w:val="0"/>
                <w:numId w:val="2"/>
              </w:numPr>
            </w:pPr>
            <w:r w:rsidRPr="0042214E">
              <w:t>Scope of each project option (including assets and non</w:t>
            </w:r>
            <w:r w:rsidR="00034452" w:rsidRPr="0042214E">
              <w:noBreakHyphen/>
            </w:r>
            <w:r w:rsidRPr="0042214E">
              <w:t>assets of each project option).</w:t>
            </w:r>
          </w:p>
          <w:p w14:paraId="1B42E56B" w14:textId="77777777" w:rsidR="0097602C" w:rsidRPr="0042214E" w:rsidRDefault="0097602C" w:rsidP="000F7C8B">
            <w:pPr>
              <w:numPr>
                <w:ilvl w:val="0"/>
                <w:numId w:val="2"/>
              </w:numPr>
            </w:pPr>
            <w:r w:rsidRPr="0042214E">
              <w:t>Critical assumptions or constraints and windows of opportunity for each project option.</w:t>
            </w:r>
          </w:p>
          <w:p w14:paraId="70680492" w14:textId="49ADFB3B" w:rsidR="0097602C" w:rsidRPr="0042214E" w:rsidRDefault="0097602C" w:rsidP="000F7C8B">
            <w:pPr>
              <w:numPr>
                <w:ilvl w:val="0"/>
                <w:numId w:val="2"/>
              </w:numPr>
            </w:pPr>
            <w:r w:rsidRPr="0042214E">
              <w:t xml:space="preserve">If uncertainty and flexibility </w:t>
            </w:r>
            <w:r w:rsidR="007B75C6" w:rsidRPr="0042214E">
              <w:t xml:space="preserve">were </w:t>
            </w:r>
            <w:r w:rsidRPr="0042214E">
              <w:t>identified in the delivery of the solutions, identify real options alternatives.</w:t>
            </w:r>
          </w:p>
          <w:p w14:paraId="618458E9" w14:textId="039E9536" w:rsidR="0097602C" w:rsidRPr="0042214E" w:rsidRDefault="0097602C" w:rsidP="000F7C8B">
            <w:pPr>
              <w:numPr>
                <w:ilvl w:val="0"/>
                <w:numId w:val="2"/>
              </w:numPr>
            </w:pPr>
            <w:r w:rsidRPr="0042214E">
              <w:t xml:space="preserve">Any potential for </w:t>
            </w:r>
            <w:r w:rsidR="007B75C6" w:rsidRPr="0042214E">
              <w:t xml:space="preserve">third </w:t>
            </w:r>
            <w:r w:rsidRPr="0042214E">
              <w:t>party revenues.</w:t>
            </w:r>
          </w:p>
          <w:p w14:paraId="2D53D6DC" w14:textId="3C2B417C" w:rsidR="0097602C" w:rsidRPr="0042214E" w:rsidRDefault="0097602C" w:rsidP="000F7C8B">
            <w:pPr>
              <w:numPr>
                <w:ilvl w:val="0"/>
                <w:numId w:val="2"/>
              </w:numPr>
            </w:pPr>
            <w:r w:rsidRPr="0042214E">
              <w:t>Outline project options considered but not evaluated and state rationale for non</w:t>
            </w:r>
            <w:r w:rsidR="00034452" w:rsidRPr="0042214E">
              <w:noBreakHyphen/>
            </w:r>
            <w:r w:rsidRPr="0042214E">
              <w:t>consideration.</w:t>
            </w:r>
          </w:p>
        </w:tc>
      </w:tr>
    </w:tbl>
    <w:p w14:paraId="6C10AFBF" w14:textId="77777777" w:rsidR="0097602C" w:rsidRPr="0042214E" w:rsidRDefault="0097602C" w:rsidP="006B713F"/>
    <w:tbl>
      <w:tblPr>
        <w:tblStyle w:val="DTFfinancialtableindent"/>
        <w:tblW w:w="0" w:type="auto"/>
        <w:tblLook w:val="0480" w:firstRow="0" w:lastRow="0" w:firstColumn="1" w:lastColumn="0" w:noHBand="0" w:noVBand="1"/>
      </w:tblPr>
      <w:tblGrid>
        <w:gridCol w:w="8377"/>
      </w:tblGrid>
      <w:tr w:rsidR="0097602C" w:rsidRPr="0042214E" w14:paraId="2A3718C0" w14:textId="77777777" w:rsidTr="00A5315C">
        <w:trPr>
          <w:cantSplit/>
        </w:trPr>
        <w:tc>
          <w:tcPr>
            <w:cnfStyle w:val="001000000000" w:firstRow="0" w:lastRow="0" w:firstColumn="1" w:lastColumn="0" w:oddVBand="0" w:evenVBand="0" w:oddHBand="0" w:evenHBand="0" w:firstRowFirstColumn="0" w:firstRowLastColumn="0" w:lastRowFirstColumn="0" w:lastRowLastColumn="0"/>
            <w:tcW w:w="8719" w:type="dxa"/>
          </w:tcPr>
          <w:p w14:paraId="57331165" w14:textId="77777777" w:rsidR="0097602C" w:rsidRPr="0042214E" w:rsidRDefault="0097602C" w:rsidP="00A5315C">
            <w:pPr>
              <w:pStyle w:val="Tabletextbold"/>
              <w:rPr>
                <w:sz w:val="20"/>
              </w:rPr>
            </w:pPr>
            <w:r w:rsidRPr="0042214E">
              <w:rPr>
                <w:sz w:val="20"/>
              </w:rPr>
              <w:lastRenderedPageBreak/>
              <w:t>Describing project options (fictional transport example)</w:t>
            </w:r>
          </w:p>
          <w:p w14:paraId="5D2F35D1" w14:textId="77777777" w:rsidR="0097602C" w:rsidRPr="0042214E" w:rsidRDefault="0097602C" w:rsidP="00A5315C">
            <w:pPr>
              <w:pStyle w:val="Tabletext"/>
            </w:pPr>
            <w:r w:rsidRPr="0042214E">
              <w:t xml:space="preserve">This case study illustrates how a project option might be presented in a full business case, after the preferred response option has been identified. The recommended response option is construction of a road bypass of Smithville. The fictional project option presented below details one practical option for the bypass. </w:t>
            </w:r>
          </w:p>
          <w:p w14:paraId="773082DE" w14:textId="77777777" w:rsidR="0097602C" w:rsidRPr="0042214E" w:rsidRDefault="0097602C" w:rsidP="00A5315C">
            <w:pPr>
              <w:pStyle w:val="Tabletextbold"/>
            </w:pPr>
            <w:r w:rsidRPr="0042214E">
              <w:t>Project option 2 – description</w:t>
            </w:r>
          </w:p>
          <w:p w14:paraId="1B1966BA" w14:textId="6F9C7420" w:rsidR="0097602C" w:rsidRPr="0042214E" w:rsidRDefault="0097602C" w:rsidP="00A5315C">
            <w:pPr>
              <w:pStyle w:val="Tabletext"/>
            </w:pPr>
            <w:r w:rsidRPr="0042214E">
              <w:t>Option 2 is a 21</w:t>
            </w:r>
            <w:r w:rsidR="007B75C6" w:rsidRPr="0042214E">
              <w:t>km</w:t>
            </w:r>
            <w:r w:rsidRPr="0042214E">
              <w:t xml:space="preserve"> bypass, to the east of Smithville, connecting Phillips Highway between Mitchell and Williams Roads. The bypass includes a 4km duplication of the existing highway north of Smithville providing two lanes each way between Williams and Walsh </w:t>
            </w:r>
            <w:r w:rsidR="007B75C6" w:rsidRPr="0042214E">
              <w:t xml:space="preserve">Roads </w:t>
            </w:r>
            <w:r w:rsidRPr="0042214E">
              <w:t>as illustrated in Figure X. Specifically, it includes:</w:t>
            </w:r>
          </w:p>
          <w:p w14:paraId="3886AC96" w14:textId="1477469F" w:rsidR="0097602C" w:rsidRPr="0042214E" w:rsidRDefault="006B713F" w:rsidP="000F7C8B">
            <w:pPr>
              <w:numPr>
                <w:ilvl w:val="0"/>
                <w:numId w:val="2"/>
              </w:numPr>
            </w:pPr>
            <w:r w:rsidRPr="0042214E">
              <w:t xml:space="preserve">a </w:t>
            </w:r>
            <w:r w:rsidR="0097602C" w:rsidRPr="0042214E">
              <w:t xml:space="preserve">freeway standard bypass to the east of the City of </w:t>
            </w:r>
            <w:proofErr w:type="gramStart"/>
            <w:r w:rsidR="0097602C" w:rsidRPr="0042214E">
              <w:t>Smithville;</w:t>
            </w:r>
            <w:proofErr w:type="gramEnd"/>
          </w:p>
          <w:p w14:paraId="2197C71E" w14:textId="22BECBB6" w:rsidR="0097602C" w:rsidRPr="0042214E" w:rsidRDefault="006B713F" w:rsidP="000F7C8B">
            <w:pPr>
              <w:numPr>
                <w:ilvl w:val="0"/>
                <w:numId w:val="2"/>
              </w:numPr>
            </w:pPr>
            <w:r w:rsidRPr="0042214E">
              <w:t xml:space="preserve">duplication </w:t>
            </w:r>
            <w:r w:rsidR="0097602C" w:rsidRPr="0042214E">
              <w:t xml:space="preserve">of the existing Phillips Highway between Walsh and Williams Roads, including new local access </w:t>
            </w:r>
            <w:proofErr w:type="gramStart"/>
            <w:r w:rsidR="0097602C" w:rsidRPr="0042214E">
              <w:t>roads;</w:t>
            </w:r>
            <w:proofErr w:type="gramEnd"/>
          </w:p>
          <w:p w14:paraId="56BE8E75" w14:textId="78B05967" w:rsidR="0097602C" w:rsidRPr="0042214E" w:rsidRDefault="006B713F" w:rsidP="000F7C8B">
            <w:pPr>
              <w:numPr>
                <w:ilvl w:val="0"/>
                <w:numId w:val="2"/>
              </w:numPr>
            </w:pPr>
            <w:r w:rsidRPr="0042214E">
              <w:t xml:space="preserve">diamond </w:t>
            </w:r>
            <w:r w:rsidR="0097602C" w:rsidRPr="0042214E">
              <w:t xml:space="preserve">interchanges at Mitchell Road and Walsh Road with bridges over the freeway and ramps giving full access in all </w:t>
            </w:r>
            <w:proofErr w:type="gramStart"/>
            <w:r w:rsidR="0097602C" w:rsidRPr="0042214E">
              <w:t>directions;</w:t>
            </w:r>
            <w:proofErr w:type="gramEnd"/>
          </w:p>
          <w:p w14:paraId="676C000F" w14:textId="27AADA42" w:rsidR="0097602C" w:rsidRPr="0042214E" w:rsidRDefault="006B713F" w:rsidP="000F7C8B">
            <w:pPr>
              <w:numPr>
                <w:ilvl w:val="0"/>
                <w:numId w:val="2"/>
              </w:numPr>
            </w:pPr>
            <w:r w:rsidRPr="0042214E">
              <w:t xml:space="preserve">an </w:t>
            </w:r>
            <w:r w:rsidR="0097602C" w:rsidRPr="0042214E">
              <w:t xml:space="preserve">overpass taking Pitchford Road across the </w:t>
            </w:r>
            <w:proofErr w:type="gramStart"/>
            <w:r w:rsidR="0097602C" w:rsidRPr="0042214E">
              <w:t>freeway;</w:t>
            </w:r>
            <w:proofErr w:type="gramEnd"/>
          </w:p>
          <w:p w14:paraId="354B2C52" w14:textId="161C516A" w:rsidR="0097602C" w:rsidRPr="0042214E" w:rsidRDefault="006B713F" w:rsidP="000F7C8B">
            <w:pPr>
              <w:numPr>
                <w:ilvl w:val="0"/>
                <w:numId w:val="2"/>
              </w:numPr>
            </w:pPr>
            <w:r w:rsidRPr="0042214E">
              <w:t xml:space="preserve">an </w:t>
            </w:r>
            <w:r w:rsidR="0097602C" w:rsidRPr="0042214E">
              <w:t xml:space="preserve">underpass taking Harvey Road beneath the </w:t>
            </w:r>
            <w:proofErr w:type="gramStart"/>
            <w:r w:rsidR="0097602C" w:rsidRPr="0042214E">
              <w:t>freeway;</w:t>
            </w:r>
            <w:proofErr w:type="gramEnd"/>
          </w:p>
          <w:p w14:paraId="1FF01CB5" w14:textId="6566314B" w:rsidR="0097602C" w:rsidRPr="0042214E" w:rsidRDefault="006B713F" w:rsidP="000F7C8B">
            <w:pPr>
              <w:numPr>
                <w:ilvl w:val="0"/>
                <w:numId w:val="2"/>
              </w:numPr>
            </w:pPr>
            <w:r w:rsidRPr="0042214E">
              <w:t xml:space="preserve">upgrading </w:t>
            </w:r>
            <w:r w:rsidR="0097602C" w:rsidRPr="0042214E">
              <w:t xml:space="preserve">sections of Langford Road, Pitchford Road and Harvey </w:t>
            </w:r>
            <w:proofErr w:type="gramStart"/>
            <w:r w:rsidR="0097602C" w:rsidRPr="0042214E">
              <w:t>Road;</w:t>
            </w:r>
            <w:proofErr w:type="gramEnd"/>
          </w:p>
          <w:p w14:paraId="598A1A34" w14:textId="5886F517" w:rsidR="0097602C" w:rsidRPr="0042214E" w:rsidRDefault="006B713F" w:rsidP="000F7C8B">
            <w:pPr>
              <w:numPr>
                <w:ilvl w:val="0"/>
                <w:numId w:val="2"/>
              </w:numPr>
            </w:pPr>
            <w:r w:rsidRPr="0042214E">
              <w:t xml:space="preserve">planting </w:t>
            </w:r>
            <w:r w:rsidR="0097602C" w:rsidRPr="0042214E">
              <w:t>of trees (to serve as noise barriers) on the Smithville (west) side of the bypass; and</w:t>
            </w:r>
          </w:p>
          <w:p w14:paraId="221C1D8D" w14:textId="2C92ACF8" w:rsidR="0097602C" w:rsidRPr="0042214E" w:rsidRDefault="006B713F" w:rsidP="000F7C8B">
            <w:pPr>
              <w:numPr>
                <w:ilvl w:val="0"/>
                <w:numId w:val="2"/>
              </w:numPr>
            </w:pPr>
            <w:r w:rsidRPr="0042214E">
              <w:t xml:space="preserve">signalling </w:t>
            </w:r>
            <w:r w:rsidR="0097602C" w:rsidRPr="0042214E">
              <w:t>and signage as required.</w:t>
            </w:r>
          </w:p>
          <w:p w14:paraId="2BA669D7" w14:textId="723EA505" w:rsidR="0097602C" w:rsidRPr="0042214E" w:rsidRDefault="0097602C" w:rsidP="00A5315C">
            <w:pPr>
              <w:pStyle w:val="Tabletext"/>
            </w:pPr>
            <w:r w:rsidRPr="0042214E">
              <w:t>The bypass would have maximum gradient of 3.5</w:t>
            </w:r>
            <w:r w:rsidR="00034452" w:rsidRPr="0042214E">
              <w:t> per cent</w:t>
            </w:r>
            <w:r w:rsidRPr="0042214E">
              <w:t xml:space="preserve"> across the entire length of the route. With this bypass, through traffic between Melbourne and the Goulburn Valley would no longer enter Smithville. Similarly, heavy vehicles travelling between Melbourne and the Smithville industrial centre would access the Phillips Highway at Williams Road and so be diverted from the city centre. During the most congested periods this is likely to reduce travel times on the Phillips Highway through Smithville by about 25 minutes. The bypass would be developed in a single phase of construction. Construction would commence in November 2013, with the bypass scheduled to open in late 2015.</w:t>
            </w:r>
          </w:p>
        </w:tc>
      </w:tr>
    </w:tbl>
    <w:p w14:paraId="6BA2A80A" w14:textId="2022FB42" w:rsidR="006450B5" w:rsidRPr="0042214E" w:rsidRDefault="006450B5" w:rsidP="005E1934">
      <w:pPr>
        <w:pStyle w:val="Heading3numbered"/>
      </w:pPr>
      <w:bookmarkStart w:id="124" w:name="_Toc20816226"/>
      <w:bookmarkStart w:id="125" w:name="_Toc121415312"/>
      <w:bookmarkEnd w:id="124"/>
      <w:r w:rsidRPr="0042214E">
        <w:t>Understanding impacts and opportunities of options</w:t>
      </w:r>
      <w:bookmarkEnd w:id="125"/>
    </w:p>
    <w:p w14:paraId="08ED7AC9" w14:textId="51275506" w:rsidR="002B1293" w:rsidRPr="0042214E" w:rsidRDefault="006450B5" w:rsidP="006B713F">
      <w:pPr>
        <w:pStyle w:val="NormalIndent"/>
      </w:pPr>
      <w:r w:rsidRPr="0042214E">
        <w:t xml:space="preserve">The options analysis section should communicate significant impacts of </w:t>
      </w:r>
      <w:r w:rsidR="00857B6F" w:rsidRPr="0042214E">
        <w:t xml:space="preserve">project </w:t>
      </w:r>
      <w:r w:rsidRPr="0042214E">
        <w:t xml:space="preserve">options considered, including social, stakeholder, environmental, </w:t>
      </w:r>
      <w:proofErr w:type="gramStart"/>
      <w:r w:rsidRPr="0042214E">
        <w:t>financial</w:t>
      </w:r>
      <w:proofErr w:type="gramEnd"/>
      <w:r w:rsidRPr="0042214E">
        <w:t xml:space="preserve"> and economic impacts and opportunities.</w:t>
      </w:r>
    </w:p>
    <w:p w14:paraId="73AC11E0" w14:textId="4A201A19" w:rsidR="006450B5" w:rsidRPr="0042214E" w:rsidRDefault="006450B5" w:rsidP="005E1934">
      <w:pPr>
        <w:pStyle w:val="Heading3numbered"/>
      </w:pPr>
      <w:bookmarkStart w:id="126" w:name="_Toc20816228"/>
      <w:bookmarkStart w:id="127" w:name="_Toc121415313"/>
      <w:bookmarkEnd w:id="126"/>
      <w:r w:rsidRPr="0042214E">
        <w:t>Stakeholder</w:t>
      </w:r>
      <w:r w:rsidR="002174D9" w:rsidRPr="0042214E">
        <w:t xml:space="preserve"> impacts</w:t>
      </w:r>
      <w:bookmarkEnd w:id="127"/>
    </w:p>
    <w:p w14:paraId="219D067D" w14:textId="43B68483" w:rsidR="00A8181B" w:rsidRPr="0042214E" w:rsidRDefault="006450B5" w:rsidP="006B713F">
      <w:pPr>
        <w:pStyle w:val="NormalIndent"/>
      </w:pPr>
      <w:r w:rsidRPr="0042214E">
        <w:t>Stakeholders impacted need to be identified and considered in the context of the option shaping and selection.</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1B7307" w:rsidRPr="0042214E" w14:paraId="1621A527" w14:textId="77777777" w:rsidTr="006B713F">
        <w:tc>
          <w:tcPr>
            <w:tcW w:w="8719" w:type="dxa"/>
            <w:shd w:val="clear" w:color="auto" w:fill="FDF3EA" w:themeFill="accent5" w:themeFillTint="33"/>
          </w:tcPr>
          <w:p w14:paraId="5720D462" w14:textId="6069CA45" w:rsidR="00AA5D8B" w:rsidRPr="0042214E" w:rsidRDefault="00AA5D8B" w:rsidP="006B713F">
            <w:pPr>
              <w:pStyle w:val="Tabletextbold"/>
            </w:pPr>
            <w:r w:rsidRPr="0042214E">
              <w:t>Business case information requirements for stakeholder impacts</w:t>
            </w:r>
          </w:p>
          <w:p w14:paraId="21809BC1" w14:textId="77777777" w:rsidR="00AA5D8B" w:rsidRPr="0042214E" w:rsidRDefault="00AA5D8B" w:rsidP="006B713F">
            <w:pPr>
              <w:pStyle w:val="Tablebullet"/>
            </w:pPr>
            <w:r w:rsidRPr="0042214E">
              <w:t>Identify and map stakeholders.</w:t>
            </w:r>
          </w:p>
          <w:p w14:paraId="3A20C490" w14:textId="46D2E8F4" w:rsidR="001B7307" w:rsidRPr="0042214E" w:rsidRDefault="00AA5D8B" w:rsidP="006B713F">
            <w:pPr>
              <w:pStyle w:val="Tablebullet"/>
            </w:pPr>
            <w:r w:rsidRPr="0042214E">
              <w:t>Outline key stakeholder positions, impacts and the level of consultation for each project option.</w:t>
            </w:r>
          </w:p>
        </w:tc>
      </w:tr>
    </w:tbl>
    <w:p w14:paraId="4C0674AC" w14:textId="5003A9BA" w:rsidR="001B7307" w:rsidRPr="0042214E" w:rsidRDefault="001B7307" w:rsidP="006450B5"/>
    <w:tbl>
      <w:tblPr>
        <w:tblStyle w:val="DTFfinancialtableindent"/>
        <w:tblW w:w="0" w:type="auto"/>
        <w:tblLook w:val="0680" w:firstRow="0" w:lastRow="0" w:firstColumn="1" w:lastColumn="0" w:noHBand="1" w:noVBand="1"/>
      </w:tblPr>
      <w:tblGrid>
        <w:gridCol w:w="8377"/>
      </w:tblGrid>
      <w:tr w:rsidR="00AA5D8B" w:rsidRPr="0042214E" w14:paraId="3C207C1D" w14:textId="77777777" w:rsidTr="006B713F">
        <w:trPr>
          <w:cantSplit/>
          <w:trHeight w:val="6300"/>
        </w:trPr>
        <w:tc>
          <w:tcPr>
            <w:cnfStyle w:val="001000000000" w:firstRow="0" w:lastRow="0" w:firstColumn="1" w:lastColumn="0" w:oddVBand="0" w:evenVBand="0" w:oddHBand="0" w:evenHBand="0" w:firstRowFirstColumn="0" w:firstRowLastColumn="0" w:lastRowFirstColumn="0" w:lastRowLastColumn="0"/>
            <w:tcW w:w="8719" w:type="dxa"/>
          </w:tcPr>
          <w:p w14:paraId="59B29879" w14:textId="77777777" w:rsidR="00AA5D8B" w:rsidRPr="0042214E" w:rsidRDefault="00AA5D8B" w:rsidP="006B713F">
            <w:pPr>
              <w:pStyle w:val="Tabletextbold"/>
              <w:rPr>
                <w:sz w:val="20"/>
              </w:rPr>
            </w:pPr>
            <w:r w:rsidRPr="0042214E">
              <w:rPr>
                <w:sz w:val="20"/>
              </w:rPr>
              <w:lastRenderedPageBreak/>
              <w:t>Stakeholder impacts (fictional tourism example)</w:t>
            </w:r>
          </w:p>
          <w:p w14:paraId="3390530B" w14:textId="77777777" w:rsidR="00AA5D8B" w:rsidRPr="0042214E" w:rsidRDefault="00AA5D8B" w:rsidP="006B713F">
            <w:pPr>
              <w:pStyle w:val="Tabletext"/>
            </w:pPr>
            <w:r w:rsidRPr="0042214E">
              <w:t>This case study illustrates the type of information that might be provided on stakeholder impacts.</w:t>
            </w:r>
          </w:p>
          <w:p w14:paraId="42CE94DA" w14:textId="395BC776" w:rsidR="00AA5D8B" w:rsidRPr="0042214E" w:rsidRDefault="00AA5D8B" w:rsidP="006B713F">
            <w:pPr>
              <w:pStyle w:val="Tabletextbold"/>
            </w:pPr>
            <w:r w:rsidRPr="0042214E">
              <w:t xml:space="preserve">Stakeholder </w:t>
            </w:r>
            <w:r w:rsidR="008B31BC" w:rsidRPr="0042214E">
              <w:t>i</w:t>
            </w:r>
            <w:r w:rsidRPr="0042214E">
              <w:t>dentification</w:t>
            </w:r>
          </w:p>
          <w:p w14:paraId="0A315075" w14:textId="10FFD043" w:rsidR="00AA5D8B" w:rsidRPr="0042214E" w:rsidRDefault="00AA5D8B" w:rsidP="006B713F">
            <w:pPr>
              <w:pStyle w:val="Tabletext"/>
            </w:pPr>
            <w:r w:rsidRPr="0042214E">
              <w:t>Key stakeholders include Victorian Government agencies (Regional Development Victoria (RDV) and Tourism Victoria), various businesses and community groups</w:t>
            </w:r>
            <w:r w:rsidR="008B31BC" w:rsidRPr="0042214E">
              <w:t>,</w:t>
            </w:r>
            <w:r w:rsidRPr="0042214E">
              <w:t xml:space="preserve"> including the local indigenous community. Stakeholders are identified in the table below with the nature of their interest explained. </w:t>
            </w:r>
          </w:p>
          <w:tbl>
            <w:tblPr>
              <w:tblStyle w:val="DTFtexttableindent"/>
              <w:tblW w:w="0" w:type="auto"/>
              <w:tblInd w:w="0" w:type="dxa"/>
              <w:tblLook w:val="06A0" w:firstRow="1" w:lastRow="0" w:firstColumn="1" w:lastColumn="0" w:noHBand="1" w:noVBand="1"/>
            </w:tblPr>
            <w:tblGrid>
              <w:gridCol w:w="1908"/>
              <w:gridCol w:w="3921"/>
              <w:gridCol w:w="2434"/>
            </w:tblGrid>
            <w:tr w:rsidR="00AA5D8B" w:rsidRPr="0042214E" w14:paraId="54C6D793" w14:textId="77777777" w:rsidTr="00A973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8" w:type="dxa"/>
                  <w:shd w:val="clear" w:color="auto" w:fill="E57200" w:themeFill="accent2"/>
                </w:tcPr>
                <w:p w14:paraId="20E84324" w14:textId="77777777" w:rsidR="00AA5D8B" w:rsidRPr="0042214E" w:rsidRDefault="00AA5D8B" w:rsidP="006B713F">
                  <w:pPr>
                    <w:pStyle w:val="Tableheader"/>
                    <w:rPr>
                      <w:sz w:val="18"/>
                    </w:rPr>
                  </w:pPr>
                  <w:r w:rsidRPr="0042214E">
                    <w:rPr>
                      <w:sz w:val="18"/>
                    </w:rPr>
                    <w:t xml:space="preserve">Stakeholder </w:t>
                  </w:r>
                </w:p>
              </w:tc>
              <w:tc>
                <w:tcPr>
                  <w:tcW w:w="3921" w:type="dxa"/>
                  <w:shd w:val="clear" w:color="auto" w:fill="E57200" w:themeFill="accent2"/>
                </w:tcPr>
                <w:p w14:paraId="09647D1F" w14:textId="77777777" w:rsidR="00AA5D8B" w:rsidRPr="0042214E" w:rsidRDefault="00AA5D8B" w:rsidP="006B713F">
                  <w:pPr>
                    <w:pStyle w:val="Tableheader"/>
                    <w:cnfStyle w:val="100000000000" w:firstRow="1" w:lastRow="0" w:firstColumn="0" w:lastColumn="0" w:oddVBand="0" w:evenVBand="0" w:oddHBand="0" w:evenHBand="0" w:firstRowFirstColumn="0" w:firstRowLastColumn="0" w:lastRowFirstColumn="0" w:lastRowLastColumn="0"/>
                    <w:rPr>
                      <w:sz w:val="18"/>
                    </w:rPr>
                  </w:pPr>
                  <w:r w:rsidRPr="0042214E">
                    <w:rPr>
                      <w:sz w:val="18"/>
                    </w:rPr>
                    <w:t xml:space="preserve">Impact and interest in project </w:t>
                  </w:r>
                </w:p>
              </w:tc>
              <w:tc>
                <w:tcPr>
                  <w:tcW w:w="2434" w:type="dxa"/>
                  <w:shd w:val="clear" w:color="auto" w:fill="E57200" w:themeFill="accent2"/>
                </w:tcPr>
                <w:p w14:paraId="6F20B4D9" w14:textId="77777777" w:rsidR="00AA5D8B" w:rsidRPr="0042214E" w:rsidRDefault="00AA5D8B" w:rsidP="006B713F">
                  <w:pPr>
                    <w:pStyle w:val="Tableheader"/>
                    <w:cnfStyle w:val="100000000000" w:firstRow="1" w:lastRow="0" w:firstColumn="0" w:lastColumn="0" w:oddVBand="0" w:evenVBand="0" w:oddHBand="0" w:evenHBand="0" w:firstRowFirstColumn="0" w:firstRowLastColumn="0" w:lastRowFirstColumn="0" w:lastRowLastColumn="0"/>
                    <w:rPr>
                      <w:sz w:val="18"/>
                    </w:rPr>
                  </w:pPr>
                  <w:r w:rsidRPr="0042214E">
                    <w:rPr>
                      <w:sz w:val="18"/>
                    </w:rPr>
                    <w:t>Consultation to date – option preference</w:t>
                  </w:r>
                </w:p>
              </w:tc>
            </w:tr>
            <w:tr w:rsidR="00AA5D8B" w:rsidRPr="0042214E" w14:paraId="5A55894A" w14:textId="77777777" w:rsidTr="006B713F">
              <w:tc>
                <w:tcPr>
                  <w:cnfStyle w:val="001000000000" w:firstRow="0" w:lastRow="0" w:firstColumn="1" w:lastColumn="0" w:oddVBand="0" w:evenVBand="0" w:oddHBand="0" w:evenHBand="0" w:firstRowFirstColumn="0" w:firstRowLastColumn="0" w:lastRowFirstColumn="0" w:lastRowLastColumn="0"/>
                  <w:tcW w:w="1908" w:type="dxa"/>
                </w:tcPr>
                <w:p w14:paraId="6B490E39" w14:textId="0D472EA5" w:rsidR="00AA5D8B" w:rsidRPr="0042214E" w:rsidRDefault="00AA5D8B" w:rsidP="006B713F">
                  <w:pPr>
                    <w:pStyle w:val="Tabletext"/>
                  </w:pPr>
                  <w:r w:rsidRPr="0042214E">
                    <w:t>RDV and Tourism Victoria</w:t>
                  </w:r>
                </w:p>
              </w:tc>
              <w:tc>
                <w:tcPr>
                  <w:tcW w:w="3921" w:type="dxa"/>
                </w:tcPr>
                <w:p w14:paraId="6CB38928" w14:textId="77777777" w:rsidR="00AA5D8B" w:rsidRPr="0042214E" w:rsidRDefault="00AA5D8B" w:rsidP="006B713F">
                  <w:pPr>
                    <w:pStyle w:val="Tabletext"/>
                    <w:cnfStyle w:val="000000000000" w:firstRow="0" w:lastRow="0" w:firstColumn="0" w:lastColumn="0" w:oddVBand="0" w:evenVBand="0" w:oddHBand="0" w:evenHBand="0" w:firstRowFirstColumn="0" w:firstRowLastColumn="0" w:lastRowFirstColumn="0" w:lastRowLastColumn="0"/>
                  </w:pPr>
                  <w:r w:rsidRPr="0042214E">
                    <w:t>RDV and Tourism Victoria are agencies with a direct interest in this proposal. RDV delivers regional economic development programs complementing this proposal. The proposal links to Tourism Victoria’s strategy for marketing the Outback region.</w:t>
                  </w:r>
                </w:p>
              </w:tc>
              <w:tc>
                <w:tcPr>
                  <w:tcW w:w="2434" w:type="dxa"/>
                </w:tcPr>
                <w:p w14:paraId="3EA1A577" w14:textId="0797457F" w:rsidR="00AA5D8B" w:rsidRPr="0042214E" w:rsidRDefault="00AA5D8B" w:rsidP="006B713F">
                  <w:pPr>
                    <w:pStyle w:val="Tabletext"/>
                    <w:cnfStyle w:val="000000000000" w:firstRow="0" w:lastRow="0" w:firstColumn="0" w:lastColumn="0" w:oddVBand="0" w:evenVBand="0" w:oddHBand="0" w:evenHBand="0" w:firstRowFirstColumn="0" w:firstRowLastColumn="0" w:lastRowFirstColumn="0" w:lastRowLastColumn="0"/>
                  </w:pPr>
                  <w:r w:rsidRPr="0042214E">
                    <w:t>Ongoing dialogue with these agencies indicates their support for the project with a preference for option 1. They are keen to ensure it complements other initiatives in the region</w:t>
                  </w:r>
                  <w:r w:rsidR="008B31BC" w:rsidRPr="0042214E">
                    <w:t>.</w:t>
                  </w:r>
                </w:p>
              </w:tc>
            </w:tr>
            <w:tr w:rsidR="00AA5D8B" w:rsidRPr="0042214E" w14:paraId="2FE37B38" w14:textId="77777777" w:rsidTr="006B713F">
              <w:tc>
                <w:tcPr>
                  <w:cnfStyle w:val="001000000000" w:firstRow="0" w:lastRow="0" w:firstColumn="1" w:lastColumn="0" w:oddVBand="0" w:evenVBand="0" w:oddHBand="0" w:evenHBand="0" w:firstRowFirstColumn="0" w:firstRowLastColumn="0" w:lastRowFirstColumn="0" w:lastRowLastColumn="0"/>
                  <w:tcW w:w="1908" w:type="dxa"/>
                </w:tcPr>
                <w:p w14:paraId="1E80CB87" w14:textId="6079AE4B" w:rsidR="00AA5D8B" w:rsidRPr="0042214E" w:rsidRDefault="00AA5D8B" w:rsidP="006B713F">
                  <w:pPr>
                    <w:pStyle w:val="Tabletext"/>
                  </w:pPr>
                  <w:r w:rsidRPr="0042214E">
                    <w:t xml:space="preserve">Local businesses and community groups including </w:t>
                  </w:r>
                  <w:r w:rsidR="00681B11" w:rsidRPr="0042214E">
                    <w:t xml:space="preserve">Indigenous </w:t>
                  </w:r>
                  <w:r w:rsidRPr="0042214E">
                    <w:t>communities</w:t>
                  </w:r>
                </w:p>
              </w:tc>
              <w:tc>
                <w:tcPr>
                  <w:tcW w:w="3921" w:type="dxa"/>
                </w:tcPr>
                <w:p w14:paraId="4E0CC63F" w14:textId="77777777" w:rsidR="00AA5D8B" w:rsidRPr="0042214E" w:rsidRDefault="00AA5D8B" w:rsidP="006B713F">
                  <w:pPr>
                    <w:pStyle w:val="Tabletext"/>
                    <w:cnfStyle w:val="000000000000" w:firstRow="0" w:lastRow="0" w:firstColumn="0" w:lastColumn="0" w:oddVBand="0" w:evenVBand="0" w:oddHBand="0" w:evenHBand="0" w:firstRowFirstColumn="0" w:firstRowLastColumn="0" w:lastRowFirstColumn="0" w:lastRowLastColumn="0"/>
                  </w:pPr>
                  <w:r w:rsidRPr="0042214E">
                    <w:t>The site of the proposed investment links its business and tourism districts. This prime location means most members of the local community will be impacted or take a close interest. Some community groups may be negatively impacted during construction. Community groups are likely to support the project, subject to effective engagement and management of disruption to groups using existing facilities.</w:t>
                  </w:r>
                </w:p>
              </w:tc>
              <w:tc>
                <w:tcPr>
                  <w:tcW w:w="2434" w:type="dxa"/>
                </w:tcPr>
                <w:p w14:paraId="5B1E2E4F" w14:textId="4ECFB13B" w:rsidR="00AA5D8B" w:rsidRPr="0042214E" w:rsidRDefault="00AA5D8B" w:rsidP="006B713F">
                  <w:pPr>
                    <w:pStyle w:val="Tabletext"/>
                    <w:cnfStyle w:val="000000000000" w:firstRow="0" w:lastRow="0" w:firstColumn="0" w:lastColumn="0" w:oddVBand="0" w:evenVBand="0" w:oddHBand="0" w:evenHBand="0" w:firstRowFirstColumn="0" w:firstRowLastColumn="0" w:lastRowFirstColumn="0" w:lastRowLastColumn="0"/>
                  </w:pPr>
                  <w:r w:rsidRPr="0042214E">
                    <w:t>Consultation has largely been through presentations and correspondence through local council processes. There is broad acceptance of the problem and benefits</w:t>
                  </w:r>
                  <w:r w:rsidR="008B31BC" w:rsidRPr="0042214E">
                    <w:t>,</w:t>
                  </w:r>
                  <w:r w:rsidRPr="0042214E">
                    <w:t xml:space="preserve"> but diversity in option preferences.</w:t>
                  </w:r>
                </w:p>
              </w:tc>
            </w:tr>
          </w:tbl>
          <w:p w14:paraId="0EFA872D" w14:textId="77777777" w:rsidR="00AA5D8B" w:rsidRPr="0042214E" w:rsidRDefault="00AA5D8B" w:rsidP="006450B5"/>
        </w:tc>
      </w:tr>
    </w:tbl>
    <w:p w14:paraId="0BA62787" w14:textId="5FDB1735" w:rsidR="006450B5" w:rsidRPr="0042214E" w:rsidRDefault="006450B5" w:rsidP="005E1934">
      <w:pPr>
        <w:pStyle w:val="Heading3numbered"/>
      </w:pPr>
      <w:bookmarkStart w:id="128" w:name="_Toc121415314"/>
      <w:bookmarkStart w:id="129" w:name="_Hlk122689669"/>
      <w:r w:rsidRPr="0042214E">
        <w:t>Social impacts</w:t>
      </w:r>
      <w:bookmarkEnd w:id="128"/>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AA5D8B" w:rsidRPr="0042214E" w14:paraId="6E849DDF" w14:textId="77777777" w:rsidTr="006B713F">
        <w:tc>
          <w:tcPr>
            <w:tcW w:w="8719" w:type="dxa"/>
            <w:shd w:val="clear" w:color="auto" w:fill="FDF3EA" w:themeFill="accent5" w:themeFillTint="33"/>
          </w:tcPr>
          <w:bookmarkEnd w:id="129"/>
          <w:p w14:paraId="31E33A4E" w14:textId="6CAA6579" w:rsidR="00AA5D8B" w:rsidRPr="0042214E" w:rsidRDefault="00AA5D8B" w:rsidP="006B713F">
            <w:pPr>
              <w:pStyle w:val="Tabletextbold"/>
            </w:pPr>
            <w:r w:rsidRPr="0042214E">
              <w:t>Business cases information requirements for social impacts</w:t>
            </w:r>
          </w:p>
          <w:p w14:paraId="75409AF9" w14:textId="65F65BF9" w:rsidR="00AA5D8B" w:rsidRPr="0042214E" w:rsidRDefault="00AA5D8B" w:rsidP="006B713F">
            <w:pPr>
              <w:pStyle w:val="Tablebullet"/>
            </w:pPr>
            <w:r w:rsidRPr="0042214E">
              <w:t>Provide a high</w:t>
            </w:r>
            <w:r w:rsidR="00034452" w:rsidRPr="0042214E">
              <w:noBreakHyphen/>
            </w:r>
            <w:r w:rsidRPr="0042214E">
              <w:t xml:space="preserve">level overview of the spread and depth of significant social issues, impacts or opportunities specifically relevant to </w:t>
            </w:r>
            <w:proofErr w:type="gramStart"/>
            <w:r w:rsidRPr="0042214E">
              <w:t xml:space="preserve">particular </w:t>
            </w:r>
            <w:r w:rsidR="00857B6F" w:rsidRPr="0042214E">
              <w:t>project</w:t>
            </w:r>
            <w:proofErr w:type="gramEnd"/>
            <w:r w:rsidR="00857B6F" w:rsidRPr="0042214E">
              <w:t xml:space="preserve"> </w:t>
            </w:r>
            <w:r w:rsidRPr="0042214E">
              <w:t>options.</w:t>
            </w:r>
          </w:p>
          <w:p w14:paraId="4A863E17" w14:textId="77777777" w:rsidR="00AA5D8B" w:rsidRPr="0042214E" w:rsidRDefault="00AA5D8B" w:rsidP="006B713F">
            <w:pPr>
              <w:pStyle w:val="Tablebullet"/>
            </w:pPr>
            <w:r w:rsidRPr="0042214E">
              <w:t xml:space="preserve">These impacts may be the deliberate intention of the proposal or an unintended consequence. </w:t>
            </w:r>
          </w:p>
          <w:p w14:paraId="18F79E67" w14:textId="44AB18F4" w:rsidR="00AA5D8B" w:rsidRPr="0042214E" w:rsidRDefault="00AA5D8B" w:rsidP="006B713F">
            <w:pPr>
              <w:pStyle w:val="Tablebullet"/>
            </w:pPr>
            <w:r w:rsidRPr="0042214E">
              <w:t>Distinguish the measurable and non</w:t>
            </w:r>
            <w:r w:rsidR="00034452" w:rsidRPr="0042214E">
              <w:noBreakHyphen/>
            </w:r>
            <w:r w:rsidRPr="0042214E">
              <w:t>measurable aspects and the relevance of these to the investment.</w:t>
            </w:r>
          </w:p>
        </w:tc>
      </w:tr>
    </w:tbl>
    <w:p w14:paraId="2BD31AC1" w14:textId="77777777" w:rsidR="00FC7ECB" w:rsidRDefault="00FC7ECB" w:rsidP="00FC7ECB">
      <w:bookmarkStart w:id="130" w:name="_Toc20816231"/>
      <w:bookmarkEnd w:id="130"/>
    </w:p>
    <w:p w14:paraId="41DEBE2C" w14:textId="5CB62AFD" w:rsidR="006450B5" w:rsidRPr="0042214E" w:rsidRDefault="006450B5" w:rsidP="005E1934">
      <w:pPr>
        <w:pStyle w:val="Heading3numbered"/>
      </w:pPr>
      <w:bookmarkStart w:id="131" w:name="_Toc121415315"/>
      <w:r w:rsidRPr="0042214E">
        <w:t>Environmental impacts</w:t>
      </w:r>
      <w:bookmarkEnd w:id="131"/>
    </w:p>
    <w:p w14:paraId="1D757B76" w14:textId="236545B5" w:rsidR="006450B5" w:rsidRPr="0042214E" w:rsidRDefault="006450B5" w:rsidP="006B713F">
      <w:pPr>
        <w:pStyle w:val="NormalIndent"/>
      </w:pPr>
      <w:r w:rsidRPr="0042214E">
        <w:t>When looking at investment in sustainable initiatives</w:t>
      </w:r>
      <w:r w:rsidR="008B31BC" w:rsidRPr="0042214E">
        <w:t>,</w:t>
      </w:r>
      <w:r w:rsidRPr="0042214E">
        <w:t xml:space="preserve"> </w:t>
      </w:r>
      <w:r w:rsidR="00B26E72" w:rsidRPr="0042214E">
        <w:t>agencies</w:t>
      </w:r>
      <w:r w:rsidRPr="0042214E">
        <w:t xml:space="preserve"> should consider opportunities for investing in sustainability </w:t>
      </w:r>
      <w:proofErr w:type="gramStart"/>
      <w:r w:rsidRPr="0042214E">
        <w:t>as long as</w:t>
      </w:r>
      <w:proofErr w:type="gramEnd"/>
      <w:r w:rsidRPr="0042214E">
        <w:t xml:space="preserve"> it contributes to </w:t>
      </w:r>
      <w:r w:rsidR="00065847" w:rsidRPr="0042214E">
        <w:t xml:space="preserve">value for money </w:t>
      </w:r>
      <w:r w:rsidRPr="0042214E">
        <w:t xml:space="preserve">or a stated </w:t>
      </w:r>
      <w:r w:rsidR="00341D94" w:rsidRPr="0042214E">
        <w:t>g</w:t>
      </w:r>
      <w:r w:rsidRPr="0042214E">
        <w:t>overnment policy. Key themes and areas of focus of the guidance include:</w:t>
      </w:r>
    </w:p>
    <w:p w14:paraId="3F0E2A85" w14:textId="77777777" w:rsidR="006450B5" w:rsidRPr="0042214E" w:rsidRDefault="006450B5" w:rsidP="006B713F">
      <w:pPr>
        <w:pStyle w:val="Bulletindent"/>
      </w:pPr>
      <w:r w:rsidRPr="0042214E">
        <w:t>linking investment decisions to clearly identifiable benefits (quantified or otherwise</w:t>
      </w:r>
      <w:proofErr w:type="gramStart"/>
      <w:r w:rsidRPr="0042214E">
        <w:t>);</w:t>
      </w:r>
      <w:proofErr w:type="gramEnd"/>
    </w:p>
    <w:p w14:paraId="1D820331" w14:textId="77777777" w:rsidR="006450B5" w:rsidRPr="0042214E" w:rsidRDefault="006450B5" w:rsidP="006B713F">
      <w:pPr>
        <w:pStyle w:val="Bulletindent"/>
      </w:pPr>
      <w:r w:rsidRPr="0042214E">
        <w:t xml:space="preserve">a whole of life investment approach, including in the cost benefit </w:t>
      </w:r>
      <w:proofErr w:type="gramStart"/>
      <w:r w:rsidRPr="0042214E">
        <w:t>appraisal;</w:t>
      </w:r>
      <w:proofErr w:type="gramEnd"/>
    </w:p>
    <w:p w14:paraId="1FC11E3C" w14:textId="77777777" w:rsidR="006450B5" w:rsidRPr="0042214E" w:rsidRDefault="006450B5" w:rsidP="006B713F">
      <w:pPr>
        <w:pStyle w:val="Bulletindent"/>
      </w:pPr>
      <w:r w:rsidRPr="0042214E">
        <w:t xml:space="preserve">building in sustainability from the concept stage by providing a set of prompts to consider; and </w:t>
      </w:r>
    </w:p>
    <w:p w14:paraId="4EB19673" w14:textId="3C11B5DB" w:rsidR="006450B5" w:rsidRPr="0042214E" w:rsidRDefault="006450B5" w:rsidP="006B713F">
      <w:pPr>
        <w:pStyle w:val="Bulletindent"/>
      </w:pPr>
      <w:r w:rsidRPr="0042214E">
        <w:t>improving the robustness of sustainability elements towards clearly defined performance.</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CC6ED9" w:rsidRPr="0042214E" w14:paraId="25B1D3D0" w14:textId="77777777" w:rsidTr="004E6541">
        <w:trPr>
          <w:cantSplit/>
        </w:trPr>
        <w:tc>
          <w:tcPr>
            <w:tcW w:w="8719" w:type="dxa"/>
            <w:shd w:val="clear" w:color="auto" w:fill="FDF3EA" w:themeFill="accent5" w:themeFillTint="33"/>
          </w:tcPr>
          <w:p w14:paraId="19BB0B3D" w14:textId="6FBEC4BE" w:rsidR="00CC6ED9" w:rsidRPr="0042214E" w:rsidRDefault="00CC6ED9" w:rsidP="004E6541">
            <w:pPr>
              <w:pStyle w:val="Tabletextbold"/>
            </w:pPr>
            <w:r w:rsidRPr="0042214E">
              <w:lastRenderedPageBreak/>
              <w:t xml:space="preserve">Business case information requirements for environmental impacts </w:t>
            </w:r>
          </w:p>
          <w:p w14:paraId="30F031C4" w14:textId="637E35A4" w:rsidR="00CC6ED9" w:rsidRPr="0042214E" w:rsidRDefault="00CC6ED9" w:rsidP="004E6541">
            <w:pPr>
              <w:pStyle w:val="Tablebullet"/>
            </w:pPr>
            <w:r w:rsidRPr="0042214E">
              <w:t>The extent and nature of short and long</w:t>
            </w:r>
            <w:r w:rsidR="00034452" w:rsidRPr="0042214E">
              <w:noBreakHyphen/>
            </w:r>
            <w:r w:rsidRPr="0042214E">
              <w:t>term environmental consequences</w:t>
            </w:r>
            <w:r w:rsidR="000F4FE1" w:rsidRPr="0042214E">
              <w:t>.</w:t>
            </w:r>
          </w:p>
          <w:p w14:paraId="09B1FC74" w14:textId="239BBC88" w:rsidR="00CC6ED9" w:rsidRPr="0042214E" w:rsidRDefault="00CC6ED9" w:rsidP="004E6541">
            <w:pPr>
              <w:pStyle w:val="Tablebullet"/>
            </w:pPr>
            <w:r w:rsidRPr="0042214E">
              <w:t xml:space="preserve">Opportunities to deliver environmental benefits (or address risks) relating to </w:t>
            </w:r>
            <w:r w:rsidR="00341D94" w:rsidRPr="0042214E">
              <w:t>g</w:t>
            </w:r>
            <w:r w:rsidRPr="0042214E">
              <w:t>overnment objectives (</w:t>
            </w:r>
            <w:proofErr w:type="gramStart"/>
            <w:r w:rsidRPr="0042214E">
              <w:t>e.g.</w:t>
            </w:r>
            <w:proofErr w:type="gramEnd"/>
            <w:r w:rsidR="00681B11">
              <w:t> </w:t>
            </w:r>
            <w:r w:rsidRPr="0042214E">
              <w:t>through the incorporation of conservation and sustainability</w:t>
            </w:r>
            <w:r w:rsidR="000F4FE1" w:rsidRPr="0042214E">
              <w:t>).</w:t>
            </w:r>
          </w:p>
          <w:p w14:paraId="0C2EB63A" w14:textId="37E370FE" w:rsidR="00CC6ED9" w:rsidRPr="0042214E" w:rsidRDefault="00CC6ED9" w:rsidP="004E6541">
            <w:pPr>
              <w:pStyle w:val="Tablebullet"/>
            </w:pPr>
            <w:r w:rsidRPr="0042214E">
              <w:t>The measurable and non</w:t>
            </w:r>
            <w:r w:rsidR="00034452" w:rsidRPr="0042214E">
              <w:noBreakHyphen/>
            </w:r>
            <w:r w:rsidRPr="0042214E">
              <w:t>measurable aspects and their relevance to the investment</w:t>
            </w:r>
            <w:r w:rsidR="000F4FE1" w:rsidRPr="0042214E">
              <w:t>.</w:t>
            </w:r>
          </w:p>
          <w:p w14:paraId="22941336" w14:textId="3BCF5EA6" w:rsidR="00CC6ED9" w:rsidRPr="0042214E" w:rsidRDefault="00CC6ED9" w:rsidP="004E6541">
            <w:pPr>
              <w:pStyle w:val="Tablebullet"/>
            </w:pPr>
            <w:r w:rsidRPr="0042214E">
              <w:t>Any uncertainties or risks stemming from these impacts and issues, and strategies to address them.</w:t>
            </w:r>
          </w:p>
        </w:tc>
      </w:tr>
    </w:tbl>
    <w:p w14:paraId="6A474941" w14:textId="45C5099D" w:rsidR="00C161E2" w:rsidRPr="0042214E" w:rsidRDefault="00C161E2" w:rsidP="005E1934">
      <w:pPr>
        <w:pStyle w:val="Heading3numbered"/>
      </w:pPr>
      <w:bookmarkStart w:id="132" w:name="_Toc20816233"/>
      <w:bookmarkStart w:id="133" w:name="_Toc20816234"/>
      <w:bookmarkStart w:id="134" w:name="_Toc20816235"/>
      <w:bookmarkStart w:id="135" w:name="_Toc18568600"/>
      <w:bookmarkStart w:id="136" w:name="_Toc121415316"/>
      <w:bookmarkEnd w:id="132"/>
      <w:bookmarkEnd w:id="133"/>
      <w:bookmarkEnd w:id="134"/>
      <w:bookmarkEnd w:id="135"/>
      <w:r w:rsidRPr="0042214E">
        <w:t>Financial modelling</w:t>
      </w:r>
      <w:bookmarkEnd w:id="136"/>
    </w:p>
    <w:p w14:paraId="1CC6B4ED" w14:textId="2DB7D8D0" w:rsidR="006450B5" w:rsidRPr="0042214E" w:rsidRDefault="006450B5" w:rsidP="006B713F">
      <w:pPr>
        <w:pStyle w:val="NormalIndent"/>
        <w:rPr>
          <w:rStyle w:val="Emphasis"/>
        </w:rPr>
      </w:pPr>
      <w:r w:rsidRPr="0042214E">
        <w:rPr>
          <w:rStyle w:val="Emphasis"/>
        </w:rPr>
        <w:t xml:space="preserve">A summary of the financial modelling process and outcomes for each </w:t>
      </w:r>
      <w:r w:rsidR="00857B6F" w:rsidRPr="0042214E">
        <w:rPr>
          <w:rStyle w:val="Emphasis"/>
        </w:rPr>
        <w:t xml:space="preserve">project </w:t>
      </w:r>
      <w:r w:rsidRPr="0042214E">
        <w:rPr>
          <w:rStyle w:val="Emphasis"/>
        </w:rPr>
        <w:t>option is required. Costs are specified to the level of a concept estimate. The costs need to be realistic, evidence based and defensible.</w:t>
      </w:r>
    </w:p>
    <w:p w14:paraId="0E17992E" w14:textId="2F363C35" w:rsidR="006450B5" w:rsidRPr="0042214E" w:rsidRDefault="006450B5" w:rsidP="006B713F">
      <w:pPr>
        <w:pStyle w:val="NormalIndent"/>
      </w:pPr>
      <w:r w:rsidRPr="0042214E">
        <w:t xml:space="preserve">Capital, operational costs, revenues and cash flows should be modelled over a sufficient </w:t>
      </w:r>
      <w:proofErr w:type="gramStart"/>
      <w:r w:rsidRPr="0042214E">
        <w:t>period of time</w:t>
      </w:r>
      <w:proofErr w:type="gramEnd"/>
      <w:r w:rsidRPr="0042214E">
        <w:t xml:space="preserve"> to consider whole of life impacts and to allow meaningful option comparison. This section should also detail any biases, </w:t>
      </w:r>
      <w:proofErr w:type="gramStart"/>
      <w:r w:rsidRPr="0042214E">
        <w:t>limitations</w:t>
      </w:r>
      <w:proofErr w:type="gramEnd"/>
      <w:r w:rsidRPr="0042214E">
        <w:t xml:space="preserve"> and deficiencies of the analysis</w:t>
      </w:r>
      <w:r w:rsidR="000F4FE1" w:rsidRPr="0042214E">
        <w:t>,</w:t>
      </w:r>
      <w:r w:rsidR="00A10959" w:rsidRPr="0042214E">
        <w:t xml:space="preserve"> as well as a brief description outlining the basis for this estimate and any key cost assumptions</w:t>
      </w:r>
      <w:r w:rsidRPr="0042214E">
        <w:t>.</w:t>
      </w:r>
    </w:p>
    <w:p w14:paraId="2C4BC8F9" w14:textId="4EB08F86" w:rsidR="00A10959" w:rsidRPr="0042214E" w:rsidRDefault="00A10959" w:rsidP="006B713F">
      <w:pPr>
        <w:pStyle w:val="NormalIndent"/>
      </w:pPr>
      <w:r w:rsidRPr="0042214E">
        <w:t xml:space="preserve">Where </w:t>
      </w:r>
      <w:r w:rsidR="00EC7FBA" w:rsidRPr="0042214E">
        <w:t>a</w:t>
      </w:r>
      <w:r w:rsidR="00857B6F" w:rsidRPr="0042214E">
        <w:t xml:space="preserve"> project</w:t>
      </w:r>
      <w:r w:rsidR="00EC7FBA" w:rsidRPr="0042214E">
        <w:t xml:space="preserve"> option</w:t>
      </w:r>
      <w:r w:rsidRPr="0042214E">
        <w:t xml:space="preserve"> will result in substantial changes to output costs (increase or decrease)</w:t>
      </w:r>
      <w:r w:rsidR="000F4FE1" w:rsidRPr="0042214E">
        <w:t>,</w:t>
      </w:r>
      <w:r w:rsidRPr="0042214E">
        <w:t xml:space="preserve"> the estimated impact should be addressed.</w:t>
      </w:r>
    </w:p>
    <w:p w14:paraId="3A5C2C37" w14:textId="496F2195" w:rsidR="006450B5" w:rsidRPr="0042214E" w:rsidRDefault="006450B5" w:rsidP="006B713F">
      <w:pPr>
        <w:pStyle w:val="NormalIndent"/>
      </w:pPr>
      <w:r w:rsidRPr="0042214E">
        <w:t>If a real options analysis is being applied, costings will need to be determined for each real option alternative. The following table outlines the difference between the economic and financial analyses.</w:t>
      </w:r>
    </w:p>
    <w:p w14:paraId="1E8B51A8" w14:textId="05B09534" w:rsidR="00857B6F" w:rsidRPr="0042214E" w:rsidRDefault="00857B6F" w:rsidP="004E6541">
      <w:pPr>
        <w:pStyle w:val="Caption"/>
        <w:ind w:left="792"/>
      </w:pPr>
      <w:r w:rsidRPr="0042214E">
        <w:t xml:space="preserve">Table </w:t>
      </w:r>
      <w:fldSimple w:instr=" SEQ Table \* ARABIC ">
        <w:r w:rsidR="00295E8F">
          <w:rPr>
            <w:noProof/>
          </w:rPr>
          <w:t>7</w:t>
        </w:r>
      </w:fldSimple>
      <w:r w:rsidRPr="0042214E">
        <w:t>: Difference between economic evaluation and financial analysis</w:t>
      </w:r>
    </w:p>
    <w:tbl>
      <w:tblPr>
        <w:tblStyle w:val="DTFfinancialtableindent"/>
        <w:tblW w:w="0" w:type="auto"/>
        <w:tblLook w:val="0620" w:firstRow="1" w:lastRow="0" w:firstColumn="0" w:lastColumn="0" w:noHBand="1" w:noVBand="1"/>
      </w:tblPr>
      <w:tblGrid>
        <w:gridCol w:w="1486"/>
        <w:gridCol w:w="3444"/>
        <w:gridCol w:w="3444"/>
      </w:tblGrid>
      <w:tr w:rsidR="004E6541" w:rsidRPr="0042214E" w14:paraId="3E3AC661" w14:textId="77777777" w:rsidTr="00A97326">
        <w:trPr>
          <w:cnfStyle w:val="100000000000" w:firstRow="1" w:lastRow="0" w:firstColumn="0" w:lastColumn="0" w:oddVBand="0" w:evenVBand="0" w:oddHBand="0" w:evenHBand="0" w:firstRowFirstColumn="0" w:firstRowLastColumn="0" w:lastRowFirstColumn="0" w:lastRowLastColumn="0"/>
        </w:trPr>
        <w:tc>
          <w:tcPr>
            <w:tcW w:w="1486" w:type="dxa"/>
          </w:tcPr>
          <w:p w14:paraId="61C85AD5" w14:textId="77777777" w:rsidR="00857B6F" w:rsidRPr="0042214E" w:rsidRDefault="00857B6F" w:rsidP="004E6541">
            <w:pPr>
              <w:pStyle w:val="Tableheader"/>
              <w:rPr>
                <w:b/>
              </w:rPr>
            </w:pPr>
          </w:p>
        </w:tc>
        <w:tc>
          <w:tcPr>
            <w:tcW w:w="3444" w:type="dxa"/>
          </w:tcPr>
          <w:p w14:paraId="5E5192E7" w14:textId="36ABDE08" w:rsidR="00857B6F" w:rsidRPr="0042214E" w:rsidRDefault="00857B6F" w:rsidP="004E6541">
            <w:pPr>
              <w:pStyle w:val="Tableheader"/>
              <w:rPr>
                <w:b/>
              </w:rPr>
            </w:pPr>
            <w:r w:rsidRPr="0042214E">
              <w:rPr>
                <w:b/>
              </w:rPr>
              <w:t>Economic analysis</w:t>
            </w:r>
          </w:p>
        </w:tc>
        <w:tc>
          <w:tcPr>
            <w:tcW w:w="3444" w:type="dxa"/>
          </w:tcPr>
          <w:p w14:paraId="7A7D9144" w14:textId="77777777" w:rsidR="00857B6F" w:rsidRPr="0042214E" w:rsidRDefault="00857B6F" w:rsidP="004E6541">
            <w:pPr>
              <w:pStyle w:val="Tableheader"/>
              <w:rPr>
                <w:b/>
              </w:rPr>
            </w:pPr>
            <w:r w:rsidRPr="0042214E">
              <w:rPr>
                <w:b/>
              </w:rPr>
              <w:t>Financial analysis</w:t>
            </w:r>
          </w:p>
        </w:tc>
      </w:tr>
      <w:tr w:rsidR="00857B6F" w:rsidRPr="0042214E" w14:paraId="70AFF784" w14:textId="77777777" w:rsidTr="004E6541">
        <w:tc>
          <w:tcPr>
            <w:tcW w:w="1486" w:type="dxa"/>
          </w:tcPr>
          <w:p w14:paraId="6FD947A2" w14:textId="77777777" w:rsidR="00857B6F" w:rsidRPr="0042214E" w:rsidRDefault="00857B6F" w:rsidP="004E6541">
            <w:pPr>
              <w:pStyle w:val="Tabletextbold"/>
            </w:pPr>
            <w:r w:rsidRPr="0042214E">
              <w:t>Focus</w:t>
            </w:r>
          </w:p>
        </w:tc>
        <w:tc>
          <w:tcPr>
            <w:tcW w:w="3444" w:type="dxa"/>
          </w:tcPr>
          <w:p w14:paraId="7D9E0E3B" w14:textId="667EF273" w:rsidR="00857B6F" w:rsidRPr="0042214E" w:rsidRDefault="00857B6F" w:rsidP="004E6541">
            <w:pPr>
              <w:pStyle w:val="Tabletext"/>
            </w:pPr>
            <w:r w:rsidRPr="0042214E">
              <w:t>Overall social welfare</w:t>
            </w:r>
            <w:r w:rsidR="00DB64D3" w:rsidRPr="0042214E">
              <w:t>/</w:t>
            </w:r>
            <w:r w:rsidRPr="0042214E">
              <w:t>value for money – net present value</w:t>
            </w:r>
            <w:r w:rsidR="00DB64D3" w:rsidRPr="0042214E">
              <w:t>/</w:t>
            </w:r>
            <w:r w:rsidRPr="0042214E">
              <w:t>benefit</w:t>
            </w:r>
            <w:r w:rsidR="00034452" w:rsidRPr="0042214E">
              <w:noBreakHyphen/>
            </w:r>
            <w:r w:rsidRPr="0042214E">
              <w:t>cost ratio</w:t>
            </w:r>
            <w:r w:rsidR="000F4FE1" w:rsidRPr="0042214E">
              <w:t>.</w:t>
            </w:r>
            <w:r w:rsidRPr="0042214E">
              <w:t xml:space="preserve"> </w:t>
            </w:r>
          </w:p>
        </w:tc>
        <w:tc>
          <w:tcPr>
            <w:tcW w:w="3444" w:type="dxa"/>
          </w:tcPr>
          <w:p w14:paraId="3394DB5B" w14:textId="31574A97" w:rsidR="00857B6F" w:rsidRPr="0042214E" w:rsidRDefault="00857B6F" w:rsidP="004E6541">
            <w:pPr>
              <w:pStyle w:val="Tabletext"/>
            </w:pPr>
            <w:r w:rsidRPr="0042214E">
              <w:t>Cash flows, funding requirements and funding sources</w:t>
            </w:r>
            <w:r w:rsidR="000F4FE1" w:rsidRPr="0042214E">
              <w:t>.</w:t>
            </w:r>
          </w:p>
        </w:tc>
      </w:tr>
      <w:tr w:rsidR="00857B6F" w:rsidRPr="0042214E" w14:paraId="463F8F09" w14:textId="77777777" w:rsidTr="004E6541">
        <w:tc>
          <w:tcPr>
            <w:tcW w:w="1486" w:type="dxa"/>
          </w:tcPr>
          <w:p w14:paraId="29B76B68" w14:textId="77777777" w:rsidR="00857B6F" w:rsidRPr="0042214E" w:rsidRDefault="00857B6F" w:rsidP="004E6541">
            <w:pPr>
              <w:pStyle w:val="Tabletextbold"/>
            </w:pPr>
            <w:r w:rsidRPr="0042214E">
              <w:t>Purpose</w:t>
            </w:r>
          </w:p>
        </w:tc>
        <w:tc>
          <w:tcPr>
            <w:tcW w:w="3444" w:type="dxa"/>
          </w:tcPr>
          <w:p w14:paraId="7CA03059" w14:textId="2F281FC3" w:rsidR="00857B6F" w:rsidRPr="0042214E" w:rsidRDefault="00857B6F" w:rsidP="004E6541">
            <w:pPr>
              <w:pStyle w:val="Tabletext"/>
            </w:pPr>
            <w:r w:rsidRPr="0042214E">
              <w:t>Relative contribution of option(s) to net social welfare compared to a base case</w:t>
            </w:r>
            <w:r w:rsidR="000F4FE1" w:rsidRPr="0042214E">
              <w:t>.</w:t>
            </w:r>
          </w:p>
        </w:tc>
        <w:tc>
          <w:tcPr>
            <w:tcW w:w="3444" w:type="dxa"/>
          </w:tcPr>
          <w:p w14:paraId="286BAFAF" w14:textId="7CD55905" w:rsidR="00857B6F" w:rsidRPr="0042214E" w:rsidRDefault="00857B6F" w:rsidP="004E6541">
            <w:pPr>
              <w:pStyle w:val="Tabletext"/>
            </w:pPr>
            <w:r w:rsidRPr="0042214E">
              <w:t>The additional net financial impact to the organisation across time</w:t>
            </w:r>
            <w:r w:rsidR="000F4FE1" w:rsidRPr="0042214E">
              <w:t>.</w:t>
            </w:r>
          </w:p>
        </w:tc>
      </w:tr>
      <w:tr w:rsidR="00857B6F" w:rsidRPr="0042214E" w14:paraId="2B08388F" w14:textId="77777777" w:rsidTr="004E6541">
        <w:tc>
          <w:tcPr>
            <w:tcW w:w="1486" w:type="dxa"/>
          </w:tcPr>
          <w:p w14:paraId="0F5F2A88" w14:textId="77777777" w:rsidR="00857B6F" w:rsidRPr="0042214E" w:rsidRDefault="00857B6F" w:rsidP="004E6541">
            <w:pPr>
              <w:pStyle w:val="Tabletextbold"/>
            </w:pPr>
            <w:r w:rsidRPr="0042214E">
              <w:t>Inclusions</w:t>
            </w:r>
          </w:p>
        </w:tc>
        <w:tc>
          <w:tcPr>
            <w:tcW w:w="3444" w:type="dxa"/>
          </w:tcPr>
          <w:p w14:paraId="50EF6A36" w14:textId="00C4030C" w:rsidR="00857B6F" w:rsidRPr="0042214E" w:rsidRDefault="00857B6F" w:rsidP="004E6541">
            <w:pPr>
              <w:pStyle w:val="Tabletext"/>
            </w:pPr>
            <w:r w:rsidRPr="0042214E">
              <w:t>All allocative resource flows (all incremental and new costs and benefits from society’s perspective) including market (such as most of what is included in a financial analysis) and non</w:t>
            </w:r>
            <w:r w:rsidR="00034452" w:rsidRPr="0042214E">
              <w:noBreakHyphen/>
            </w:r>
            <w:r w:rsidRPr="0042214E">
              <w:t>market</w:t>
            </w:r>
            <w:r w:rsidR="00034452" w:rsidRPr="0042214E">
              <w:noBreakHyphen/>
            </w:r>
            <w:r w:rsidRPr="0042214E">
              <w:t>based impacts (</w:t>
            </w:r>
            <w:r w:rsidR="00825CA5" w:rsidRPr="0042214E">
              <w:t>e.g.,</w:t>
            </w:r>
            <w:r w:rsidR="004E6541" w:rsidRPr="0042214E">
              <w:t> </w:t>
            </w:r>
            <w:r w:rsidRPr="0042214E">
              <w:t xml:space="preserve">externalities). </w:t>
            </w:r>
          </w:p>
          <w:p w14:paraId="0BCA8C69" w14:textId="77777777" w:rsidR="00857B6F" w:rsidRPr="0042214E" w:rsidRDefault="00857B6F" w:rsidP="004E6541">
            <w:pPr>
              <w:pStyle w:val="Tabletext"/>
            </w:pPr>
            <w:r w:rsidRPr="0042214E">
              <w:t>Costs and benefits occurring in different time periods are ‘discounted’ to their present values using the recommended discount rate.</w:t>
            </w:r>
          </w:p>
        </w:tc>
        <w:tc>
          <w:tcPr>
            <w:tcW w:w="3444" w:type="dxa"/>
          </w:tcPr>
          <w:p w14:paraId="7479561B" w14:textId="238E40A2" w:rsidR="00857B6F" w:rsidRPr="0042214E" w:rsidRDefault="00857B6F" w:rsidP="004E6541">
            <w:pPr>
              <w:pStyle w:val="Tabletext"/>
            </w:pPr>
            <w:r w:rsidRPr="0042214E">
              <w:t>Direct capital, revenue and output financial and accounting impacts (</w:t>
            </w:r>
            <w:r w:rsidR="00825CA5" w:rsidRPr="0042214E">
              <w:t>e.g.,</w:t>
            </w:r>
            <w:r w:rsidRPr="0042214E">
              <w:t xml:space="preserve"> depreciation)</w:t>
            </w:r>
            <w:r w:rsidR="000F4FE1" w:rsidRPr="0042214E">
              <w:t>.</w:t>
            </w:r>
            <w:r w:rsidRPr="0042214E">
              <w:t xml:space="preserve"> </w:t>
            </w:r>
          </w:p>
          <w:p w14:paraId="6DE95253" w14:textId="67AFE0AB" w:rsidR="00857B6F" w:rsidRPr="0042214E" w:rsidRDefault="00857B6F" w:rsidP="004E6541">
            <w:pPr>
              <w:pStyle w:val="Tabletext"/>
            </w:pPr>
            <w:r w:rsidRPr="0042214E">
              <w:t xml:space="preserve">Costs and benefits occurring in different time periods are ‘discounted’ to their present values using the recommended discount rate. Refer to </w:t>
            </w:r>
            <w:r w:rsidR="00922978">
              <w:t xml:space="preserve">the </w:t>
            </w:r>
            <w:r w:rsidRPr="00922978">
              <w:rPr>
                <w:b/>
                <w:color w:val="E57200" w:themeColor="accent2"/>
              </w:rPr>
              <w:t>Project budgets</w:t>
            </w:r>
            <w:r w:rsidRPr="00922978">
              <w:rPr>
                <w:i/>
                <w:color w:val="E57200" w:themeColor="accent2"/>
              </w:rPr>
              <w:t xml:space="preserve"> </w:t>
            </w:r>
            <w:r w:rsidR="00922978" w:rsidRPr="00922978">
              <w:t>technical guide</w:t>
            </w:r>
            <w:r w:rsidR="00922978">
              <w:t xml:space="preserve"> </w:t>
            </w:r>
            <w:r w:rsidRPr="0042214E">
              <w:t>for further information.</w:t>
            </w:r>
          </w:p>
        </w:tc>
      </w:tr>
      <w:tr w:rsidR="00857B6F" w:rsidRPr="0042214E" w14:paraId="76A46F13" w14:textId="77777777" w:rsidTr="004E6541">
        <w:tc>
          <w:tcPr>
            <w:tcW w:w="1486" w:type="dxa"/>
          </w:tcPr>
          <w:p w14:paraId="756E89E8" w14:textId="77777777" w:rsidR="00857B6F" w:rsidRPr="0042214E" w:rsidRDefault="00857B6F" w:rsidP="004E6541">
            <w:pPr>
              <w:pStyle w:val="Tabletextbold"/>
            </w:pPr>
            <w:r w:rsidRPr="0042214E">
              <w:t>Exclusions</w:t>
            </w:r>
          </w:p>
        </w:tc>
        <w:tc>
          <w:tcPr>
            <w:tcW w:w="3444" w:type="dxa"/>
          </w:tcPr>
          <w:p w14:paraId="376EA699" w14:textId="77777777" w:rsidR="004E6541" w:rsidRPr="0042214E" w:rsidRDefault="00857B6F" w:rsidP="004E6541">
            <w:pPr>
              <w:pStyle w:val="Tablebullet"/>
              <w:contextualSpacing/>
            </w:pPr>
            <w:r w:rsidRPr="0042214E">
              <w:t>GST and taxes</w:t>
            </w:r>
          </w:p>
          <w:p w14:paraId="5379EB6B" w14:textId="77777777" w:rsidR="004E6541" w:rsidRPr="0042214E" w:rsidRDefault="00857B6F" w:rsidP="004E6541">
            <w:pPr>
              <w:pStyle w:val="Tablebullet"/>
              <w:contextualSpacing/>
            </w:pPr>
            <w:r w:rsidRPr="0042214E">
              <w:t>Depreciation</w:t>
            </w:r>
          </w:p>
          <w:p w14:paraId="231F75A0" w14:textId="77777777" w:rsidR="004E6541" w:rsidRPr="0042214E" w:rsidRDefault="00857B6F" w:rsidP="004E6541">
            <w:pPr>
              <w:pStyle w:val="Tablebullet"/>
              <w:contextualSpacing/>
            </w:pPr>
            <w:r w:rsidRPr="0042214E">
              <w:t>Sunk cost</w:t>
            </w:r>
          </w:p>
          <w:p w14:paraId="01CB3507" w14:textId="77777777" w:rsidR="004E6541" w:rsidRPr="0042214E" w:rsidRDefault="00857B6F" w:rsidP="004E6541">
            <w:pPr>
              <w:pStyle w:val="Tablebullet"/>
              <w:contextualSpacing/>
            </w:pPr>
            <w:r w:rsidRPr="0042214E">
              <w:t>Interest and financing costs</w:t>
            </w:r>
          </w:p>
          <w:p w14:paraId="2CAD7FD2" w14:textId="08F0326D" w:rsidR="00857B6F" w:rsidRPr="0042214E" w:rsidRDefault="00857B6F" w:rsidP="004E6541">
            <w:pPr>
              <w:pStyle w:val="Tablebullet"/>
              <w:contextualSpacing/>
            </w:pPr>
            <w:r w:rsidRPr="0042214E">
              <w:t>Transfer payments</w:t>
            </w:r>
          </w:p>
        </w:tc>
        <w:tc>
          <w:tcPr>
            <w:tcW w:w="3444" w:type="dxa"/>
          </w:tcPr>
          <w:p w14:paraId="70686EF3" w14:textId="77777777" w:rsidR="004E6541" w:rsidRPr="0042214E" w:rsidRDefault="00857B6F" w:rsidP="004E6541">
            <w:pPr>
              <w:pStyle w:val="Tablebullet"/>
              <w:contextualSpacing/>
            </w:pPr>
            <w:r w:rsidRPr="0042214E">
              <w:t>GST and taxes</w:t>
            </w:r>
          </w:p>
          <w:p w14:paraId="170D5C8E" w14:textId="6BBDEE36" w:rsidR="00857B6F" w:rsidRPr="0042214E" w:rsidRDefault="00857B6F" w:rsidP="004E6541">
            <w:pPr>
              <w:pStyle w:val="Tablebullet"/>
              <w:contextualSpacing/>
            </w:pPr>
            <w:r w:rsidRPr="0042214E">
              <w:t>Sunk costs</w:t>
            </w:r>
          </w:p>
        </w:tc>
      </w:tr>
      <w:tr w:rsidR="00857B6F" w:rsidRPr="0042214E" w14:paraId="3F845122" w14:textId="77777777" w:rsidTr="004E6541">
        <w:tc>
          <w:tcPr>
            <w:tcW w:w="1486" w:type="dxa"/>
          </w:tcPr>
          <w:p w14:paraId="1D4634A6" w14:textId="77777777" w:rsidR="00857B6F" w:rsidRPr="0042214E" w:rsidRDefault="00857B6F" w:rsidP="004E6541">
            <w:pPr>
              <w:pStyle w:val="Tabletextbold"/>
            </w:pPr>
            <w:r w:rsidRPr="0042214E">
              <w:t>Period of analysis</w:t>
            </w:r>
          </w:p>
        </w:tc>
        <w:tc>
          <w:tcPr>
            <w:tcW w:w="3444" w:type="dxa"/>
          </w:tcPr>
          <w:p w14:paraId="295E8AD0" w14:textId="4C886919" w:rsidR="00857B6F" w:rsidRPr="0042214E" w:rsidRDefault="00857B6F" w:rsidP="004E6541">
            <w:pPr>
              <w:pStyle w:val="Tabletext"/>
            </w:pPr>
            <w:r w:rsidRPr="0042214E">
              <w:t>Service term or period sufficient to consider whole of life impacts of the project</w:t>
            </w:r>
            <w:r w:rsidR="000F4FE1" w:rsidRPr="0042214E">
              <w:t>.</w:t>
            </w:r>
          </w:p>
        </w:tc>
        <w:tc>
          <w:tcPr>
            <w:tcW w:w="3444" w:type="dxa"/>
          </w:tcPr>
          <w:p w14:paraId="2B00247B" w14:textId="2834D454" w:rsidR="00857B6F" w:rsidRPr="0042214E" w:rsidRDefault="00857B6F" w:rsidP="004E6541">
            <w:pPr>
              <w:pStyle w:val="Tabletext"/>
            </w:pPr>
            <w:r w:rsidRPr="0042214E">
              <w:t>Service term or period sufficient to consider whole of life impacts of the project</w:t>
            </w:r>
            <w:r w:rsidR="000F4FE1" w:rsidRPr="0042214E">
              <w:t>.</w:t>
            </w:r>
          </w:p>
        </w:tc>
      </w:tr>
    </w:tbl>
    <w:p w14:paraId="583219F2" w14:textId="3E28ACE3" w:rsidR="00A10959" w:rsidRPr="0042214E" w:rsidRDefault="00A10959" w:rsidP="006B713F">
      <w:pPr>
        <w:pStyle w:val="NormalIndent"/>
      </w:pPr>
      <w:r w:rsidRPr="0042214E">
        <w:lastRenderedPageBreak/>
        <w:t>Cost estimates for potential investments are an important component of the investment case stage. While it is recognised that this is an early stage of an investment’s development, the cost estimates should be sufficiently reliable to provide an ‘order of magnitude’ of the final cost, expressed as a cost range ($x</w:t>
      </w:r>
      <w:r w:rsidR="00034452" w:rsidRPr="0042214E">
        <w:noBreakHyphen/>
      </w:r>
      <w:r w:rsidRPr="0042214E">
        <w:t>$y</w:t>
      </w:r>
      <w:r w:rsidR="00034452" w:rsidRPr="0042214E">
        <w:t> million</w:t>
      </w:r>
      <w:r w:rsidRPr="0042214E">
        <w:t xml:space="preserve">). The cost estimate will be used as a component of the analysis to determine which project investment options should be considered further in the full business case. </w:t>
      </w:r>
    </w:p>
    <w:p w14:paraId="151A4B8F" w14:textId="09DC205F" w:rsidR="00A10959" w:rsidRPr="0042214E" w:rsidRDefault="00A10959" w:rsidP="006B713F">
      <w:pPr>
        <w:pStyle w:val="NormalIndent"/>
      </w:pPr>
      <w:r w:rsidRPr="0042214E">
        <w:t>The estimated full capital cost of the investment should be included with a brief description outlining the basis for this estimate and any key cost assumptions. Where the proposal will result in substantial changes to output costs (increase or decrease)</w:t>
      </w:r>
      <w:r w:rsidR="00E61D5C" w:rsidRPr="0042214E">
        <w:t>,</w:t>
      </w:r>
      <w:r w:rsidRPr="0042214E">
        <w:t xml:space="preserve"> the estimated impact should be addressed.</w:t>
      </w:r>
    </w:p>
    <w:p w14:paraId="6B5447DA" w14:textId="77777777" w:rsidR="009B3E01" w:rsidRPr="0042214E" w:rsidRDefault="009B3E01" w:rsidP="004E6541">
      <w:pPr>
        <w:pStyle w:val="Heading4"/>
      </w:pPr>
      <w:r w:rsidRPr="0042214E">
        <w:t>Financial analysis</w:t>
      </w:r>
    </w:p>
    <w:p w14:paraId="4644F78C" w14:textId="345C9D13" w:rsidR="00857B6F" w:rsidRPr="0042214E" w:rsidRDefault="009B3E01" w:rsidP="006B713F">
      <w:pPr>
        <w:pStyle w:val="NormalIndent"/>
      </w:pPr>
      <w:r w:rsidRPr="0042214E">
        <w:t xml:space="preserve">Financial analysis is an estimate of all </w:t>
      </w:r>
      <w:r w:rsidR="00E61D5C" w:rsidRPr="0042214E">
        <w:t>investment-</w:t>
      </w:r>
      <w:r w:rsidRPr="0042214E">
        <w:t>specific g</w:t>
      </w:r>
      <w:r w:rsidR="00E61D5C" w:rsidRPr="0042214E">
        <w:t>overnment-</w:t>
      </w:r>
      <w:r w:rsidRPr="0042214E">
        <w:t xml:space="preserve">wide cash flows expected to occur over the life of the investment, in other words what the investment will cost and how affordable it is. If uncertainty and flexibility exist within the investment, a real options approach should be used to identify the expected net present value (NPV) of the investment. </w:t>
      </w:r>
    </w:p>
    <w:p w14:paraId="1B555C66" w14:textId="6FE846F0" w:rsidR="009B3E01" w:rsidRDefault="009B3E01" w:rsidP="006B713F">
      <w:pPr>
        <w:pStyle w:val="NormalIndent"/>
      </w:pPr>
      <w:r w:rsidRPr="0042214E">
        <w:t>The financial analysis focuses on the net cost of options to be appraised in the economic analysis. These costs and benefits are assessed relative to the base case. Both the ‘financial’ perspective and the ‘economic’ perspective need to be assessed, along with risk and uncertainty in providing decision</w:t>
      </w:r>
      <w:r w:rsidR="00034452" w:rsidRPr="0042214E">
        <w:noBreakHyphen/>
      </w:r>
      <w:r w:rsidRPr="0042214E">
        <w:t xml:space="preserve">makers with a clear picture of the factors affecting the investment decision. </w:t>
      </w:r>
    </w:p>
    <w:p w14:paraId="26B48DA6" w14:textId="77777777" w:rsidR="00104E20" w:rsidRPr="0042214E" w:rsidRDefault="00104E20" w:rsidP="00104E20">
      <w:pPr>
        <w:pStyle w:val="Spacer"/>
      </w:pP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CC6ED9" w:rsidRPr="0042214E" w14:paraId="26782D3A" w14:textId="77777777" w:rsidTr="000944D6">
        <w:tc>
          <w:tcPr>
            <w:tcW w:w="8719" w:type="dxa"/>
            <w:shd w:val="clear" w:color="auto" w:fill="FDF3EA" w:themeFill="accent5" w:themeFillTint="33"/>
          </w:tcPr>
          <w:p w14:paraId="0C2003D8" w14:textId="73DF7901" w:rsidR="00CC6ED9" w:rsidRPr="0042214E" w:rsidRDefault="00CC6ED9" w:rsidP="000944D6">
            <w:pPr>
              <w:pStyle w:val="Tabletextbold"/>
            </w:pPr>
            <w:r w:rsidRPr="0042214E">
              <w:t>Business case information requirements for financial analysis</w:t>
            </w:r>
          </w:p>
          <w:p w14:paraId="43402F8A" w14:textId="77777777" w:rsidR="00CC6ED9" w:rsidRPr="0042214E" w:rsidRDefault="00CC6ED9" w:rsidP="000944D6">
            <w:pPr>
              <w:pStyle w:val="Tablebullet"/>
            </w:pPr>
            <w:r w:rsidRPr="0042214E">
              <w:t>A description of the costing methodology used to establish the TEI estimate.</w:t>
            </w:r>
          </w:p>
          <w:p w14:paraId="106C9235" w14:textId="072A971A" w:rsidR="00CC6ED9" w:rsidRPr="0042214E" w:rsidRDefault="00CC6ED9" w:rsidP="000944D6">
            <w:pPr>
              <w:pStyle w:val="Tablebullet"/>
            </w:pPr>
            <w:r w:rsidRPr="0042214E">
              <w:t xml:space="preserve">A statement addressing the scope of estimates for </w:t>
            </w:r>
            <w:r w:rsidR="00857B6F" w:rsidRPr="0042214E">
              <w:t xml:space="preserve">project </w:t>
            </w:r>
            <w:r w:rsidRPr="0042214E">
              <w:t>options.</w:t>
            </w:r>
          </w:p>
          <w:p w14:paraId="3031C343" w14:textId="77777777" w:rsidR="00CC6ED9" w:rsidRPr="0042214E" w:rsidRDefault="00CC6ED9" w:rsidP="000944D6">
            <w:pPr>
              <w:pStyle w:val="Tablebullet"/>
            </w:pPr>
            <w:r w:rsidRPr="0042214E">
              <w:t xml:space="preserve">An explanation of key assumptions, such as: </w:t>
            </w:r>
          </w:p>
          <w:p w14:paraId="001CAA2D" w14:textId="4E1DCE7B" w:rsidR="00CC6ED9" w:rsidRPr="0042214E" w:rsidRDefault="00CC6ED9" w:rsidP="000944D6">
            <w:pPr>
              <w:pStyle w:val="Tabledash"/>
            </w:pPr>
            <w:r w:rsidRPr="0042214E">
              <w:t xml:space="preserve">assumptions used to develop the estimated project cost for each </w:t>
            </w:r>
            <w:r w:rsidR="00857B6F" w:rsidRPr="0042214E">
              <w:t xml:space="preserve">project </w:t>
            </w:r>
            <w:proofErr w:type="gramStart"/>
            <w:r w:rsidRPr="0042214E">
              <w:t>option;</w:t>
            </w:r>
            <w:proofErr w:type="gramEnd"/>
          </w:p>
          <w:p w14:paraId="66B922BD" w14:textId="266A1E79" w:rsidR="00CC6ED9" w:rsidRPr="0042214E" w:rsidRDefault="00CC6ED9" w:rsidP="000944D6">
            <w:pPr>
              <w:pStyle w:val="Tabledash"/>
            </w:pPr>
            <w:r w:rsidRPr="0042214E">
              <w:t xml:space="preserve">estimated unit costs of the project option. Where possible include costs per unit of output, </w:t>
            </w:r>
            <w:r w:rsidR="00126E61" w:rsidRPr="0042214E">
              <w:t>e.g.,</w:t>
            </w:r>
            <w:r w:rsidRPr="0042214E">
              <w:t xml:space="preserve"> cost per hospital bed, and building unit, </w:t>
            </w:r>
            <w:r w:rsidR="00126E61" w:rsidRPr="0042214E">
              <w:t>e.g.,</w:t>
            </w:r>
            <w:r w:rsidRPr="0042214E">
              <w:t xml:space="preserve"> cost per square </w:t>
            </w:r>
            <w:proofErr w:type="gramStart"/>
            <w:r w:rsidRPr="0042214E">
              <w:t>metre;</w:t>
            </w:r>
            <w:proofErr w:type="gramEnd"/>
          </w:p>
          <w:p w14:paraId="677694CF" w14:textId="3C733131" w:rsidR="00CC6ED9" w:rsidRPr="0042214E" w:rsidRDefault="00CC6ED9" w:rsidP="000944D6">
            <w:pPr>
              <w:pStyle w:val="Tabledash"/>
            </w:pPr>
            <w:r w:rsidRPr="0042214E">
              <w:t>relevant benchmarking of other projects, assets, facilities if similar work has been undertaken before; and/or</w:t>
            </w:r>
          </w:p>
          <w:p w14:paraId="4B37C3DB" w14:textId="096458E7" w:rsidR="00CC6ED9" w:rsidRPr="0042214E" w:rsidRDefault="00CC6ED9" w:rsidP="000944D6">
            <w:pPr>
              <w:pStyle w:val="Tabledash"/>
            </w:pPr>
            <w:r w:rsidRPr="0042214E">
              <w:t>component costs, such as industry accepted rates or reliable unit costs</w:t>
            </w:r>
            <w:r w:rsidR="00F25ECE" w:rsidRPr="0042214E">
              <w:t>,</w:t>
            </w:r>
            <w:r w:rsidRPr="0042214E">
              <w:t xml:space="preserve"> </w:t>
            </w:r>
            <w:r w:rsidR="00126E61" w:rsidRPr="0042214E">
              <w:t>e.g.,</w:t>
            </w:r>
            <w:r w:rsidRPr="0042214E">
              <w:t xml:space="preserve"> cost/km.</w:t>
            </w:r>
          </w:p>
          <w:p w14:paraId="35618FA9" w14:textId="77777777" w:rsidR="00CC6ED9" w:rsidRPr="0042214E" w:rsidRDefault="00CC6ED9" w:rsidP="000944D6">
            <w:pPr>
              <w:pStyle w:val="Tablebullet"/>
            </w:pPr>
            <w:r w:rsidRPr="0042214E">
              <w:t xml:space="preserve">Annual capital and output cash flows for each project option and a comparison of NPVs. </w:t>
            </w:r>
          </w:p>
          <w:p w14:paraId="0886625D" w14:textId="7AD11DD5" w:rsidR="00CC6ED9" w:rsidRPr="0042214E" w:rsidRDefault="00CC6ED9" w:rsidP="000944D6">
            <w:pPr>
              <w:pStyle w:val="Tablebullet"/>
            </w:pPr>
            <w:r w:rsidRPr="0042214E">
              <w:t xml:space="preserve">Any biases, </w:t>
            </w:r>
            <w:proofErr w:type="gramStart"/>
            <w:r w:rsidRPr="0042214E">
              <w:t>limitations</w:t>
            </w:r>
            <w:proofErr w:type="gramEnd"/>
            <w:r w:rsidRPr="0042214E">
              <w:t xml:space="preserve"> and deficiencies of the analysis.</w:t>
            </w:r>
          </w:p>
        </w:tc>
      </w:tr>
    </w:tbl>
    <w:p w14:paraId="4EA18302" w14:textId="5EF92902" w:rsidR="00CC6ED9" w:rsidRPr="0042214E" w:rsidRDefault="00CC6ED9" w:rsidP="006450B5"/>
    <w:tbl>
      <w:tblPr>
        <w:tblStyle w:val="DTFfinancialtableindent"/>
        <w:tblW w:w="0" w:type="auto"/>
        <w:tblLook w:val="0480" w:firstRow="0" w:lastRow="0" w:firstColumn="1" w:lastColumn="0" w:noHBand="0" w:noVBand="1"/>
      </w:tblPr>
      <w:tblGrid>
        <w:gridCol w:w="8377"/>
      </w:tblGrid>
      <w:tr w:rsidR="00CC6ED9" w:rsidRPr="0042214E" w14:paraId="23239B84" w14:textId="77777777" w:rsidTr="000944D6">
        <w:tc>
          <w:tcPr>
            <w:cnfStyle w:val="001000000000" w:firstRow="0" w:lastRow="0" w:firstColumn="1" w:lastColumn="0" w:oddVBand="0" w:evenVBand="0" w:oddHBand="0" w:evenHBand="0" w:firstRowFirstColumn="0" w:firstRowLastColumn="0" w:lastRowFirstColumn="0" w:lastRowLastColumn="0"/>
            <w:tcW w:w="8719" w:type="dxa"/>
          </w:tcPr>
          <w:p w14:paraId="72C3542D" w14:textId="4995C313" w:rsidR="00CC6ED9" w:rsidRPr="0042214E" w:rsidRDefault="00CC6ED9" w:rsidP="00104E20">
            <w:pPr>
              <w:pStyle w:val="Tabletextbold"/>
              <w:keepNext/>
              <w:rPr>
                <w:sz w:val="20"/>
              </w:rPr>
            </w:pPr>
            <w:r w:rsidRPr="0042214E">
              <w:rPr>
                <w:sz w:val="20"/>
              </w:rPr>
              <w:lastRenderedPageBreak/>
              <w:t>Financial analysis of project options (fictional hospital example)</w:t>
            </w:r>
          </w:p>
          <w:p w14:paraId="4A81354A" w14:textId="173510AE" w:rsidR="00CC6ED9" w:rsidRPr="0042214E" w:rsidRDefault="00CC6ED9" w:rsidP="00104E20">
            <w:pPr>
              <w:pStyle w:val="Tabletext"/>
              <w:keepNext/>
            </w:pPr>
            <w:r w:rsidRPr="0042214E">
              <w:t>Business cases assess both the capital and operating costs of the project options and compare these in net present terms. This case study illustrates how the financial analysis of hospital expansion options might be presented. If uncertainty exists, this will need to be done for each real option, and then compared on an expected NPV basis.</w:t>
            </w:r>
          </w:p>
          <w:p w14:paraId="59E623EF" w14:textId="77777777" w:rsidR="00CC6ED9" w:rsidRPr="0042214E" w:rsidRDefault="00CC6ED9" w:rsidP="00104E20">
            <w:pPr>
              <w:pStyle w:val="Tabletextbold"/>
              <w:keepNext/>
            </w:pPr>
            <w:r w:rsidRPr="0042214E">
              <w:t>Financial analysis</w:t>
            </w:r>
          </w:p>
          <w:p w14:paraId="265EEFD6" w14:textId="2A849757" w:rsidR="00CC6ED9" w:rsidRPr="0042214E" w:rsidRDefault="00CC6ED9" w:rsidP="00104E20">
            <w:pPr>
              <w:pStyle w:val="Tabletext"/>
              <w:keepNext/>
            </w:pPr>
            <w:r w:rsidRPr="0042214E">
              <w:t>The following table presents the estimated capital costs for the project options. These consist of a base cost estimate, a base risk allocation and a contingency. The capital cost of the base case is zero, so it is not shown.</w:t>
            </w:r>
          </w:p>
        </w:tc>
      </w:tr>
      <w:tr w:rsidR="000944D6" w:rsidRPr="0042214E" w14:paraId="7A4AFA59" w14:textId="77777777" w:rsidTr="000944D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19" w:type="dxa"/>
          </w:tcPr>
          <w:p w14:paraId="5845F59D" w14:textId="598D35F9" w:rsidR="000944D6" w:rsidRPr="0042214E" w:rsidRDefault="000944D6" w:rsidP="000944D6">
            <w:pPr>
              <w:pStyle w:val="Spacer"/>
            </w:pPr>
          </w:p>
          <w:tbl>
            <w:tblPr>
              <w:tblStyle w:val="DTFtexttable1"/>
              <w:tblW w:w="7814" w:type="dxa"/>
              <w:tblInd w:w="251" w:type="dxa"/>
              <w:tblLook w:val="06E0" w:firstRow="1" w:lastRow="1" w:firstColumn="1" w:lastColumn="0" w:noHBand="1" w:noVBand="1"/>
            </w:tblPr>
            <w:tblGrid>
              <w:gridCol w:w="3780"/>
              <w:gridCol w:w="1342"/>
              <w:gridCol w:w="1346"/>
              <w:gridCol w:w="1346"/>
            </w:tblGrid>
            <w:tr w:rsidR="000944D6" w:rsidRPr="0042214E" w14:paraId="65BFB594" w14:textId="77777777" w:rsidTr="00A973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80" w:type="dxa"/>
                </w:tcPr>
                <w:p w14:paraId="6A0047BB" w14:textId="77777777" w:rsidR="000944D6" w:rsidRPr="0042214E" w:rsidRDefault="000944D6" w:rsidP="000944D6">
                  <w:r w:rsidRPr="0042214E">
                    <w:t xml:space="preserve">Capital cost estimates ($’000) </w:t>
                  </w:r>
                </w:p>
              </w:tc>
              <w:tc>
                <w:tcPr>
                  <w:tcW w:w="1342" w:type="dxa"/>
                </w:tcPr>
                <w:p w14:paraId="27CCCFB7" w14:textId="77777777" w:rsidR="000944D6" w:rsidRPr="0042214E" w:rsidRDefault="000944D6" w:rsidP="000944D6">
                  <w:pPr>
                    <w:jc w:val="right"/>
                    <w:cnfStyle w:val="100000000000" w:firstRow="1" w:lastRow="0" w:firstColumn="0" w:lastColumn="0" w:oddVBand="0" w:evenVBand="0" w:oddHBand="0" w:evenHBand="0" w:firstRowFirstColumn="0" w:firstRowLastColumn="0" w:lastRowFirstColumn="0" w:lastRowLastColumn="0"/>
                  </w:pPr>
                  <w:r w:rsidRPr="0042214E">
                    <w:t>Option 2</w:t>
                  </w:r>
                </w:p>
              </w:tc>
              <w:tc>
                <w:tcPr>
                  <w:tcW w:w="1346" w:type="dxa"/>
                </w:tcPr>
                <w:p w14:paraId="77495FD7" w14:textId="77777777" w:rsidR="000944D6" w:rsidRPr="0042214E" w:rsidRDefault="000944D6" w:rsidP="000944D6">
                  <w:pPr>
                    <w:jc w:val="right"/>
                    <w:cnfStyle w:val="100000000000" w:firstRow="1" w:lastRow="0" w:firstColumn="0" w:lastColumn="0" w:oddVBand="0" w:evenVBand="0" w:oddHBand="0" w:evenHBand="0" w:firstRowFirstColumn="0" w:firstRowLastColumn="0" w:lastRowFirstColumn="0" w:lastRowLastColumn="0"/>
                  </w:pPr>
                  <w:r w:rsidRPr="0042214E">
                    <w:t>Option 3</w:t>
                  </w:r>
                </w:p>
              </w:tc>
              <w:tc>
                <w:tcPr>
                  <w:tcW w:w="1346" w:type="dxa"/>
                </w:tcPr>
                <w:p w14:paraId="54EEBC6E" w14:textId="77777777" w:rsidR="000944D6" w:rsidRPr="0042214E" w:rsidRDefault="000944D6" w:rsidP="000944D6">
                  <w:pPr>
                    <w:jc w:val="right"/>
                    <w:cnfStyle w:val="100000000000" w:firstRow="1" w:lastRow="0" w:firstColumn="0" w:lastColumn="0" w:oddVBand="0" w:evenVBand="0" w:oddHBand="0" w:evenHBand="0" w:firstRowFirstColumn="0" w:firstRowLastColumn="0" w:lastRowFirstColumn="0" w:lastRowLastColumn="0"/>
                  </w:pPr>
                  <w:r w:rsidRPr="0042214E">
                    <w:t>Option 4</w:t>
                  </w:r>
                </w:p>
              </w:tc>
            </w:tr>
            <w:tr w:rsidR="000944D6" w:rsidRPr="0042214E" w14:paraId="7A624B16" w14:textId="77777777" w:rsidTr="000944D6">
              <w:tc>
                <w:tcPr>
                  <w:cnfStyle w:val="001000000000" w:firstRow="0" w:lastRow="0" w:firstColumn="1" w:lastColumn="0" w:oddVBand="0" w:evenVBand="0" w:oddHBand="0" w:evenHBand="0" w:firstRowFirstColumn="0" w:firstRowLastColumn="0" w:lastRowFirstColumn="0" w:lastRowLastColumn="0"/>
                  <w:tcW w:w="3780" w:type="dxa"/>
                </w:tcPr>
                <w:p w14:paraId="06A5E502" w14:textId="77777777" w:rsidR="000944D6" w:rsidRPr="0042214E" w:rsidRDefault="000944D6" w:rsidP="000944D6">
                  <w:pPr>
                    <w:pStyle w:val="Tabletext"/>
                  </w:pPr>
                  <w:r w:rsidRPr="0042214E">
                    <w:t>Base cost estimate</w:t>
                  </w:r>
                </w:p>
              </w:tc>
              <w:tc>
                <w:tcPr>
                  <w:tcW w:w="1342" w:type="dxa"/>
                </w:tcPr>
                <w:p w14:paraId="254F22F8" w14:textId="77777777" w:rsidR="000944D6" w:rsidRPr="0042214E" w:rsidRDefault="000944D6" w:rsidP="0009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346" w:type="dxa"/>
                </w:tcPr>
                <w:p w14:paraId="67FD4222" w14:textId="77777777" w:rsidR="000944D6" w:rsidRPr="0042214E" w:rsidRDefault="000944D6" w:rsidP="000944D6">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346" w:type="dxa"/>
                </w:tcPr>
                <w:p w14:paraId="79DEFB79" w14:textId="77777777" w:rsidR="000944D6" w:rsidRPr="0042214E" w:rsidRDefault="000944D6" w:rsidP="000944D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0944D6" w:rsidRPr="0042214E" w14:paraId="1911C73A" w14:textId="77777777" w:rsidTr="0044651B">
              <w:tc>
                <w:tcPr>
                  <w:cnfStyle w:val="001000000000" w:firstRow="0" w:lastRow="0" w:firstColumn="1" w:lastColumn="0" w:oddVBand="0" w:evenVBand="0" w:oddHBand="0" w:evenHBand="0" w:firstRowFirstColumn="0" w:firstRowLastColumn="0" w:lastRowFirstColumn="0" w:lastRowLastColumn="0"/>
                  <w:tcW w:w="3780" w:type="dxa"/>
                </w:tcPr>
                <w:p w14:paraId="27E78E32" w14:textId="0B5ECB83" w:rsidR="000944D6" w:rsidRPr="0042214E" w:rsidRDefault="000944D6" w:rsidP="000944D6">
                  <w:pPr>
                    <w:pStyle w:val="Tablebullet"/>
                  </w:pPr>
                  <w:r w:rsidRPr="0042214E">
                    <w:t>Construction works</w:t>
                  </w:r>
                </w:p>
              </w:tc>
              <w:tc>
                <w:tcPr>
                  <w:tcW w:w="1342" w:type="dxa"/>
                </w:tcPr>
                <w:p w14:paraId="7946C9BC" w14:textId="03F56ED1"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rFonts w:cs="Arial"/>
                      <w:bCs/>
                      <w:iCs/>
                      <w:color w:val="000000" w:themeColor="text1"/>
                    </w:rPr>
                  </w:pPr>
                  <w:r w:rsidRPr="0042214E">
                    <w:rPr>
                      <w:rFonts w:cs="Arial"/>
                      <w:bCs/>
                      <w:iCs/>
                      <w:color w:val="000000" w:themeColor="text1"/>
                    </w:rPr>
                    <w:t>$48 700</w:t>
                  </w:r>
                </w:p>
              </w:tc>
              <w:tc>
                <w:tcPr>
                  <w:tcW w:w="1346" w:type="dxa"/>
                </w:tcPr>
                <w:p w14:paraId="2BB62CA1" w14:textId="61AD7C81"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rFonts w:cs="Arial"/>
                      <w:bCs/>
                      <w:iCs/>
                      <w:color w:val="000000" w:themeColor="text1"/>
                    </w:rPr>
                  </w:pPr>
                  <w:r w:rsidRPr="0042214E">
                    <w:rPr>
                      <w:rFonts w:cs="Arial"/>
                      <w:bCs/>
                      <w:iCs/>
                      <w:color w:val="000000" w:themeColor="text1"/>
                    </w:rPr>
                    <w:t>$72 300</w:t>
                  </w:r>
                </w:p>
              </w:tc>
              <w:tc>
                <w:tcPr>
                  <w:tcW w:w="1346" w:type="dxa"/>
                </w:tcPr>
                <w:p w14:paraId="06DAF5BB" w14:textId="082F48E4" w:rsidR="000944D6" w:rsidRPr="0042214E" w:rsidRDefault="000944D6" w:rsidP="0044651B">
                  <w:pPr>
                    <w:jc w:val="right"/>
                    <w:cnfStyle w:val="000000000000" w:firstRow="0" w:lastRow="0" w:firstColumn="0" w:lastColumn="0" w:oddVBand="0" w:evenVBand="0" w:oddHBand="0" w:evenHBand="0" w:firstRowFirstColumn="0" w:firstRowLastColumn="0" w:lastRowFirstColumn="0" w:lastRowLastColumn="0"/>
                    <w:rPr>
                      <w:rFonts w:cs="Arial"/>
                      <w:bCs/>
                      <w:iCs/>
                      <w:color w:val="000000" w:themeColor="text1"/>
                    </w:rPr>
                  </w:pPr>
                  <w:r w:rsidRPr="0042214E">
                    <w:rPr>
                      <w:rFonts w:cs="Arial"/>
                      <w:bCs/>
                      <w:iCs/>
                      <w:color w:val="000000" w:themeColor="text1"/>
                    </w:rPr>
                    <w:t>$90 300</w:t>
                  </w:r>
                </w:p>
              </w:tc>
            </w:tr>
            <w:tr w:rsidR="000944D6" w:rsidRPr="0042214E" w14:paraId="5057555D" w14:textId="77777777" w:rsidTr="0044651B">
              <w:tc>
                <w:tcPr>
                  <w:cnfStyle w:val="001000000000" w:firstRow="0" w:lastRow="0" w:firstColumn="1" w:lastColumn="0" w:oddVBand="0" w:evenVBand="0" w:oddHBand="0" w:evenHBand="0" w:firstRowFirstColumn="0" w:firstRowLastColumn="0" w:lastRowFirstColumn="0" w:lastRowLastColumn="0"/>
                  <w:tcW w:w="3780" w:type="dxa"/>
                </w:tcPr>
                <w:p w14:paraId="5A14A9B3" w14:textId="60DB33CC" w:rsidR="000944D6" w:rsidRPr="0042214E" w:rsidRDefault="000944D6" w:rsidP="000944D6">
                  <w:pPr>
                    <w:pStyle w:val="Tablebullet"/>
                  </w:pPr>
                  <w:r w:rsidRPr="0042214E">
                    <w:t xml:space="preserve">Other </w:t>
                  </w:r>
                </w:p>
              </w:tc>
              <w:tc>
                <w:tcPr>
                  <w:tcW w:w="1342" w:type="dxa"/>
                </w:tcPr>
                <w:p w14:paraId="65BF299E" w14:textId="7EADE0BE"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rFonts w:cs="Arial"/>
                      <w:bCs/>
                      <w:iCs/>
                      <w:color w:val="000000" w:themeColor="text1"/>
                    </w:rPr>
                  </w:pPr>
                  <w:r w:rsidRPr="0042214E">
                    <w:rPr>
                      <w:rFonts w:cs="Arial"/>
                      <w:bCs/>
                      <w:iCs/>
                      <w:color w:val="000000" w:themeColor="text1"/>
                    </w:rPr>
                    <w:t>$13 500</w:t>
                  </w:r>
                </w:p>
              </w:tc>
              <w:tc>
                <w:tcPr>
                  <w:tcW w:w="1346" w:type="dxa"/>
                </w:tcPr>
                <w:p w14:paraId="71AC7A52" w14:textId="17CD4321"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rFonts w:cs="Arial"/>
                      <w:bCs/>
                      <w:iCs/>
                      <w:color w:val="000000" w:themeColor="text1"/>
                    </w:rPr>
                  </w:pPr>
                  <w:r w:rsidRPr="0042214E">
                    <w:rPr>
                      <w:rFonts w:cs="Arial"/>
                      <w:bCs/>
                      <w:iCs/>
                      <w:color w:val="000000" w:themeColor="text1"/>
                    </w:rPr>
                    <w:t>$19 600</w:t>
                  </w:r>
                </w:p>
              </w:tc>
              <w:tc>
                <w:tcPr>
                  <w:tcW w:w="1346" w:type="dxa"/>
                </w:tcPr>
                <w:p w14:paraId="00DD9986" w14:textId="468F33F0" w:rsidR="000944D6" w:rsidRPr="0042214E" w:rsidRDefault="000944D6" w:rsidP="0044651B">
                  <w:pPr>
                    <w:jc w:val="right"/>
                    <w:cnfStyle w:val="000000000000" w:firstRow="0" w:lastRow="0" w:firstColumn="0" w:lastColumn="0" w:oddVBand="0" w:evenVBand="0" w:oddHBand="0" w:evenHBand="0" w:firstRowFirstColumn="0" w:firstRowLastColumn="0" w:lastRowFirstColumn="0" w:lastRowLastColumn="0"/>
                    <w:rPr>
                      <w:rFonts w:cs="Arial"/>
                      <w:bCs/>
                      <w:iCs/>
                      <w:color w:val="000000" w:themeColor="text1"/>
                    </w:rPr>
                  </w:pPr>
                  <w:r w:rsidRPr="0042214E">
                    <w:rPr>
                      <w:rFonts w:cs="Arial"/>
                      <w:bCs/>
                      <w:iCs/>
                      <w:color w:val="000000" w:themeColor="text1"/>
                    </w:rPr>
                    <w:t>$24 200</w:t>
                  </w:r>
                </w:p>
              </w:tc>
            </w:tr>
            <w:tr w:rsidR="000944D6" w:rsidRPr="0042214E" w14:paraId="6EE753C9" w14:textId="77777777" w:rsidTr="0044651B">
              <w:tc>
                <w:tcPr>
                  <w:cnfStyle w:val="001000000000" w:firstRow="0" w:lastRow="0" w:firstColumn="1" w:lastColumn="0" w:oddVBand="0" w:evenVBand="0" w:oddHBand="0" w:evenHBand="0" w:firstRowFirstColumn="0" w:firstRowLastColumn="0" w:lastRowFirstColumn="0" w:lastRowLastColumn="0"/>
                  <w:tcW w:w="3780" w:type="dxa"/>
                </w:tcPr>
                <w:p w14:paraId="4172A6A8" w14:textId="11E7009F" w:rsidR="000944D6" w:rsidRPr="0042214E" w:rsidRDefault="000944D6" w:rsidP="000944D6">
                  <w:pPr>
                    <w:pStyle w:val="Tablebullet"/>
                  </w:pPr>
                  <w:r w:rsidRPr="0042214E">
                    <w:t>Total – base costs</w:t>
                  </w:r>
                </w:p>
              </w:tc>
              <w:tc>
                <w:tcPr>
                  <w:tcW w:w="1342" w:type="dxa"/>
                </w:tcPr>
                <w:p w14:paraId="6670401D" w14:textId="6605A04D"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$62 200</w:t>
                  </w:r>
                </w:p>
              </w:tc>
              <w:tc>
                <w:tcPr>
                  <w:tcW w:w="1346" w:type="dxa"/>
                </w:tcPr>
                <w:p w14:paraId="7B588481" w14:textId="3560FBEC"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$91 900</w:t>
                  </w:r>
                </w:p>
              </w:tc>
              <w:tc>
                <w:tcPr>
                  <w:tcW w:w="1346" w:type="dxa"/>
                </w:tcPr>
                <w:p w14:paraId="0DE03F41" w14:textId="6A144048" w:rsidR="000944D6" w:rsidRPr="0044651B" w:rsidRDefault="000944D6" w:rsidP="0044651B">
                  <w:pPr>
                    <w:jc w:val="right"/>
                    <w:cnfStyle w:val="000000000000" w:firstRow="0" w:lastRow="0" w:firstColumn="0" w:lastColumn="0" w:oddVBand="0" w:evenVBand="0" w:oddHBand="0" w:evenHBand="0" w:firstRowFirstColumn="0" w:firstRowLastColumn="0" w:lastRowFirstColumn="0" w:lastRowLastColumn="0"/>
                    <w:rPr>
                      <w:rFonts w:cs="Arial"/>
                      <w:bCs/>
                      <w:iCs/>
                      <w:color w:val="000000" w:themeColor="text1"/>
                    </w:rPr>
                  </w:pPr>
                  <w:r w:rsidRPr="0044651B">
                    <w:rPr>
                      <w:rFonts w:cs="Arial"/>
                      <w:bCs/>
                      <w:iCs/>
                      <w:color w:val="000000" w:themeColor="text1"/>
                    </w:rPr>
                    <w:t>$114 500</w:t>
                  </w:r>
                </w:p>
              </w:tc>
            </w:tr>
            <w:tr w:rsidR="000944D6" w:rsidRPr="0042214E" w14:paraId="4EE74714" w14:textId="77777777" w:rsidTr="0044651B">
              <w:tc>
                <w:tcPr>
                  <w:cnfStyle w:val="001000000000" w:firstRow="0" w:lastRow="0" w:firstColumn="1" w:lastColumn="0" w:oddVBand="0" w:evenVBand="0" w:oddHBand="0" w:evenHBand="0" w:firstRowFirstColumn="0" w:firstRowLastColumn="0" w:lastRowFirstColumn="0" w:lastRowLastColumn="0"/>
                  <w:tcW w:w="3780" w:type="dxa"/>
                </w:tcPr>
                <w:p w14:paraId="3B86488C" w14:textId="77777777" w:rsidR="000944D6" w:rsidRPr="0042214E" w:rsidRDefault="000944D6" w:rsidP="000944D6">
                  <w:pPr>
                    <w:pStyle w:val="Tabletext"/>
                  </w:pPr>
                  <w:r w:rsidRPr="0042214E">
                    <w:t>Base risk allocation</w:t>
                  </w:r>
                </w:p>
              </w:tc>
              <w:tc>
                <w:tcPr>
                  <w:tcW w:w="1342" w:type="dxa"/>
                </w:tcPr>
                <w:p w14:paraId="2999E685" w14:textId="77777777"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346" w:type="dxa"/>
                </w:tcPr>
                <w:p w14:paraId="102D56FC" w14:textId="77777777"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346" w:type="dxa"/>
                </w:tcPr>
                <w:p w14:paraId="366EACC8" w14:textId="77777777" w:rsidR="000944D6" w:rsidRPr="0044651B" w:rsidRDefault="000944D6" w:rsidP="0044651B">
                  <w:pPr>
                    <w:jc w:val="right"/>
                    <w:cnfStyle w:val="000000000000" w:firstRow="0" w:lastRow="0" w:firstColumn="0" w:lastColumn="0" w:oddVBand="0" w:evenVBand="0" w:oddHBand="0" w:evenHBand="0" w:firstRowFirstColumn="0" w:firstRowLastColumn="0" w:lastRowFirstColumn="0" w:lastRowLastColumn="0"/>
                    <w:rPr>
                      <w:rFonts w:cs="Arial"/>
                      <w:bCs/>
                      <w:iCs/>
                      <w:color w:val="000000" w:themeColor="text1"/>
                    </w:rPr>
                  </w:pPr>
                </w:p>
              </w:tc>
            </w:tr>
            <w:tr w:rsidR="000944D6" w:rsidRPr="0042214E" w14:paraId="60EDE4C9" w14:textId="77777777" w:rsidTr="0044651B">
              <w:tc>
                <w:tcPr>
                  <w:cnfStyle w:val="001000000000" w:firstRow="0" w:lastRow="0" w:firstColumn="1" w:lastColumn="0" w:oddVBand="0" w:evenVBand="0" w:oddHBand="0" w:evenHBand="0" w:firstRowFirstColumn="0" w:firstRowLastColumn="0" w:lastRowFirstColumn="0" w:lastRowLastColumn="0"/>
                  <w:tcW w:w="3780" w:type="dxa"/>
                </w:tcPr>
                <w:p w14:paraId="199E9C9D" w14:textId="182BC534" w:rsidR="000944D6" w:rsidRPr="0042214E" w:rsidRDefault="000944D6" w:rsidP="000944D6">
                  <w:pPr>
                    <w:pStyle w:val="Tablebullet"/>
                  </w:pPr>
                  <w:r w:rsidRPr="0042214E">
                    <w:t>Cost escalation</w:t>
                  </w:r>
                </w:p>
              </w:tc>
              <w:tc>
                <w:tcPr>
                  <w:tcW w:w="1342" w:type="dxa"/>
                </w:tcPr>
                <w:p w14:paraId="74EAFE69" w14:textId="7679ED42"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$5 210</w:t>
                  </w:r>
                </w:p>
              </w:tc>
              <w:tc>
                <w:tcPr>
                  <w:tcW w:w="1346" w:type="dxa"/>
                </w:tcPr>
                <w:p w14:paraId="762EF801" w14:textId="3195260D"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$7 750</w:t>
                  </w:r>
                </w:p>
              </w:tc>
              <w:tc>
                <w:tcPr>
                  <w:tcW w:w="1346" w:type="dxa"/>
                </w:tcPr>
                <w:p w14:paraId="02ED33EE" w14:textId="079170E0" w:rsidR="000944D6" w:rsidRPr="0044651B" w:rsidRDefault="000944D6" w:rsidP="0044651B">
                  <w:pPr>
                    <w:jc w:val="right"/>
                    <w:cnfStyle w:val="000000000000" w:firstRow="0" w:lastRow="0" w:firstColumn="0" w:lastColumn="0" w:oddVBand="0" w:evenVBand="0" w:oddHBand="0" w:evenHBand="0" w:firstRowFirstColumn="0" w:firstRowLastColumn="0" w:lastRowFirstColumn="0" w:lastRowLastColumn="0"/>
                    <w:rPr>
                      <w:rFonts w:cs="Arial"/>
                      <w:bCs/>
                      <w:iCs/>
                      <w:color w:val="000000" w:themeColor="text1"/>
                    </w:rPr>
                  </w:pPr>
                  <w:r w:rsidRPr="0044651B">
                    <w:rPr>
                      <w:rFonts w:cs="Arial"/>
                      <w:bCs/>
                      <w:iCs/>
                      <w:color w:val="000000" w:themeColor="text1"/>
                    </w:rPr>
                    <w:t>$9 750</w:t>
                  </w:r>
                </w:p>
              </w:tc>
            </w:tr>
            <w:tr w:rsidR="000944D6" w:rsidRPr="0042214E" w14:paraId="3C90CFA1" w14:textId="77777777" w:rsidTr="0044651B">
              <w:tc>
                <w:tcPr>
                  <w:cnfStyle w:val="001000000000" w:firstRow="0" w:lastRow="0" w:firstColumn="1" w:lastColumn="0" w:oddVBand="0" w:evenVBand="0" w:oddHBand="0" w:evenHBand="0" w:firstRowFirstColumn="0" w:firstRowLastColumn="0" w:lastRowFirstColumn="0" w:lastRowLastColumn="0"/>
                  <w:tcW w:w="3780" w:type="dxa"/>
                </w:tcPr>
                <w:p w14:paraId="216EDD1F" w14:textId="10542CDC" w:rsidR="000944D6" w:rsidRPr="0042214E" w:rsidRDefault="000944D6" w:rsidP="000944D6">
                  <w:pPr>
                    <w:pStyle w:val="Tablebullet"/>
                  </w:pPr>
                  <w:r w:rsidRPr="0042214E">
                    <w:t>Other project risks</w:t>
                  </w:r>
                </w:p>
              </w:tc>
              <w:tc>
                <w:tcPr>
                  <w:tcW w:w="1342" w:type="dxa"/>
                </w:tcPr>
                <w:p w14:paraId="3525C089" w14:textId="3A6AFB91"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$2 490</w:t>
                  </w:r>
                </w:p>
              </w:tc>
              <w:tc>
                <w:tcPr>
                  <w:tcW w:w="1346" w:type="dxa"/>
                </w:tcPr>
                <w:p w14:paraId="04580C2F" w14:textId="34950C0B"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$3 650</w:t>
                  </w:r>
                </w:p>
              </w:tc>
              <w:tc>
                <w:tcPr>
                  <w:tcW w:w="1346" w:type="dxa"/>
                </w:tcPr>
                <w:p w14:paraId="40D81455" w14:textId="5BCEC231" w:rsidR="000944D6" w:rsidRPr="0044651B" w:rsidRDefault="000944D6" w:rsidP="0044651B">
                  <w:pPr>
                    <w:jc w:val="right"/>
                    <w:cnfStyle w:val="000000000000" w:firstRow="0" w:lastRow="0" w:firstColumn="0" w:lastColumn="0" w:oddVBand="0" w:evenVBand="0" w:oddHBand="0" w:evenHBand="0" w:firstRowFirstColumn="0" w:firstRowLastColumn="0" w:lastRowFirstColumn="0" w:lastRowLastColumn="0"/>
                    <w:rPr>
                      <w:rFonts w:cs="Arial"/>
                      <w:bCs/>
                      <w:iCs/>
                      <w:color w:val="000000" w:themeColor="text1"/>
                    </w:rPr>
                  </w:pPr>
                  <w:r w:rsidRPr="0044651B">
                    <w:rPr>
                      <w:rFonts w:cs="Arial"/>
                      <w:bCs/>
                      <w:iCs/>
                      <w:color w:val="000000" w:themeColor="text1"/>
                    </w:rPr>
                    <w:t>$5 350</w:t>
                  </w:r>
                </w:p>
              </w:tc>
            </w:tr>
            <w:tr w:rsidR="000944D6" w:rsidRPr="0042214E" w14:paraId="5606E332" w14:textId="77777777" w:rsidTr="0044651B">
              <w:tc>
                <w:tcPr>
                  <w:cnfStyle w:val="001000000000" w:firstRow="0" w:lastRow="0" w:firstColumn="1" w:lastColumn="0" w:oddVBand="0" w:evenVBand="0" w:oddHBand="0" w:evenHBand="0" w:firstRowFirstColumn="0" w:firstRowLastColumn="0" w:lastRowFirstColumn="0" w:lastRowLastColumn="0"/>
                  <w:tcW w:w="3780" w:type="dxa"/>
                </w:tcPr>
                <w:p w14:paraId="1A7A29A9" w14:textId="11F4FE18" w:rsidR="000944D6" w:rsidRPr="0042214E" w:rsidRDefault="000944D6" w:rsidP="000944D6">
                  <w:pPr>
                    <w:pStyle w:val="Tablebullet"/>
                  </w:pPr>
                  <w:r w:rsidRPr="0042214E">
                    <w:t>Total – base risk allocation</w:t>
                  </w:r>
                </w:p>
              </w:tc>
              <w:tc>
                <w:tcPr>
                  <w:tcW w:w="1342" w:type="dxa"/>
                </w:tcPr>
                <w:p w14:paraId="5B9CE786" w14:textId="69DB7E0A"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$7 700</w:t>
                  </w:r>
                </w:p>
              </w:tc>
              <w:tc>
                <w:tcPr>
                  <w:tcW w:w="1346" w:type="dxa"/>
                </w:tcPr>
                <w:p w14:paraId="2D6AE330" w14:textId="40AFBF89"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$11 400</w:t>
                  </w:r>
                </w:p>
              </w:tc>
              <w:tc>
                <w:tcPr>
                  <w:tcW w:w="1346" w:type="dxa"/>
                </w:tcPr>
                <w:p w14:paraId="789A644D" w14:textId="76F7D757" w:rsidR="000944D6" w:rsidRPr="0044651B" w:rsidRDefault="000944D6" w:rsidP="0044651B">
                  <w:pPr>
                    <w:jc w:val="right"/>
                    <w:cnfStyle w:val="000000000000" w:firstRow="0" w:lastRow="0" w:firstColumn="0" w:lastColumn="0" w:oddVBand="0" w:evenVBand="0" w:oddHBand="0" w:evenHBand="0" w:firstRowFirstColumn="0" w:firstRowLastColumn="0" w:lastRowFirstColumn="0" w:lastRowLastColumn="0"/>
                    <w:rPr>
                      <w:rFonts w:cs="Arial"/>
                      <w:bCs/>
                      <w:iCs/>
                      <w:color w:val="000000" w:themeColor="text1"/>
                    </w:rPr>
                  </w:pPr>
                  <w:r w:rsidRPr="0044651B">
                    <w:rPr>
                      <w:rFonts w:cs="Arial"/>
                      <w:bCs/>
                      <w:iCs/>
                      <w:color w:val="000000" w:themeColor="text1"/>
                    </w:rPr>
                    <w:t>$15 100</w:t>
                  </w:r>
                </w:p>
              </w:tc>
            </w:tr>
            <w:tr w:rsidR="000944D6" w:rsidRPr="0042214E" w14:paraId="7C7EC200" w14:textId="77777777" w:rsidTr="0044651B">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780" w:type="dxa"/>
                </w:tcPr>
                <w:p w14:paraId="6146CD81" w14:textId="77777777" w:rsidR="000944D6" w:rsidRPr="0042214E" w:rsidRDefault="000944D6" w:rsidP="000944D6">
                  <w:pPr>
                    <w:rPr>
                      <w:color w:val="000000" w:themeColor="text1"/>
                    </w:rPr>
                  </w:pPr>
                  <w:r w:rsidRPr="0042214E">
                    <w:rPr>
                      <w:color w:val="000000" w:themeColor="text1"/>
                    </w:rPr>
                    <w:t>Project cost estimate</w:t>
                  </w:r>
                </w:p>
              </w:tc>
              <w:tc>
                <w:tcPr>
                  <w:tcW w:w="1342" w:type="dxa"/>
                </w:tcPr>
                <w:p w14:paraId="7446AD9E" w14:textId="19924A3F" w:rsidR="000944D6" w:rsidRPr="0042214E" w:rsidRDefault="000944D6" w:rsidP="000944D6">
                  <w:pPr>
                    <w:jc w:val="right"/>
                    <w:cnfStyle w:val="010000000000" w:firstRow="0" w:lastRow="1" w:firstColumn="0" w:lastColumn="0" w:oddVBand="0" w:evenVBand="0" w:oddHBand="0" w:evenHBand="0" w:firstRowFirstColumn="0" w:firstRowLastColumn="0" w:lastRowFirstColumn="0" w:lastRowLastColumn="0"/>
                    <w:rPr>
                      <w:color w:val="000000" w:themeColor="text1"/>
                    </w:rPr>
                  </w:pPr>
                  <w:r w:rsidRPr="0042214E">
                    <w:rPr>
                      <w:color w:val="000000" w:themeColor="text1"/>
                    </w:rPr>
                    <w:t>$69 900</w:t>
                  </w:r>
                </w:p>
              </w:tc>
              <w:tc>
                <w:tcPr>
                  <w:tcW w:w="1346" w:type="dxa"/>
                </w:tcPr>
                <w:p w14:paraId="567F8BD8" w14:textId="06F04478" w:rsidR="000944D6" w:rsidRPr="0042214E" w:rsidRDefault="000944D6" w:rsidP="000944D6">
                  <w:pPr>
                    <w:jc w:val="right"/>
                    <w:cnfStyle w:val="010000000000" w:firstRow="0" w:lastRow="1" w:firstColumn="0" w:lastColumn="0" w:oddVBand="0" w:evenVBand="0" w:oddHBand="0" w:evenHBand="0" w:firstRowFirstColumn="0" w:firstRowLastColumn="0" w:lastRowFirstColumn="0" w:lastRowLastColumn="0"/>
                    <w:rPr>
                      <w:color w:val="000000" w:themeColor="text1"/>
                    </w:rPr>
                  </w:pPr>
                  <w:r w:rsidRPr="0042214E">
                    <w:rPr>
                      <w:color w:val="000000" w:themeColor="text1"/>
                    </w:rPr>
                    <w:t>$103 300</w:t>
                  </w:r>
                </w:p>
              </w:tc>
              <w:tc>
                <w:tcPr>
                  <w:tcW w:w="1346" w:type="dxa"/>
                </w:tcPr>
                <w:p w14:paraId="7624CAA3" w14:textId="1336A4A8" w:rsidR="000944D6" w:rsidRPr="0042214E" w:rsidRDefault="000944D6" w:rsidP="0044651B">
                  <w:pPr>
                    <w:jc w:val="right"/>
                    <w:cnfStyle w:val="010000000000" w:firstRow="0" w:lastRow="1" w:firstColumn="0" w:lastColumn="0" w:oddVBand="0" w:evenVBand="0" w:oddHBand="0" w:evenHBand="0" w:firstRowFirstColumn="0" w:firstRowLastColumn="0" w:lastRowFirstColumn="0" w:lastRowLastColumn="0"/>
                    <w:rPr>
                      <w:color w:val="000000" w:themeColor="text1"/>
                    </w:rPr>
                  </w:pPr>
                  <w:r w:rsidRPr="0042214E">
                    <w:rPr>
                      <w:color w:val="000000" w:themeColor="text1"/>
                    </w:rPr>
                    <w:t>$129 600</w:t>
                  </w:r>
                </w:p>
              </w:tc>
            </w:tr>
          </w:tbl>
          <w:p w14:paraId="7CFC8B09" w14:textId="77777777" w:rsidR="000944D6" w:rsidRPr="0042214E" w:rsidRDefault="000944D6" w:rsidP="000944D6">
            <w:pPr>
              <w:pStyle w:val="Spacer"/>
            </w:pPr>
          </w:p>
          <w:p w14:paraId="25E584B2" w14:textId="31290D60" w:rsidR="000944D6" w:rsidRPr="0042214E" w:rsidRDefault="000944D6" w:rsidP="000944D6">
            <w:r w:rsidRPr="0042214E">
              <w:t>Operating costs have been modelled in the table below using assumptions and inputs as previously outlined. A copy of the detailed financial model is provided at Appendix X. The table below summarises increases in operating costs over 25 years from the expected opening date in 2012</w:t>
            </w:r>
            <w:r w:rsidR="00F25ECE" w:rsidRPr="0042214E">
              <w:t>–</w:t>
            </w:r>
            <w:r w:rsidRPr="0042214E">
              <w:t>13. All costs are incremental and presented in net present terms.</w:t>
            </w:r>
          </w:p>
          <w:p w14:paraId="64F76FA8" w14:textId="77777777" w:rsidR="000944D6" w:rsidRPr="0042214E" w:rsidRDefault="000944D6" w:rsidP="000944D6">
            <w:pPr>
              <w:pStyle w:val="Spacer"/>
            </w:pPr>
          </w:p>
          <w:tbl>
            <w:tblPr>
              <w:tblStyle w:val="DTFtexttable1"/>
              <w:tblW w:w="7820" w:type="dxa"/>
              <w:tblInd w:w="260" w:type="dxa"/>
              <w:tblLook w:val="06E0" w:firstRow="1" w:lastRow="1" w:firstColumn="1" w:lastColumn="0" w:noHBand="1" w:noVBand="1"/>
            </w:tblPr>
            <w:tblGrid>
              <w:gridCol w:w="3960"/>
              <w:gridCol w:w="270"/>
              <w:gridCol w:w="896"/>
              <w:gridCol w:w="1347"/>
              <w:gridCol w:w="1347"/>
            </w:tblGrid>
            <w:tr w:rsidR="000944D6" w:rsidRPr="0042214E" w14:paraId="36FE94AA" w14:textId="77777777" w:rsidTr="004465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30" w:type="dxa"/>
                  <w:gridSpan w:val="2"/>
                </w:tcPr>
                <w:p w14:paraId="71205C87" w14:textId="6CA115EC" w:rsidR="000944D6" w:rsidRPr="0042214E" w:rsidRDefault="000944D6" w:rsidP="00F25ECE">
                  <w:r w:rsidRPr="0042214E">
                    <w:t>Operating cost estimates (2012</w:t>
                  </w:r>
                  <w:r w:rsidR="00F25ECE" w:rsidRPr="0042214E">
                    <w:t>–</w:t>
                  </w:r>
                  <w:r w:rsidRPr="0042214E">
                    <w:t>13 to 2037</w:t>
                  </w:r>
                  <w:r w:rsidR="00F25ECE" w:rsidRPr="0042214E">
                    <w:t>–</w:t>
                  </w:r>
                  <w:r w:rsidRPr="0042214E">
                    <w:t>38)</w:t>
                  </w:r>
                </w:p>
              </w:tc>
              <w:tc>
                <w:tcPr>
                  <w:tcW w:w="896" w:type="dxa"/>
                </w:tcPr>
                <w:p w14:paraId="018AAC45" w14:textId="77777777" w:rsidR="000944D6" w:rsidRPr="0042214E" w:rsidRDefault="000944D6" w:rsidP="000944D6">
                  <w:pPr>
                    <w:jc w:val="right"/>
                    <w:cnfStyle w:val="100000000000" w:firstRow="1" w:lastRow="0" w:firstColumn="0" w:lastColumn="0" w:oddVBand="0" w:evenVBand="0" w:oddHBand="0" w:evenHBand="0" w:firstRowFirstColumn="0" w:firstRowLastColumn="0" w:lastRowFirstColumn="0" w:lastRowLastColumn="0"/>
                  </w:pPr>
                  <w:r w:rsidRPr="0042214E">
                    <w:t>Option 2</w:t>
                  </w:r>
                </w:p>
              </w:tc>
              <w:tc>
                <w:tcPr>
                  <w:tcW w:w="1347" w:type="dxa"/>
                </w:tcPr>
                <w:p w14:paraId="3FFF850B" w14:textId="77777777" w:rsidR="000944D6" w:rsidRPr="0042214E" w:rsidRDefault="000944D6" w:rsidP="000944D6">
                  <w:pPr>
                    <w:jc w:val="right"/>
                    <w:cnfStyle w:val="100000000000" w:firstRow="1" w:lastRow="0" w:firstColumn="0" w:lastColumn="0" w:oddVBand="0" w:evenVBand="0" w:oddHBand="0" w:evenHBand="0" w:firstRowFirstColumn="0" w:firstRowLastColumn="0" w:lastRowFirstColumn="0" w:lastRowLastColumn="0"/>
                  </w:pPr>
                  <w:r w:rsidRPr="0042214E">
                    <w:t>Option 3</w:t>
                  </w:r>
                </w:p>
              </w:tc>
              <w:tc>
                <w:tcPr>
                  <w:tcW w:w="1347" w:type="dxa"/>
                </w:tcPr>
                <w:p w14:paraId="489FD6C1" w14:textId="77777777" w:rsidR="000944D6" w:rsidRPr="0042214E" w:rsidRDefault="000944D6" w:rsidP="000944D6">
                  <w:pPr>
                    <w:jc w:val="right"/>
                    <w:cnfStyle w:val="100000000000" w:firstRow="1" w:lastRow="0" w:firstColumn="0" w:lastColumn="0" w:oddVBand="0" w:evenVBand="0" w:oddHBand="0" w:evenHBand="0" w:firstRowFirstColumn="0" w:firstRowLastColumn="0" w:lastRowFirstColumn="0" w:lastRowLastColumn="0"/>
                  </w:pPr>
                  <w:r w:rsidRPr="0042214E">
                    <w:t>Option 4</w:t>
                  </w:r>
                </w:p>
              </w:tc>
            </w:tr>
            <w:tr w:rsidR="000944D6" w:rsidRPr="0042214E" w14:paraId="64CF9608" w14:textId="77777777" w:rsidTr="00984C09">
              <w:tc>
                <w:tcPr>
                  <w:cnfStyle w:val="001000000000" w:firstRow="0" w:lastRow="0" w:firstColumn="1" w:lastColumn="0" w:oddVBand="0" w:evenVBand="0" w:oddHBand="0" w:evenHBand="0" w:firstRowFirstColumn="0" w:firstRowLastColumn="0" w:lastRowFirstColumn="0" w:lastRowLastColumn="0"/>
                  <w:tcW w:w="3960" w:type="dxa"/>
                </w:tcPr>
                <w:p w14:paraId="5F99FC79" w14:textId="77777777" w:rsidR="000944D6" w:rsidRPr="0042214E" w:rsidRDefault="000944D6" w:rsidP="000944D6">
                  <w:pPr>
                    <w:rPr>
                      <w:color w:val="000000" w:themeColor="text1"/>
                    </w:rPr>
                  </w:pPr>
                  <w:r w:rsidRPr="0042214E">
                    <w:rPr>
                      <w:color w:val="000000" w:themeColor="text1"/>
                    </w:rPr>
                    <w:t>Salaries and wages</w:t>
                  </w:r>
                </w:p>
              </w:tc>
              <w:tc>
                <w:tcPr>
                  <w:tcW w:w="1166" w:type="dxa"/>
                  <w:gridSpan w:val="2"/>
                </w:tcPr>
                <w:p w14:paraId="31778912" w14:textId="25D3DAA8"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$46 092</w:t>
                  </w:r>
                </w:p>
              </w:tc>
              <w:tc>
                <w:tcPr>
                  <w:tcW w:w="1347" w:type="dxa"/>
                </w:tcPr>
                <w:p w14:paraId="51D24C95" w14:textId="58E39CF8"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$57 832</w:t>
                  </w:r>
                </w:p>
              </w:tc>
              <w:tc>
                <w:tcPr>
                  <w:tcW w:w="1347" w:type="dxa"/>
                </w:tcPr>
                <w:p w14:paraId="0BD0D031" w14:textId="20DD5EF0"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$70 217</w:t>
                  </w:r>
                </w:p>
              </w:tc>
            </w:tr>
            <w:tr w:rsidR="000944D6" w:rsidRPr="0042214E" w14:paraId="6CE28E48" w14:textId="77777777" w:rsidTr="00984C09">
              <w:tc>
                <w:tcPr>
                  <w:cnfStyle w:val="001000000000" w:firstRow="0" w:lastRow="0" w:firstColumn="1" w:lastColumn="0" w:oddVBand="0" w:evenVBand="0" w:oddHBand="0" w:evenHBand="0" w:firstRowFirstColumn="0" w:firstRowLastColumn="0" w:lastRowFirstColumn="0" w:lastRowLastColumn="0"/>
                  <w:tcW w:w="3960" w:type="dxa"/>
                </w:tcPr>
                <w:p w14:paraId="0ABB8D85" w14:textId="77777777" w:rsidR="000944D6" w:rsidRPr="0042214E" w:rsidRDefault="000944D6" w:rsidP="000944D6">
                  <w:pPr>
                    <w:rPr>
                      <w:color w:val="000000" w:themeColor="text1"/>
                    </w:rPr>
                  </w:pPr>
                  <w:r w:rsidRPr="0042214E">
                    <w:rPr>
                      <w:color w:val="000000" w:themeColor="text1"/>
                    </w:rPr>
                    <w:t xml:space="preserve">Medical and surgical expenses  </w:t>
                  </w:r>
                </w:p>
              </w:tc>
              <w:tc>
                <w:tcPr>
                  <w:tcW w:w="1166" w:type="dxa"/>
                  <w:gridSpan w:val="2"/>
                </w:tcPr>
                <w:p w14:paraId="5830EE46" w14:textId="180A8478"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$71 328</w:t>
                  </w:r>
                </w:p>
              </w:tc>
              <w:tc>
                <w:tcPr>
                  <w:tcW w:w="1347" w:type="dxa"/>
                </w:tcPr>
                <w:p w14:paraId="6831CDCB" w14:textId="24D04519"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$93 097</w:t>
                  </w:r>
                </w:p>
              </w:tc>
              <w:tc>
                <w:tcPr>
                  <w:tcW w:w="1347" w:type="dxa"/>
                </w:tcPr>
                <w:p w14:paraId="59B0C0D5" w14:textId="0A0E0DA1"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$101 685</w:t>
                  </w:r>
                </w:p>
              </w:tc>
            </w:tr>
            <w:tr w:rsidR="000944D6" w:rsidRPr="0042214E" w14:paraId="049859CF" w14:textId="77777777" w:rsidTr="00984C09">
              <w:tc>
                <w:tcPr>
                  <w:cnfStyle w:val="001000000000" w:firstRow="0" w:lastRow="0" w:firstColumn="1" w:lastColumn="0" w:oddVBand="0" w:evenVBand="0" w:oddHBand="0" w:evenHBand="0" w:firstRowFirstColumn="0" w:firstRowLastColumn="0" w:lastRowFirstColumn="0" w:lastRowLastColumn="0"/>
                  <w:tcW w:w="3960" w:type="dxa"/>
                </w:tcPr>
                <w:p w14:paraId="4A79575E" w14:textId="77777777" w:rsidR="000944D6" w:rsidRPr="0042214E" w:rsidRDefault="000944D6" w:rsidP="000944D6">
                  <w:pPr>
                    <w:rPr>
                      <w:color w:val="000000" w:themeColor="text1"/>
                    </w:rPr>
                  </w:pPr>
                  <w:r w:rsidRPr="0042214E">
                    <w:rPr>
                      <w:color w:val="000000" w:themeColor="text1"/>
                    </w:rPr>
                    <w:t>Other consumables</w:t>
                  </w:r>
                </w:p>
              </w:tc>
              <w:tc>
                <w:tcPr>
                  <w:tcW w:w="1166" w:type="dxa"/>
                  <w:gridSpan w:val="2"/>
                </w:tcPr>
                <w:p w14:paraId="2C198AB0" w14:textId="6626D5AB"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$40 530</w:t>
                  </w:r>
                </w:p>
              </w:tc>
              <w:tc>
                <w:tcPr>
                  <w:tcW w:w="1347" w:type="dxa"/>
                </w:tcPr>
                <w:p w14:paraId="6AEA5E19" w14:textId="7BF09DBB"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$52 904</w:t>
                  </w:r>
                </w:p>
              </w:tc>
              <w:tc>
                <w:tcPr>
                  <w:tcW w:w="1347" w:type="dxa"/>
                </w:tcPr>
                <w:p w14:paraId="3C28CEF5" w14:textId="24C319B5"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$57 780</w:t>
                  </w:r>
                </w:p>
              </w:tc>
            </w:tr>
            <w:tr w:rsidR="000944D6" w:rsidRPr="0042214E" w14:paraId="134E10FF" w14:textId="77777777" w:rsidTr="00984C09">
              <w:tc>
                <w:tcPr>
                  <w:cnfStyle w:val="001000000000" w:firstRow="0" w:lastRow="0" w:firstColumn="1" w:lastColumn="0" w:oddVBand="0" w:evenVBand="0" w:oddHBand="0" w:evenHBand="0" w:firstRowFirstColumn="0" w:firstRowLastColumn="0" w:lastRowFirstColumn="0" w:lastRowLastColumn="0"/>
                  <w:tcW w:w="3960" w:type="dxa"/>
                </w:tcPr>
                <w:p w14:paraId="63BA14A4" w14:textId="77777777" w:rsidR="000944D6" w:rsidRPr="0042214E" w:rsidRDefault="000944D6" w:rsidP="000944D6">
                  <w:pPr>
                    <w:rPr>
                      <w:color w:val="000000" w:themeColor="text1"/>
                    </w:rPr>
                  </w:pPr>
                  <w:r w:rsidRPr="0042214E">
                    <w:rPr>
                      <w:color w:val="000000" w:themeColor="text1"/>
                    </w:rPr>
                    <w:t xml:space="preserve">Facilities, </w:t>
                  </w:r>
                  <w:proofErr w:type="gramStart"/>
                  <w:r w:rsidRPr="0042214E">
                    <w:rPr>
                      <w:color w:val="000000" w:themeColor="text1"/>
                    </w:rPr>
                    <w:t>maintenance</w:t>
                  </w:r>
                  <w:proofErr w:type="gramEnd"/>
                  <w:r w:rsidRPr="0042214E">
                    <w:rPr>
                      <w:color w:val="000000" w:themeColor="text1"/>
                    </w:rPr>
                    <w:t xml:space="preserve"> and contracts</w:t>
                  </w:r>
                </w:p>
              </w:tc>
              <w:tc>
                <w:tcPr>
                  <w:tcW w:w="1166" w:type="dxa"/>
                  <w:gridSpan w:val="2"/>
                </w:tcPr>
                <w:p w14:paraId="74B6CB7D" w14:textId="733A664C"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$25 620</w:t>
                  </w:r>
                </w:p>
              </w:tc>
              <w:tc>
                <w:tcPr>
                  <w:tcW w:w="1347" w:type="dxa"/>
                </w:tcPr>
                <w:p w14:paraId="23A97A8A" w14:textId="3EA06FD0"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$29 463</w:t>
                  </w:r>
                </w:p>
              </w:tc>
              <w:tc>
                <w:tcPr>
                  <w:tcW w:w="1347" w:type="dxa"/>
                </w:tcPr>
                <w:p w14:paraId="37CECAFD" w14:textId="739C83C0"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$32 281</w:t>
                  </w:r>
                </w:p>
              </w:tc>
            </w:tr>
            <w:tr w:rsidR="000944D6" w:rsidRPr="0042214E" w14:paraId="324782AC" w14:textId="77777777" w:rsidTr="00984C09">
              <w:tc>
                <w:tcPr>
                  <w:cnfStyle w:val="001000000000" w:firstRow="0" w:lastRow="0" w:firstColumn="1" w:lastColumn="0" w:oddVBand="0" w:evenVBand="0" w:oddHBand="0" w:evenHBand="0" w:firstRowFirstColumn="0" w:firstRowLastColumn="0" w:lastRowFirstColumn="0" w:lastRowLastColumn="0"/>
                  <w:tcW w:w="3960" w:type="dxa"/>
                </w:tcPr>
                <w:p w14:paraId="34EECC3F" w14:textId="77777777" w:rsidR="000944D6" w:rsidRPr="0042214E" w:rsidRDefault="000944D6" w:rsidP="000944D6">
                  <w:pPr>
                    <w:rPr>
                      <w:color w:val="000000" w:themeColor="text1"/>
                    </w:rPr>
                  </w:pPr>
                  <w:r w:rsidRPr="0042214E">
                    <w:rPr>
                      <w:color w:val="000000" w:themeColor="text1"/>
                    </w:rPr>
                    <w:t>Overhead costs</w:t>
                  </w:r>
                </w:p>
              </w:tc>
              <w:tc>
                <w:tcPr>
                  <w:tcW w:w="1166" w:type="dxa"/>
                  <w:gridSpan w:val="2"/>
                </w:tcPr>
                <w:p w14:paraId="481E5CE9" w14:textId="37FA1F38"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$30 606</w:t>
                  </w:r>
                </w:p>
              </w:tc>
              <w:tc>
                <w:tcPr>
                  <w:tcW w:w="1347" w:type="dxa"/>
                </w:tcPr>
                <w:p w14:paraId="4FDF302F" w14:textId="556763B4"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$35 197</w:t>
                  </w:r>
                </w:p>
              </w:tc>
              <w:tc>
                <w:tcPr>
                  <w:tcW w:w="1347" w:type="dxa"/>
                </w:tcPr>
                <w:p w14:paraId="4048573C" w14:textId="22A159E8"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$38 564</w:t>
                  </w:r>
                </w:p>
              </w:tc>
            </w:tr>
            <w:tr w:rsidR="000944D6" w:rsidRPr="0042214E" w14:paraId="234001A6" w14:textId="77777777" w:rsidTr="00984C09">
              <w:tc>
                <w:tcPr>
                  <w:cnfStyle w:val="001000000000" w:firstRow="0" w:lastRow="0" w:firstColumn="1" w:lastColumn="0" w:oddVBand="0" w:evenVBand="0" w:oddHBand="0" w:evenHBand="0" w:firstRowFirstColumn="0" w:firstRowLastColumn="0" w:lastRowFirstColumn="0" w:lastRowLastColumn="0"/>
                  <w:tcW w:w="3960" w:type="dxa"/>
                </w:tcPr>
                <w:p w14:paraId="7C6CCD35" w14:textId="77777777" w:rsidR="000944D6" w:rsidRPr="0042214E" w:rsidRDefault="000944D6" w:rsidP="000944D6">
                  <w:pPr>
                    <w:rPr>
                      <w:color w:val="000000" w:themeColor="text1"/>
                    </w:rPr>
                  </w:pPr>
                  <w:r w:rsidRPr="0042214E">
                    <w:rPr>
                      <w:color w:val="000000" w:themeColor="text1"/>
                    </w:rPr>
                    <w:t>Risk adjustment</w:t>
                  </w:r>
                </w:p>
              </w:tc>
              <w:tc>
                <w:tcPr>
                  <w:tcW w:w="1166" w:type="dxa"/>
                  <w:gridSpan w:val="2"/>
                </w:tcPr>
                <w:p w14:paraId="75096A74" w14:textId="4180D197"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$15 338</w:t>
                  </w:r>
                </w:p>
              </w:tc>
              <w:tc>
                <w:tcPr>
                  <w:tcW w:w="1347" w:type="dxa"/>
                </w:tcPr>
                <w:p w14:paraId="0545DC41" w14:textId="34699463"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$17 687</w:t>
                  </w:r>
                </w:p>
              </w:tc>
              <w:tc>
                <w:tcPr>
                  <w:tcW w:w="1347" w:type="dxa"/>
                </w:tcPr>
                <w:p w14:paraId="641F63AE" w14:textId="12FC12EE"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$13 559</w:t>
                  </w:r>
                </w:p>
              </w:tc>
            </w:tr>
            <w:tr w:rsidR="000944D6" w:rsidRPr="0042214E" w14:paraId="6E9ADD15" w14:textId="77777777" w:rsidTr="00984C09">
              <w:tc>
                <w:tcPr>
                  <w:cnfStyle w:val="001000000000" w:firstRow="0" w:lastRow="0" w:firstColumn="1" w:lastColumn="0" w:oddVBand="0" w:evenVBand="0" w:oddHBand="0" w:evenHBand="0" w:firstRowFirstColumn="0" w:firstRowLastColumn="0" w:lastRowFirstColumn="0" w:lastRowLastColumn="0"/>
                  <w:tcW w:w="3960" w:type="dxa"/>
                </w:tcPr>
                <w:p w14:paraId="698C054F" w14:textId="77777777" w:rsidR="000944D6" w:rsidRPr="0042214E" w:rsidRDefault="000944D6" w:rsidP="000944D6">
                  <w:pPr>
                    <w:rPr>
                      <w:b/>
                      <w:color w:val="000000" w:themeColor="text1"/>
                    </w:rPr>
                  </w:pPr>
                  <w:r w:rsidRPr="0042214E">
                    <w:rPr>
                      <w:b/>
                      <w:color w:val="000000" w:themeColor="text1"/>
                    </w:rPr>
                    <w:t>Total operating costs</w:t>
                  </w:r>
                </w:p>
              </w:tc>
              <w:tc>
                <w:tcPr>
                  <w:tcW w:w="1166" w:type="dxa"/>
                  <w:gridSpan w:val="2"/>
                </w:tcPr>
                <w:p w14:paraId="3BB496E5" w14:textId="176603A4"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b/>
                      <w:color w:val="000000" w:themeColor="text1"/>
                    </w:rPr>
                  </w:pPr>
                  <w:r w:rsidRPr="0042214E">
                    <w:rPr>
                      <w:b/>
                      <w:color w:val="000000" w:themeColor="text1"/>
                    </w:rPr>
                    <w:t>$229 514</w:t>
                  </w:r>
                </w:p>
              </w:tc>
              <w:tc>
                <w:tcPr>
                  <w:tcW w:w="1347" w:type="dxa"/>
                </w:tcPr>
                <w:p w14:paraId="1A0D97F3" w14:textId="6CFD0A8C"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b/>
                      <w:color w:val="000000" w:themeColor="text1"/>
                    </w:rPr>
                  </w:pPr>
                  <w:r w:rsidRPr="0042214E">
                    <w:rPr>
                      <w:b/>
                      <w:color w:val="000000" w:themeColor="text1"/>
                    </w:rPr>
                    <w:t>$286 180</w:t>
                  </w:r>
                </w:p>
              </w:tc>
              <w:tc>
                <w:tcPr>
                  <w:tcW w:w="1347" w:type="dxa"/>
                </w:tcPr>
                <w:p w14:paraId="168B0711" w14:textId="59C10BAE" w:rsidR="000944D6" w:rsidRPr="0042214E" w:rsidRDefault="000944D6" w:rsidP="000944D6">
                  <w:pPr>
                    <w:jc w:val="right"/>
                    <w:cnfStyle w:val="000000000000" w:firstRow="0" w:lastRow="0" w:firstColumn="0" w:lastColumn="0" w:oddVBand="0" w:evenVBand="0" w:oddHBand="0" w:evenHBand="0" w:firstRowFirstColumn="0" w:firstRowLastColumn="0" w:lastRowFirstColumn="0" w:lastRowLastColumn="0"/>
                    <w:rPr>
                      <w:b/>
                      <w:color w:val="000000" w:themeColor="text1"/>
                    </w:rPr>
                  </w:pPr>
                  <w:r w:rsidRPr="0042214E">
                    <w:rPr>
                      <w:b/>
                      <w:color w:val="000000" w:themeColor="text1"/>
                    </w:rPr>
                    <w:t>$314 085</w:t>
                  </w:r>
                </w:p>
              </w:tc>
            </w:tr>
            <w:tr w:rsidR="000944D6" w:rsidRPr="0042214E" w14:paraId="264280AC" w14:textId="77777777" w:rsidTr="00984C09">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960" w:type="dxa"/>
                </w:tcPr>
                <w:p w14:paraId="46205A87" w14:textId="77777777" w:rsidR="000944D6" w:rsidRPr="0042214E" w:rsidRDefault="000944D6" w:rsidP="000944D6">
                  <w:pPr>
                    <w:rPr>
                      <w:color w:val="000000" w:themeColor="text1"/>
                    </w:rPr>
                  </w:pPr>
                  <w:r w:rsidRPr="0042214E">
                    <w:rPr>
                      <w:color w:val="000000" w:themeColor="text1"/>
                    </w:rPr>
                    <w:t>Total net present cost</w:t>
                  </w:r>
                </w:p>
              </w:tc>
              <w:tc>
                <w:tcPr>
                  <w:tcW w:w="1166" w:type="dxa"/>
                  <w:gridSpan w:val="2"/>
                </w:tcPr>
                <w:p w14:paraId="623DB619" w14:textId="746A455D" w:rsidR="000944D6" w:rsidRPr="0042214E" w:rsidRDefault="000944D6" w:rsidP="000944D6">
                  <w:pPr>
                    <w:jc w:val="right"/>
                    <w:cnfStyle w:val="010000000000" w:firstRow="0" w:lastRow="1" w:firstColumn="0" w:lastColumn="0" w:oddVBand="0" w:evenVBand="0" w:oddHBand="0" w:evenHBand="0" w:firstRowFirstColumn="0" w:firstRowLastColumn="0" w:lastRowFirstColumn="0" w:lastRowLastColumn="0"/>
                    <w:rPr>
                      <w:color w:val="000000" w:themeColor="text1"/>
                    </w:rPr>
                  </w:pPr>
                  <w:r w:rsidRPr="0042214E">
                    <w:rPr>
                      <w:color w:val="000000" w:themeColor="text1"/>
                    </w:rPr>
                    <w:t>$304 914</w:t>
                  </w:r>
                </w:p>
              </w:tc>
              <w:tc>
                <w:tcPr>
                  <w:tcW w:w="1347" w:type="dxa"/>
                </w:tcPr>
                <w:p w14:paraId="747FBABD" w14:textId="482D7A62" w:rsidR="000944D6" w:rsidRPr="0042214E" w:rsidRDefault="000944D6" w:rsidP="000944D6">
                  <w:pPr>
                    <w:jc w:val="right"/>
                    <w:cnfStyle w:val="010000000000" w:firstRow="0" w:lastRow="1" w:firstColumn="0" w:lastColumn="0" w:oddVBand="0" w:evenVBand="0" w:oddHBand="0" w:evenHBand="0" w:firstRowFirstColumn="0" w:firstRowLastColumn="0" w:lastRowFirstColumn="0" w:lastRowLastColumn="0"/>
                    <w:rPr>
                      <w:color w:val="000000" w:themeColor="text1"/>
                    </w:rPr>
                  </w:pPr>
                  <w:r w:rsidRPr="0042214E">
                    <w:rPr>
                      <w:color w:val="000000" w:themeColor="text1"/>
                    </w:rPr>
                    <w:t>$397 680</w:t>
                  </w:r>
                </w:p>
              </w:tc>
              <w:tc>
                <w:tcPr>
                  <w:tcW w:w="1347" w:type="dxa"/>
                </w:tcPr>
                <w:p w14:paraId="632BE6CF" w14:textId="4E247C44" w:rsidR="000944D6" w:rsidRPr="0042214E" w:rsidRDefault="000944D6" w:rsidP="000944D6">
                  <w:pPr>
                    <w:jc w:val="right"/>
                    <w:cnfStyle w:val="010000000000" w:firstRow="0" w:lastRow="1" w:firstColumn="0" w:lastColumn="0" w:oddVBand="0" w:evenVBand="0" w:oddHBand="0" w:evenHBand="0" w:firstRowFirstColumn="0" w:firstRowLastColumn="0" w:lastRowFirstColumn="0" w:lastRowLastColumn="0"/>
                    <w:rPr>
                      <w:color w:val="000000" w:themeColor="text1"/>
                    </w:rPr>
                  </w:pPr>
                  <w:r w:rsidRPr="0042214E">
                    <w:rPr>
                      <w:color w:val="000000" w:themeColor="text1"/>
                    </w:rPr>
                    <w:t>$453 485</w:t>
                  </w:r>
                </w:p>
              </w:tc>
            </w:tr>
          </w:tbl>
          <w:p w14:paraId="2DF4EBB7" w14:textId="77777777" w:rsidR="000944D6" w:rsidRPr="0042214E" w:rsidRDefault="000944D6" w:rsidP="000944D6">
            <w:pPr>
              <w:pStyle w:val="Spacer"/>
            </w:pPr>
          </w:p>
          <w:p w14:paraId="69FF1810" w14:textId="2656780E" w:rsidR="000944D6" w:rsidRPr="0042214E" w:rsidRDefault="000944D6" w:rsidP="00FC7ECB">
            <w:pPr>
              <w:pStyle w:val="Tabletext"/>
            </w:pPr>
            <w:r w:rsidRPr="0042214E">
              <w:t>The estimated incremental net present costs of the project options (using a discount rate of 8</w:t>
            </w:r>
            <w:r w:rsidR="00F25ECE" w:rsidRPr="0042214E">
              <w:t xml:space="preserve"> per cent).</w:t>
            </w:r>
          </w:p>
        </w:tc>
      </w:tr>
    </w:tbl>
    <w:p w14:paraId="421606B0" w14:textId="77777777" w:rsidR="00104E20" w:rsidRDefault="00104E20" w:rsidP="00104E20"/>
    <w:p w14:paraId="6A59DD46" w14:textId="77777777" w:rsidR="00104E20" w:rsidRDefault="00104E20">
      <w:pPr>
        <w:keepLines w:val="0"/>
        <w:spacing w:line="264" w:lineRule="auto"/>
        <w:rPr>
          <w:rFonts w:asciiTheme="majorHAnsi" w:eastAsiaTheme="majorEastAsia" w:hAnsiTheme="majorHAnsi" w:cstheme="majorBidi"/>
          <w:b/>
          <w:bCs/>
          <w:color w:val="53565A" w:themeColor="text2"/>
          <w:sz w:val="22"/>
          <w:szCs w:val="22"/>
        </w:rPr>
      </w:pPr>
      <w:r>
        <w:br w:type="page"/>
      </w:r>
    </w:p>
    <w:p w14:paraId="1F09E8DF" w14:textId="620B6621" w:rsidR="00FA693D" w:rsidRPr="0042214E" w:rsidRDefault="00FA693D" w:rsidP="005E1934">
      <w:pPr>
        <w:pStyle w:val="Heading3numbered"/>
      </w:pPr>
      <w:bookmarkStart w:id="137" w:name="_Toc121415317"/>
      <w:r w:rsidRPr="0042214E">
        <w:lastRenderedPageBreak/>
        <w:t>Economic impacts</w:t>
      </w:r>
      <w:bookmarkEnd w:id="137"/>
    </w:p>
    <w:p w14:paraId="5A3775C6" w14:textId="2FA16121" w:rsidR="00FA693D" w:rsidRPr="0042214E" w:rsidRDefault="00FA693D" w:rsidP="006B713F">
      <w:pPr>
        <w:pStyle w:val="NormalIndent"/>
      </w:pPr>
      <w:r w:rsidRPr="0042214E">
        <w:t xml:space="preserve">Economic impacts in this instance refers to impacts on key economic drivers such as productivity, workforce participation and unemployment. The impacts of each project option on society </w:t>
      </w:r>
      <w:proofErr w:type="gramStart"/>
      <w:r w:rsidRPr="0042214E">
        <w:t>as a whole are</w:t>
      </w:r>
      <w:proofErr w:type="gramEnd"/>
      <w:r w:rsidRPr="0042214E">
        <w:t xml:space="preserve"> compared as part of an economic evaluation (</w:t>
      </w:r>
      <w:r w:rsidR="00825CA5" w:rsidRPr="0042214E">
        <w:t>e.g.,</w:t>
      </w:r>
      <w:r w:rsidRPr="0042214E">
        <w:t xml:space="preserve"> via a cost benefit analysis). </w:t>
      </w:r>
    </w:p>
    <w:p w14:paraId="1CAE00B4" w14:textId="38E6CD95" w:rsidR="00FA693D" w:rsidRPr="0042214E" w:rsidRDefault="00FA693D" w:rsidP="006B713F">
      <w:pPr>
        <w:pStyle w:val="NormalIndent"/>
      </w:pPr>
      <w:r w:rsidRPr="0042214E">
        <w:t>Economic impacts can be identified quantitatively through economic modelling or in a qualitative manner (</w:t>
      </w:r>
      <w:r w:rsidR="00126E61" w:rsidRPr="0042214E">
        <w:t>e.g.,</w:t>
      </w:r>
      <w:r w:rsidRPr="0042214E">
        <w:t xml:space="preserve"> by describing possible changes and their likely order of magnitude). Data is available from the Australian Bureau of Statistics and other sources.</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FA693D" w:rsidRPr="0042214E" w14:paraId="295CF3A5" w14:textId="77777777" w:rsidTr="000944D6">
        <w:tc>
          <w:tcPr>
            <w:tcW w:w="8719" w:type="dxa"/>
            <w:shd w:val="clear" w:color="auto" w:fill="FDF3EA" w:themeFill="accent5" w:themeFillTint="33"/>
          </w:tcPr>
          <w:p w14:paraId="5A5DAFB6" w14:textId="2AF68AE4" w:rsidR="00FA693D" w:rsidRPr="0042214E" w:rsidRDefault="00FA693D" w:rsidP="000944D6">
            <w:pPr>
              <w:pStyle w:val="Tabletextbold"/>
            </w:pPr>
            <w:r w:rsidRPr="0042214E">
              <w:t>Business case information requirements for economic impacts</w:t>
            </w:r>
          </w:p>
          <w:p w14:paraId="572ACD68" w14:textId="77777777" w:rsidR="00FA693D" w:rsidRPr="0042214E" w:rsidRDefault="00FA693D" w:rsidP="000944D6">
            <w:pPr>
              <w:pStyle w:val="Tablebullet"/>
            </w:pPr>
            <w:r w:rsidRPr="0042214E">
              <w:t>Outline all significant economic impacts and opportunities for each option.</w:t>
            </w:r>
          </w:p>
          <w:p w14:paraId="2016E507" w14:textId="56710C49" w:rsidR="00FA693D" w:rsidRPr="0042214E" w:rsidRDefault="00FA693D" w:rsidP="000944D6">
            <w:pPr>
              <w:pStyle w:val="Tablebullet"/>
            </w:pPr>
            <w:r w:rsidRPr="0042214E">
              <w:t>Distinguish the measurable and non</w:t>
            </w:r>
            <w:r w:rsidR="00034452" w:rsidRPr="0042214E">
              <w:noBreakHyphen/>
            </w:r>
            <w:r w:rsidRPr="0042214E">
              <w:t>measurable aspects and relevance to the investment.</w:t>
            </w:r>
          </w:p>
        </w:tc>
      </w:tr>
    </w:tbl>
    <w:p w14:paraId="2CE54380" w14:textId="36C2A380" w:rsidR="006450B5" w:rsidRPr="0042214E" w:rsidRDefault="00857B6F" w:rsidP="005E1934">
      <w:pPr>
        <w:pStyle w:val="Heading3numbered"/>
      </w:pPr>
      <w:bookmarkStart w:id="138" w:name="_Toc121415318"/>
      <w:r w:rsidRPr="0042214E">
        <w:t xml:space="preserve">Economic </w:t>
      </w:r>
      <w:r w:rsidR="006450B5" w:rsidRPr="0042214E">
        <w:t>analysis</w:t>
      </w:r>
      <w:bookmarkEnd w:id="138"/>
    </w:p>
    <w:p w14:paraId="725B61F5" w14:textId="123C2230" w:rsidR="006450B5" w:rsidRPr="0042214E" w:rsidRDefault="006450B5" w:rsidP="000944D6">
      <w:pPr>
        <w:pStyle w:val="NormalIndent"/>
        <w:keepNext/>
      </w:pPr>
      <w:r w:rsidRPr="0042214E">
        <w:t xml:space="preserve">The assessment of economic impacts outlines what Government is ‘purchasing’ for its investment in terms of the </w:t>
      </w:r>
      <w:r w:rsidRPr="0042214E">
        <w:rPr>
          <w:rStyle w:val="Emphasis"/>
        </w:rPr>
        <w:t>net benefit to society</w:t>
      </w:r>
      <w:r w:rsidRPr="0042214E">
        <w:t xml:space="preserve">. </w:t>
      </w:r>
    </w:p>
    <w:p w14:paraId="36C9F9C0" w14:textId="35EECEC6" w:rsidR="006450B5" w:rsidRPr="0042214E" w:rsidRDefault="00356902" w:rsidP="006B713F">
      <w:pPr>
        <w:pStyle w:val="NormalIndent"/>
      </w:pPr>
      <w:r w:rsidRPr="0042214E">
        <w:t>Further information on economic analysis is contained in</w:t>
      </w:r>
      <w:r w:rsidR="006450B5" w:rsidRPr="0042214E">
        <w:t xml:space="preserve"> the </w:t>
      </w:r>
      <w:r w:rsidR="006450B5" w:rsidRPr="00922978">
        <w:rPr>
          <w:b/>
          <w:color w:val="E57200" w:themeColor="accent2"/>
        </w:rPr>
        <w:t>Economic Evaluation</w:t>
      </w:r>
      <w:r w:rsidR="006450B5" w:rsidRPr="00922978">
        <w:rPr>
          <w:color w:val="E57200" w:themeColor="accent2"/>
        </w:rPr>
        <w:t xml:space="preserve"> </w:t>
      </w:r>
      <w:r w:rsidR="006450B5" w:rsidRPr="0042214E">
        <w:t>technical guide.</w:t>
      </w:r>
    </w:p>
    <w:p w14:paraId="64F06C26" w14:textId="77777777" w:rsidR="006450B5" w:rsidRPr="0042214E" w:rsidRDefault="006450B5" w:rsidP="004E6541">
      <w:pPr>
        <w:pStyle w:val="Heading4"/>
      </w:pPr>
      <w:r w:rsidRPr="0042214E">
        <w:t>Scalable analysis</w:t>
      </w:r>
    </w:p>
    <w:p w14:paraId="7671CEAF" w14:textId="6B0F19A4" w:rsidR="006450B5" w:rsidRPr="0042214E" w:rsidRDefault="006450B5" w:rsidP="006B713F">
      <w:pPr>
        <w:pStyle w:val="NormalIndent"/>
      </w:pPr>
      <w:r w:rsidRPr="0042214E">
        <w:t xml:space="preserve">The effort invested in carrying out economic analysis of </w:t>
      </w:r>
      <w:r w:rsidR="00AC57DC" w:rsidRPr="0042214E">
        <w:t xml:space="preserve">project </w:t>
      </w:r>
      <w:r w:rsidRPr="0042214E">
        <w:t xml:space="preserve">options should be scaled to the size, </w:t>
      </w:r>
      <w:proofErr w:type="gramStart"/>
      <w:r w:rsidRPr="0042214E">
        <w:t>complexity</w:t>
      </w:r>
      <w:proofErr w:type="gramEnd"/>
      <w:r w:rsidRPr="0042214E">
        <w:t xml:space="preserve"> and nature of the proposed investment. Estimates and data used should be evidence based and defensible. </w:t>
      </w:r>
    </w:p>
    <w:p w14:paraId="07130A76" w14:textId="19DEC54A" w:rsidR="006450B5" w:rsidRPr="0042214E" w:rsidRDefault="006450B5" w:rsidP="004E6541">
      <w:pPr>
        <w:pStyle w:val="Heading4"/>
      </w:pPr>
      <w:r w:rsidRPr="0042214E">
        <w:t>Outline assumptions/sources of information</w:t>
      </w:r>
    </w:p>
    <w:p w14:paraId="00850027" w14:textId="3DBC8E03" w:rsidR="006450B5" w:rsidRPr="0042214E" w:rsidRDefault="006450B5" w:rsidP="006B713F">
      <w:pPr>
        <w:pStyle w:val="NormalIndent"/>
      </w:pPr>
      <w:r w:rsidRPr="0042214E">
        <w:t>Estimates will be given more weight if different methods give similar results, or if the study has been replicated by other researchers with similar results. Sometimes the use of cost or benefit ranges may be appropriate. In any case, the assumptions and sources of information used in the economic and environmental assessment should be clearly set out.</w:t>
      </w:r>
    </w:p>
    <w:p w14:paraId="09637CE3" w14:textId="77777777" w:rsidR="006450B5" w:rsidRPr="0042214E" w:rsidRDefault="006450B5" w:rsidP="004E6541">
      <w:pPr>
        <w:pStyle w:val="Heading4"/>
      </w:pPr>
      <w:r w:rsidRPr="0042214E">
        <w:t>Select methodology</w:t>
      </w:r>
    </w:p>
    <w:p w14:paraId="48BAC417" w14:textId="179CC8B4" w:rsidR="006450B5" w:rsidRPr="0042214E" w:rsidRDefault="006450B5" w:rsidP="006B713F">
      <w:pPr>
        <w:pStyle w:val="NormalIndent"/>
      </w:pPr>
      <w:r w:rsidRPr="0042214E">
        <w:rPr>
          <w:rStyle w:val="Emphasis"/>
        </w:rPr>
        <w:t>Cost benefit analysis (CBA) is the preferred methodology</w:t>
      </w:r>
      <w:r w:rsidRPr="0042214E">
        <w:t xml:space="preserve"> for conducting the economic assessments. CBA focuses on assessing the marginal value of an investment to society, to the extent that costs and benefits can be monetised. CBA does not need to be performed for </w:t>
      </w:r>
      <w:r w:rsidR="00C03475" w:rsidRPr="0042214E">
        <w:t>low-</w:t>
      </w:r>
      <w:r w:rsidRPr="0042214E">
        <w:t xml:space="preserve">cost projects where the impacts are difficult to monetise. </w:t>
      </w:r>
    </w:p>
    <w:p w14:paraId="40019177" w14:textId="769C8AB8" w:rsidR="006450B5" w:rsidRPr="0042214E" w:rsidRDefault="006450B5" w:rsidP="006B713F">
      <w:pPr>
        <w:pStyle w:val="NormalIndent"/>
      </w:pPr>
      <w:r w:rsidRPr="0042214E">
        <w:t>CBA determines whether an investment makes a sufficient contribution to society’s welfare to justify the expenditure. These impacts include both market and non</w:t>
      </w:r>
      <w:r w:rsidR="00034452" w:rsidRPr="0042214E">
        <w:noBreakHyphen/>
      </w:r>
      <w:r w:rsidRPr="0042214E">
        <w:t>market specific impacts in the areas previously described (</w:t>
      </w:r>
      <w:r w:rsidR="00126E61" w:rsidRPr="0042214E">
        <w:t>i.e.,</w:t>
      </w:r>
      <w:r w:rsidRPr="0042214E">
        <w:t xml:space="preserve"> social, </w:t>
      </w:r>
      <w:proofErr w:type="gramStart"/>
      <w:r w:rsidRPr="0042214E">
        <w:t>environmental</w:t>
      </w:r>
      <w:proofErr w:type="gramEnd"/>
      <w:r w:rsidRPr="0042214E">
        <w:t xml:space="preserve"> and economic). The net present value assessment measures the value of the investment to society relative to the base case. It should be used for medium to </w:t>
      </w:r>
      <w:r w:rsidR="00C03475" w:rsidRPr="0042214E">
        <w:t>high-</w:t>
      </w:r>
      <w:r w:rsidRPr="0042214E">
        <w:t xml:space="preserve">cost projects where </w:t>
      </w:r>
      <w:proofErr w:type="gramStart"/>
      <w:r w:rsidRPr="0042214E">
        <w:t>the majority of</w:t>
      </w:r>
      <w:proofErr w:type="gramEnd"/>
      <w:r w:rsidRPr="0042214E">
        <w:t xml:space="preserve"> costs and benefits are captured in the CBA. </w:t>
      </w:r>
    </w:p>
    <w:p w14:paraId="173661FE" w14:textId="77777777" w:rsidR="006450B5" w:rsidRPr="0042214E" w:rsidRDefault="006450B5" w:rsidP="000944D6">
      <w:pPr>
        <w:pStyle w:val="NormalIndent"/>
        <w:rPr>
          <w:rStyle w:val="Emphasis"/>
        </w:rPr>
      </w:pPr>
      <w:r w:rsidRPr="0042214E">
        <w:rPr>
          <w:rStyle w:val="Emphasis"/>
        </w:rPr>
        <w:t>CBA should be used for investments wherever possible to assess monetised benefits.</w:t>
      </w:r>
    </w:p>
    <w:p w14:paraId="1C5A05FF" w14:textId="75FBBB08" w:rsidR="006450B5" w:rsidRPr="0042214E" w:rsidRDefault="006450B5" w:rsidP="006B713F">
      <w:pPr>
        <w:pStyle w:val="NormalIndent"/>
      </w:pPr>
      <w:r w:rsidRPr="0042214E">
        <w:rPr>
          <w:rStyle w:val="Emphasis"/>
        </w:rPr>
        <w:lastRenderedPageBreak/>
        <w:t>Computable general equilibrium (CGE)</w:t>
      </w:r>
      <w:r w:rsidRPr="0042214E">
        <w:t xml:space="preserve"> uses real economic data to estimate the economy</w:t>
      </w:r>
      <w:r w:rsidR="0044651B">
        <w:noBreakHyphen/>
      </w:r>
      <w:r w:rsidRPr="0042214E">
        <w:t>wide impacts of a proposed project or policy change. A CGE model only includes market</w:t>
      </w:r>
      <w:r w:rsidR="00034452" w:rsidRPr="0042214E">
        <w:noBreakHyphen/>
      </w:r>
      <w:r w:rsidRPr="0042214E">
        <w:t>based goods and services (not non</w:t>
      </w:r>
      <w:r w:rsidR="00034452" w:rsidRPr="0042214E">
        <w:noBreakHyphen/>
      </w:r>
      <w:r w:rsidRPr="0042214E">
        <w:t>market goods). It should only be used to complement a CBA. It is usually only appropriate for very large investment projects.</w:t>
      </w:r>
    </w:p>
    <w:p w14:paraId="44A4CE5E" w14:textId="71B79626" w:rsidR="006450B5" w:rsidRPr="0042214E" w:rsidRDefault="00C03475" w:rsidP="006B713F">
      <w:pPr>
        <w:pStyle w:val="NormalIndent"/>
      </w:pPr>
      <w:r w:rsidRPr="0042214E">
        <w:rPr>
          <w:rStyle w:val="Emphasis"/>
        </w:rPr>
        <w:t>Cost-</w:t>
      </w:r>
      <w:r w:rsidR="006450B5" w:rsidRPr="0042214E">
        <w:rPr>
          <w:rStyle w:val="Emphasis"/>
        </w:rPr>
        <w:t>effectiveness and least cost analysis:</w:t>
      </w:r>
      <w:r w:rsidR="006450B5" w:rsidRPr="0042214E">
        <w:t xml:space="preserve"> </w:t>
      </w:r>
      <w:r w:rsidRPr="0042214E">
        <w:t xml:space="preserve">this </w:t>
      </w:r>
      <w:r w:rsidR="006450B5" w:rsidRPr="0042214E">
        <w:t xml:space="preserve">partial cost benefit approach that compares the relative costs of different options in reference to a specific agreed outcome. A </w:t>
      </w:r>
      <w:r w:rsidRPr="0042214E">
        <w:t>cost-</w:t>
      </w:r>
      <w:r w:rsidR="006450B5" w:rsidRPr="0042214E">
        <w:t xml:space="preserve">effectiveness analysis expresses the result in terms of the average cost per unit of effectiveness. A least cost analysis shows the total cost of each option. </w:t>
      </w:r>
    </w:p>
    <w:p w14:paraId="018DD7F9" w14:textId="3496B0CA" w:rsidR="006450B5" w:rsidRPr="0042214E" w:rsidRDefault="006450B5" w:rsidP="000944D6">
      <w:pPr>
        <w:pStyle w:val="NormalIndent"/>
        <w:rPr>
          <w:rStyle w:val="Emphasis"/>
        </w:rPr>
      </w:pPr>
      <w:r w:rsidRPr="0042214E">
        <w:rPr>
          <w:rStyle w:val="Emphasis"/>
        </w:rPr>
        <w:t xml:space="preserve">Significant, difficult to monetise economic costs or benefits need to be evaluated separately from the NPVs or benefit cost ratios to help determine the preferred </w:t>
      </w:r>
      <w:r w:rsidR="00AC57DC" w:rsidRPr="0042214E">
        <w:rPr>
          <w:rStyle w:val="Emphasis"/>
        </w:rPr>
        <w:t xml:space="preserve">project </w:t>
      </w:r>
      <w:r w:rsidRPr="0042214E">
        <w:rPr>
          <w:rStyle w:val="Emphasis"/>
        </w:rPr>
        <w:t>option. This is achieved through an integrated analysis</w:t>
      </w:r>
      <w:r w:rsidR="008A4DED" w:rsidRPr="0042214E">
        <w:rPr>
          <w:rStyle w:val="Emphasis"/>
        </w:rPr>
        <w:t>.</w:t>
      </w:r>
    </w:p>
    <w:p w14:paraId="39A32D8B" w14:textId="071CF2FA" w:rsidR="006450B5" w:rsidRPr="0042214E" w:rsidRDefault="006450B5" w:rsidP="000944D6">
      <w:pPr>
        <w:pStyle w:val="NormalIndent"/>
        <w:rPr>
          <w:rStyle w:val="Emphasis"/>
        </w:rPr>
      </w:pPr>
      <w:r w:rsidRPr="0042214E">
        <w:rPr>
          <w:rStyle w:val="Emphasis"/>
        </w:rPr>
        <w:t xml:space="preserve">If </w:t>
      </w:r>
      <w:proofErr w:type="gramStart"/>
      <w:r w:rsidRPr="0042214E">
        <w:rPr>
          <w:rStyle w:val="Emphasis"/>
        </w:rPr>
        <w:t>the vast majority of</w:t>
      </w:r>
      <w:proofErr w:type="gramEnd"/>
      <w:r w:rsidRPr="0042214E">
        <w:rPr>
          <w:rStyle w:val="Emphasis"/>
        </w:rPr>
        <w:t xml:space="preserve"> costs and benefits are captured in the CBA, then the NPV/benefit cost ratio forms a major part of the project </w:t>
      </w:r>
      <w:r w:rsidR="00AE3F4A" w:rsidRPr="0042214E">
        <w:rPr>
          <w:rStyle w:val="Emphasis"/>
        </w:rPr>
        <w:t xml:space="preserve">option </w:t>
      </w:r>
      <w:r w:rsidRPr="0042214E">
        <w:rPr>
          <w:rStyle w:val="Emphasis"/>
        </w:rPr>
        <w:t>selection.</w:t>
      </w:r>
    </w:p>
    <w:p w14:paraId="44170F47" w14:textId="77777777" w:rsidR="006450B5" w:rsidRPr="0042214E" w:rsidRDefault="006450B5" w:rsidP="004E6541">
      <w:pPr>
        <w:pStyle w:val="Heading4"/>
      </w:pPr>
      <w:r w:rsidRPr="0042214E">
        <w:t>Quantify and monetise costs and benefits</w:t>
      </w:r>
    </w:p>
    <w:p w14:paraId="43B1FDAB" w14:textId="7A90B278" w:rsidR="006450B5" w:rsidRPr="0042214E" w:rsidRDefault="006450B5" w:rsidP="006B713F">
      <w:pPr>
        <w:pStyle w:val="NormalIndent"/>
      </w:pPr>
      <w:r w:rsidRPr="0042214E">
        <w:t xml:space="preserve">While there is a strong preference for all project option impacts to be monetised (to facilitate CBA), there are occasions when some social, </w:t>
      </w:r>
      <w:proofErr w:type="gramStart"/>
      <w:r w:rsidRPr="0042214E">
        <w:t>environmental</w:t>
      </w:r>
      <w:proofErr w:type="gramEnd"/>
      <w:r w:rsidRPr="0042214E">
        <w:t xml:space="preserve"> and economic impacts are difficult to measure due to the cost involved relative to the impact being measured or because there are no reliable techniques or relevant default values readily available. CBA and other economic evaluation techniques do not go beyond assessing monetised impacts. For example, qualitative (</w:t>
      </w:r>
      <w:r w:rsidR="00126E61" w:rsidRPr="0042214E">
        <w:t>e.g.,</w:t>
      </w:r>
      <w:r w:rsidRPr="0042214E">
        <w:t xml:space="preserve"> aesthetic value) effects are not captured. Yet these factors can be important, especially for investments with social and/or environmental objectives. </w:t>
      </w:r>
    </w:p>
    <w:p w14:paraId="1E5D7206" w14:textId="77777777" w:rsidR="006450B5" w:rsidRPr="0042214E" w:rsidRDefault="006450B5" w:rsidP="006B713F">
      <w:pPr>
        <w:pStyle w:val="NormalIndent"/>
      </w:pPr>
      <w:r w:rsidRPr="0042214E">
        <w:t xml:space="preserve">The overall economic evaluation should include (with reliability being the key driver): </w:t>
      </w:r>
    </w:p>
    <w:p w14:paraId="01EC0F0C" w14:textId="77777777" w:rsidR="006450B5" w:rsidRPr="0042214E" w:rsidRDefault="006450B5" w:rsidP="000944D6">
      <w:pPr>
        <w:pStyle w:val="Bulletindent"/>
      </w:pPr>
      <w:r w:rsidRPr="0042214E">
        <w:t xml:space="preserve">the impact in quantifiable monetary </w:t>
      </w:r>
      <w:proofErr w:type="gramStart"/>
      <w:r w:rsidRPr="0042214E">
        <w:t>terms;</w:t>
      </w:r>
      <w:proofErr w:type="gramEnd"/>
      <w:r w:rsidRPr="0042214E">
        <w:t xml:space="preserve"> </w:t>
      </w:r>
    </w:p>
    <w:p w14:paraId="580A020B" w14:textId="49910A13" w:rsidR="006450B5" w:rsidRPr="0042214E" w:rsidRDefault="006450B5" w:rsidP="000944D6">
      <w:pPr>
        <w:pStyle w:val="Bulletindent"/>
      </w:pPr>
      <w:r w:rsidRPr="0042214E">
        <w:t>the impact in a non</w:t>
      </w:r>
      <w:r w:rsidR="00034452" w:rsidRPr="0042214E">
        <w:noBreakHyphen/>
      </w:r>
      <w:r w:rsidRPr="0042214E">
        <w:t xml:space="preserve">monetary quantity allowing comparison between </w:t>
      </w:r>
      <w:r w:rsidR="00AE3F4A" w:rsidRPr="0042214E">
        <w:t xml:space="preserve">project </w:t>
      </w:r>
      <w:r w:rsidRPr="0042214E">
        <w:t>options;</w:t>
      </w:r>
      <w:r w:rsidR="000944D6" w:rsidRPr="0042214E">
        <w:t> </w:t>
      </w:r>
      <w:r w:rsidRPr="0042214E">
        <w:t>and</w:t>
      </w:r>
    </w:p>
    <w:p w14:paraId="12FD532B" w14:textId="74998847" w:rsidR="006450B5" w:rsidRPr="0042214E" w:rsidRDefault="006450B5" w:rsidP="000944D6">
      <w:pPr>
        <w:pStyle w:val="Bulletindent"/>
      </w:pPr>
      <w:r w:rsidRPr="0042214E">
        <w:t>unquantifiable (qualitative</w:t>
      </w:r>
      <w:r w:rsidR="0044651B">
        <w:t>/</w:t>
      </w:r>
      <w:r w:rsidRPr="0042214E">
        <w:t xml:space="preserve">described) impacts. </w:t>
      </w:r>
    </w:p>
    <w:p w14:paraId="1B6C43B5" w14:textId="64DD6E20" w:rsidR="006450B5" w:rsidRPr="0042214E" w:rsidRDefault="006450B5" w:rsidP="006B713F">
      <w:pPr>
        <w:pStyle w:val="NormalIndent"/>
      </w:pPr>
      <w:r w:rsidRPr="0042214E">
        <w:t>Impacts should only be assigned a monetary value when this is done in a robust and neutral manner in line with the appropriate use of existing widely accepted valuation techniques or default values. If impacts cannot be assigned monetary values</w:t>
      </w:r>
      <w:r w:rsidR="009B45D9" w:rsidRPr="0042214E">
        <w:t>,</w:t>
      </w:r>
      <w:r w:rsidRPr="0042214E">
        <w:t xml:space="preserve"> then they should be described in quantitative/qualitative terms. </w:t>
      </w:r>
    </w:p>
    <w:p w14:paraId="236E3B3E" w14:textId="67F1EE2E" w:rsidR="006450B5" w:rsidRPr="0042214E" w:rsidRDefault="006450B5" w:rsidP="000944D6">
      <w:pPr>
        <w:pStyle w:val="NormalIndent"/>
        <w:rPr>
          <w:rStyle w:val="Emphasis"/>
        </w:rPr>
      </w:pPr>
      <w:r w:rsidRPr="0042214E">
        <w:rPr>
          <w:rStyle w:val="Emphasis"/>
        </w:rPr>
        <w:t>Sometimes it is difficult to monetise benefits</w:t>
      </w:r>
      <w:r w:rsidR="00F216D1" w:rsidRPr="0042214E">
        <w:rPr>
          <w:rStyle w:val="Emphasis"/>
        </w:rPr>
        <w:t xml:space="preserve">; </w:t>
      </w:r>
      <w:r w:rsidRPr="0042214E">
        <w:rPr>
          <w:rStyle w:val="Emphasis"/>
        </w:rPr>
        <w:t>however</w:t>
      </w:r>
      <w:r w:rsidR="00F216D1" w:rsidRPr="0042214E">
        <w:rPr>
          <w:rStyle w:val="Emphasis"/>
        </w:rPr>
        <w:t>,</w:t>
      </w:r>
      <w:r w:rsidRPr="0042214E">
        <w:rPr>
          <w:rStyle w:val="Emphasis"/>
        </w:rPr>
        <w:t xml:space="preserve"> agencies should strive to monetise impacts in a defensible, neutral manner wherever possible.</w:t>
      </w:r>
    </w:p>
    <w:p w14:paraId="56E36DBF" w14:textId="70A7FC11" w:rsidR="006450B5" w:rsidRPr="0042214E" w:rsidRDefault="006450B5" w:rsidP="006B713F">
      <w:pPr>
        <w:pStyle w:val="NormalIndent"/>
      </w:pPr>
      <w:r w:rsidRPr="0042214E">
        <w:t xml:space="preserve">Valuation techniques include: </w:t>
      </w:r>
    </w:p>
    <w:p w14:paraId="179E44C9" w14:textId="18681123" w:rsidR="006450B5" w:rsidRPr="0042214E" w:rsidRDefault="00F216D1" w:rsidP="000944D6">
      <w:pPr>
        <w:pStyle w:val="Bulletindent"/>
        <w:rPr>
          <w:b/>
          <w:color w:val="E57200" w:themeColor="accent2"/>
        </w:rPr>
      </w:pPr>
      <w:r w:rsidRPr="0042214E">
        <w:rPr>
          <w:b/>
          <w:color w:val="E57200" w:themeColor="accent2"/>
        </w:rPr>
        <w:t>Market-</w:t>
      </w:r>
      <w:r w:rsidR="006450B5" w:rsidRPr="0042214E">
        <w:rPr>
          <w:b/>
          <w:color w:val="E57200" w:themeColor="accent2"/>
        </w:rPr>
        <w:t>based valuations:</w:t>
      </w:r>
      <w:r w:rsidR="006450B5" w:rsidRPr="0042214E">
        <w:t xml:space="preserve"> </w:t>
      </w:r>
      <w:r w:rsidRPr="0042214E">
        <w:t>market-</w:t>
      </w:r>
      <w:r w:rsidR="006450B5" w:rsidRPr="0042214E">
        <w:t>based valuations infer a price by examining consumer behaviour and/or prices in a similar or related market. Techniques include defensive expenditure, replacement cost and productivity method</w:t>
      </w:r>
      <w:r w:rsidRPr="0042214E">
        <w:t>.</w:t>
      </w:r>
    </w:p>
    <w:p w14:paraId="2DC17EB4" w14:textId="3EC922C7" w:rsidR="006450B5" w:rsidRPr="0042214E" w:rsidRDefault="006450B5" w:rsidP="000944D6">
      <w:pPr>
        <w:pStyle w:val="Bulletindent"/>
      </w:pPr>
      <w:r w:rsidRPr="0042214E">
        <w:rPr>
          <w:b/>
          <w:color w:val="E57200" w:themeColor="accent2"/>
        </w:rPr>
        <w:t>Revealed preference:</w:t>
      </w:r>
      <w:r w:rsidRPr="0042214E">
        <w:t xml:space="preserve"> </w:t>
      </w:r>
      <w:r w:rsidR="00F216D1" w:rsidRPr="0042214E">
        <w:t xml:space="preserve">the </w:t>
      </w:r>
      <w:r w:rsidRPr="0042214E">
        <w:t>revealed preference method seeks to find out how much consumers spend on goods and services in similar or related markets by observing the choices. For example, valuing the impact of flight path noise by comparing prices of similar homes under the flight path with those removed</w:t>
      </w:r>
      <w:r w:rsidR="00F216D1" w:rsidRPr="0042214E">
        <w:t>.</w:t>
      </w:r>
    </w:p>
    <w:p w14:paraId="73269541" w14:textId="6441AD92" w:rsidR="006450B5" w:rsidRPr="0042214E" w:rsidRDefault="006450B5" w:rsidP="000944D6">
      <w:pPr>
        <w:pStyle w:val="Bulletindent"/>
      </w:pPr>
      <w:r w:rsidRPr="0042214E">
        <w:rPr>
          <w:b/>
          <w:color w:val="E57200" w:themeColor="accent2"/>
        </w:rPr>
        <w:lastRenderedPageBreak/>
        <w:t>Stated preference method:</w:t>
      </w:r>
      <w:r w:rsidRPr="0042214E">
        <w:t xml:space="preserve"> </w:t>
      </w:r>
      <w:r w:rsidR="00F216D1" w:rsidRPr="0042214E">
        <w:t xml:space="preserve">this </w:t>
      </w:r>
      <w:r w:rsidRPr="0042214E">
        <w:t>approach is useful where there is no other method available to monetise a particular cost or benefit. Stated preferences are obtained by specially constructed questionnaires and interviews designed to elicit estimates of the willingness to pay (for) or the willingness to accept a particular outcome</w:t>
      </w:r>
      <w:r w:rsidR="00F216D1" w:rsidRPr="0042214E">
        <w:t>.</w:t>
      </w:r>
    </w:p>
    <w:p w14:paraId="2A38E4F6" w14:textId="3C12E12F" w:rsidR="006450B5" w:rsidRPr="0042214E" w:rsidRDefault="006450B5" w:rsidP="000944D6">
      <w:pPr>
        <w:pStyle w:val="Bulletindent"/>
      </w:pPr>
      <w:r w:rsidRPr="0042214E">
        <w:rPr>
          <w:b/>
          <w:color w:val="E57200" w:themeColor="accent2"/>
        </w:rPr>
        <w:t>Benefit transfer method:</w:t>
      </w:r>
      <w:r w:rsidRPr="0042214E">
        <w:t xml:space="preserve"> </w:t>
      </w:r>
      <w:r w:rsidR="00F216D1" w:rsidRPr="0042214E">
        <w:t xml:space="preserve">this </w:t>
      </w:r>
      <w:r w:rsidRPr="0042214E">
        <w:t xml:space="preserve">method adopts a value from an existing body of research as a proxy value for use in the CBA. This method may be used for assessing health and environmental impacts. </w:t>
      </w:r>
    </w:p>
    <w:p w14:paraId="63B47F11" w14:textId="77777777" w:rsidR="006450B5" w:rsidRPr="0042214E" w:rsidRDefault="006450B5" w:rsidP="004E6541">
      <w:pPr>
        <w:pStyle w:val="Heading4"/>
      </w:pPr>
      <w:r w:rsidRPr="0042214E">
        <w:t>Geographic focus of impacts</w:t>
      </w:r>
    </w:p>
    <w:p w14:paraId="1E7B96E1" w14:textId="058E02B5" w:rsidR="006450B5" w:rsidRPr="0042214E" w:rsidRDefault="006450B5" w:rsidP="006B713F">
      <w:pPr>
        <w:pStyle w:val="NormalIndent"/>
      </w:pPr>
      <w:r w:rsidRPr="0042214E">
        <w:t>In most cases, the non</w:t>
      </w:r>
      <w:r w:rsidR="00034452" w:rsidRPr="0042214E">
        <w:noBreakHyphen/>
      </w:r>
      <w:r w:rsidRPr="0042214E">
        <w:t>financial impacts should focus on impacts on the Victorian community/economy/environment. One exception may be where the primary objectives/drivers of the investment are distributional (</w:t>
      </w:r>
      <w:r w:rsidR="00126E61" w:rsidRPr="0042214E">
        <w:t>i.e.,</w:t>
      </w:r>
      <w:r w:rsidRPr="0042214E">
        <w:t xml:space="preserve"> where there are equity objectives). For example, the </w:t>
      </w:r>
      <w:r w:rsidR="00B31C6F" w:rsidRPr="0042214E">
        <w:t>G</w:t>
      </w:r>
      <w:r w:rsidRPr="0042214E">
        <w:t xml:space="preserve">overnment may have explicit policy priorities to promote economic development in a certain region. The analysis may therefore focus on the impacts on that </w:t>
      </w:r>
      <w:proofErr w:type="gramStart"/>
      <w:r w:rsidRPr="0042214E">
        <w:t>particular region</w:t>
      </w:r>
      <w:proofErr w:type="gramEnd"/>
      <w:r w:rsidRPr="0042214E">
        <w:t xml:space="preserve"> rather than the whole of Victoria. The analysis should note this </w:t>
      </w:r>
      <w:r w:rsidR="00126E61" w:rsidRPr="0042214E">
        <w:t>restriction but</w:t>
      </w:r>
      <w:r w:rsidRPr="0042214E">
        <w:t xml:space="preserve"> note the impacts on Victoria. There may also be projects seeking federal </w:t>
      </w:r>
      <w:r w:rsidR="00F216D1" w:rsidRPr="0042214E">
        <w:t>co-</w:t>
      </w:r>
      <w:r w:rsidRPr="0042214E">
        <w:t xml:space="preserve">funding where incorporating national benefits is appropriate. </w:t>
      </w:r>
    </w:p>
    <w:p w14:paraId="3FDA2457" w14:textId="77777777" w:rsidR="00E927FA" w:rsidRPr="0042214E" w:rsidRDefault="00E927FA" w:rsidP="004E6541">
      <w:pPr>
        <w:pStyle w:val="Heading4"/>
      </w:pPr>
      <w:r w:rsidRPr="0042214E">
        <w:t>Distributional impacts</w:t>
      </w:r>
    </w:p>
    <w:p w14:paraId="2EB0E84F" w14:textId="77777777" w:rsidR="00E927FA" w:rsidRPr="0042214E" w:rsidRDefault="00E927FA" w:rsidP="006B713F">
      <w:pPr>
        <w:pStyle w:val="NormalIndent"/>
      </w:pPr>
      <w:r w:rsidRPr="0042214E">
        <w:t xml:space="preserve">Governments typically wish to know how proposals will affect different groups in society. Distributional impacts refer to how costs and benefits are allocated across these different groups in society. Projects may have uneven effects on different people according to income level, age, gender, ethnicity, location, health or skill, or other factors. Projects can also have impacts on different industries. </w:t>
      </w:r>
    </w:p>
    <w:p w14:paraId="34C484F5" w14:textId="54DF0640" w:rsidR="00E927FA" w:rsidRPr="0042214E" w:rsidRDefault="00E927FA" w:rsidP="006B713F">
      <w:pPr>
        <w:pStyle w:val="NormalIndent"/>
      </w:pPr>
      <w:r w:rsidRPr="0042214E">
        <w:t>A CBA should not directly include distributional (transfer) impacts in the overall result (NPV</w:t>
      </w:r>
      <w:r w:rsidR="000944D6" w:rsidRPr="0042214E">
        <w:t> </w:t>
      </w:r>
      <w:r w:rsidRPr="0042214E">
        <w:t xml:space="preserve">or BCR). However, a description of the final distributional impacts of each proposal on various sections of society should be provided to </w:t>
      </w:r>
      <w:r w:rsidR="00F216D1" w:rsidRPr="0042214E">
        <w:t>decision-</w:t>
      </w:r>
      <w:r w:rsidRPr="0042214E">
        <w:t xml:space="preserve">makers along with the overall results. This could include the impact on different income groups, </w:t>
      </w:r>
      <w:proofErr w:type="gramStart"/>
      <w:r w:rsidRPr="0042214E">
        <w:t>industries</w:t>
      </w:r>
      <w:proofErr w:type="gramEnd"/>
      <w:r w:rsidRPr="0042214E">
        <w:t xml:space="preserve"> and geographical areas. </w:t>
      </w:r>
    </w:p>
    <w:p w14:paraId="0657F834" w14:textId="77777777" w:rsidR="006450B5" w:rsidRPr="0042214E" w:rsidRDefault="006450B5" w:rsidP="004E6541">
      <w:pPr>
        <w:pStyle w:val="Heading4"/>
      </w:pPr>
      <w:r w:rsidRPr="0042214E">
        <w:t>Discount impacts back to present values</w:t>
      </w:r>
    </w:p>
    <w:p w14:paraId="77D99AC9" w14:textId="7E2D2572" w:rsidR="006450B5" w:rsidRPr="0042214E" w:rsidRDefault="006450B5" w:rsidP="006B713F">
      <w:pPr>
        <w:pStyle w:val="NormalIndent"/>
      </w:pPr>
      <w:r w:rsidRPr="0042214E">
        <w:t xml:space="preserve">Discounting ensures that costs and benefits from different time periods are assessed using their present values. It reflects the opportunity cost of investing in a particular project. The discount rate used in public sector project evaluations should reflect the risk profile associated with the project. </w:t>
      </w:r>
      <w:r w:rsidR="008C12E1" w:rsidRPr="0042214E">
        <w:t>Further information on the discount rate is included in</w:t>
      </w:r>
      <w:r w:rsidRPr="0042214E">
        <w:t xml:space="preserve"> the </w:t>
      </w:r>
      <w:r w:rsidRPr="00922978">
        <w:rPr>
          <w:b/>
          <w:color w:val="E57200" w:themeColor="accent2"/>
        </w:rPr>
        <w:t>Economic Evaluation</w:t>
      </w:r>
      <w:r w:rsidRPr="00922978">
        <w:rPr>
          <w:color w:val="E57200" w:themeColor="accent2"/>
        </w:rPr>
        <w:t xml:space="preserve"> </w:t>
      </w:r>
      <w:r w:rsidRPr="0042214E">
        <w:t>technical guide</w:t>
      </w:r>
      <w:r w:rsidR="008C12E1" w:rsidRPr="0042214E">
        <w:t>.</w:t>
      </w:r>
      <w:r w:rsidRPr="0042214E">
        <w:t xml:space="preserve"> </w:t>
      </w:r>
    </w:p>
    <w:p w14:paraId="7213FE30" w14:textId="77777777" w:rsidR="006450B5" w:rsidRPr="0042214E" w:rsidRDefault="006450B5" w:rsidP="004E6541">
      <w:pPr>
        <w:pStyle w:val="Heading4"/>
      </w:pPr>
      <w:r w:rsidRPr="0042214E">
        <w:t>Choose a quantitative assessment tool</w:t>
      </w:r>
    </w:p>
    <w:p w14:paraId="040B6A4E" w14:textId="46E66090" w:rsidR="006450B5" w:rsidRPr="0042214E" w:rsidRDefault="006450B5" w:rsidP="006B713F">
      <w:pPr>
        <w:pStyle w:val="NormalIndent"/>
      </w:pPr>
      <w:r w:rsidRPr="0044651B">
        <w:rPr>
          <w:b/>
          <w:color w:val="E57200" w:themeColor="accent2"/>
        </w:rPr>
        <w:t>Net present value (NPV):</w:t>
      </w:r>
      <w:r w:rsidRPr="0042214E">
        <w:t xml:space="preserve"> NPV is the preferred quantitative assessment tool when assessing </w:t>
      </w:r>
      <w:r w:rsidR="009B45D9" w:rsidRPr="0042214E">
        <w:t xml:space="preserve">project </w:t>
      </w:r>
      <w:r w:rsidRPr="0042214E">
        <w:t xml:space="preserve">options. Nevertheless, the benefit cost ratio should also be reported to provide </w:t>
      </w:r>
      <w:r w:rsidR="00346403" w:rsidRPr="0042214E">
        <w:t>decision-</w:t>
      </w:r>
      <w:r w:rsidRPr="0042214E">
        <w:t xml:space="preserve">makers with additional relevant information. </w:t>
      </w:r>
    </w:p>
    <w:p w14:paraId="44F9F758" w14:textId="77777777" w:rsidR="006450B5" w:rsidRPr="0042214E" w:rsidRDefault="006450B5" w:rsidP="006B713F">
      <w:pPr>
        <w:pStyle w:val="NormalIndent"/>
      </w:pPr>
      <w:r w:rsidRPr="0042214E">
        <w:t xml:space="preserve">The NPV measures the present value of net benefits. It is calculated as the present value of all benefits minus the present value of all capital and recurrent costs (including externalities) within the appraisal period for the project. </w:t>
      </w:r>
    </w:p>
    <w:p w14:paraId="30DD835E" w14:textId="77777777" w:rsidR="00FC7ECB" w:rsidRDefault="00FC7ECB">
      <w:pPr>
        <w:keepLines w:val="0"/>
        <w:spacing w:line="264" w:lineRule="auto"/>
        <w:rPr>
          <w:rStyle w:val="Emphasis"/>
        </w:rPr>
      </w:pPr>
      <w:r>
        <w:rPr>
          <w:rStyle w:val="Emphasis"/>
        </w:rPr>
        <w:br w:type="page"/>
      </w:r>
    </w:p>
    <w:p w14:paraId="4492CFF9" w14:textId="3DA9A9A2" w:rsidR="006450B5" w:rsidRPr="0042214E" w:rsidRDefault="006450B5" w:rsidP="000944D6">
      <w:pPr>
        <w:pStyle w:val="NormalIndent"/>
        <w:rPr>
          <w:rStyle w:val="Emphasis"/>
        </w:rPr>
      </w:pPr>
      <w:r w:rsidRPr="0042214E">
        <w:rPr>
          <w:rStyle w:val="Emphasis"/>
        </w:rPr>
        <w:lastRenderedPageBreak/>
        <w:t>NPV = PV benefits – (PV of capital plus recurrent costs) + PV of other impacts</w:t>
      </w:r>
    </w:p>
    <w:p w14:paraId="4F41579A" w14:textId="0B2B23CA" w:rsidR="006450B5" w:rsidRPr="0042214E" w:rsidRDefault="006450B5" w:rsidP="006B713F">
      <w:pPr>
        <w:pStyle w:val="NormalIndent"/>
      </w:pPr>
      <w:r w:rsidRPr="0042214E">
        <w:t xml:space="preserve">Present values are discounted as outlined in the </w:t>
      </w:r>
      <w:r w:rsidRPr="00922978">
        <w:rPr>
          <w:b/>
          <w:color w:val="E57200" w:themeColor="accent2"/>
        </w:rPr>
        <w:t>Economic Evaluation</w:t>
      </w:r>
      <w:r w:rsidRPr="00922978">
        <w:rPr>
          <w:i/>
          <w:color w:val="E57200" w:themeColor="accent2"/>
        </w:rPr>
        <w:t xml:space="preserve"> </w:t>
      </w:r>
      <w:r w:rsidRPr="0042214E">
        <w:t>technical guide.</w:t>
      </w:r>
    </w:p>
    <w:p w14:paraId="18CA881D" w14:textId="77777777" w:rsidR="006450B5" w:rsidRPr="0042214E" w:rsidRDefault="006450B5" w:rsidP="006B713F">
      <w:pPr>
        <w:pStyle w:val="NormalIndent"/>
      </w:pPr>
      <w:r w:rsidRPr="0042214E">
        <w:t xml:space="preserve">The NPV is used to: </w:t>
      </w:r>
    </w:p>
    <w:p w14:paraId="2CD479DB" w14:textId="5A7CCFEF" w:rsidR="006450B5" w:rsidRPr="0042214E" w:rsidRDefault="000944D6" w:rsidP="000944D6">
      <w:pPr>
        <w:pStyle w:val="Bulletindent"/>
      </w:pPr>
      <w:r w:rsidRPr="0042214E">
        <w:t xml:space="preserve">rank </w:t>
      </w:r>
      <w:r w:rsidR="009B45D9" w:rsidRPr="0042214E">
        <w:t xml:space="preserve">project </w:t>
      </w:r>
      <w:r w:rsidR="006450B5" w:rsidRPr="0042214E">
        <w:t>options based on their magnitudes; and/or</w:t>
      </w:r>
    </w:p>
    <w:p w14:paraId="6E539EAC" w14:textId="0573BBA3" w:rsidR="006450B5" w:rsidRPr="0042214E" w:rsidRDefault="000944D6" w:rsidP="000944D6">
      <w:pPr>
        <w:pStyle w:val="Bulletindent"/>
      </w:pPr>
      <w:r w:rsidRPr="0042214E">
        <w:t xml:space="preserve">accept </w:t>
      </w:r>
      <w:r w:rsidR="006450B5" w:rsidRPr="0042214E">
        <w:t xml:space="preserve">or reject </w:t>
      </w:r>
      <w:r w:rsidR="009B45D9" w:rsidRPr="0042214E">
        <w:t xml:space="preserve">project </w:t>
      </w:r>
      <w:r w:rsidR="006450B5" w:rsidRPr="0042214E">
        <w:t>options.</w:t>
      </w:r>
    </w:p>
    <w:p w14:paraId="74AF478C" w14:textId="77DF603A" w:rsidR="006450B5" w:rsidRPr="0042214E" w:rsidRDefault="006450B5" w:rsidP="006B713F">
      <w:pPr>
        <w:pStyle w:val="NormalIndent"/>
      </w:pPr>
      <w:r w:rsidRPr="0042214E">
        <w:rPr>
          <w:b/>
          <w:color w:val="E57200" w:themeColor="accent2"/>
        </w:rPr>
        <w:t>Benefit cost ratio (BCR):</w:t>
      </w:r>
      <w:r w:rsidRPr="0042214E">
        <w:t xml:space="preserve"> </w:t>
      </w:r>
      <w:r w:rsidR="00346403" w:rsidRPr="0042214E">
        <w:t xml:space="preserve">this </w:t>
      </w:r>
      <w:r w:rsidRPr="0042214E">
        <w:t xml:space="preserve">is the present value of all benefits divided by the present value of costs. A BCR that is greater than one implies a positive </w:t>
      </w:r>
      <w:proofErr w:type="gramStart"/>
      <w:r w:rsidRPr="0042214E">
        <w:t>NPV</w:t>
      </w:r>
      <w:proofErr w:type="gramEnd"/>
      <w:r w:rsidRPr="0042214E">
        <w:t xml:space="preserve"> and the project should therefore generally be acceptable to proceed. The BCR should be reported with the </w:t>
      </w:r>
      <w:r w:rsidR="00126E61" w:rsidRPr="0042214E">
        <w:t>NPV but</w:t>
      </w:r>
      <w:r w:rsidRPr="0042214E">
        <w:t xml:space="preserve"> is not recommended as the only quantitative assessment tool used because it is biased towards projects with early returns and small projects. The results from the BCR should be considered with the NPV results. </w:t>
      </w:r>
    </w:p>
    <w:p w14:paraId="58086887" w14:textId="77777777" w:rsidR="006450B5" w:rsidRPr="0042214E" w:rsidRDefault="006450B5" w:rsidP="004E6541">
      <w:pPr>
        <w:pStyle w:val="Heading4"/>
      </w:pPr>
      <w:r w:rsidRPr="0042214E">
        <w:t>Potential problems in economic (and financial) assessments</w:t>
      </w:r>
    </w:p>
    <w:p w14:paraId="559EF9F4" w14:textId="009DD176" w:rsidR="006450B5" w:rsidRPr="0042214E" w:rsidRDefault="006450B5" w:rsidP="006B713F">
      <w:pPr>
        <w:pStyle w:val="NormalIndent"/>
      </w:pPr>
      <w:r w:rsidRPr="0042214E">
        <w:rPr>
          <w:b/>
          <w:color w:val="E57200" w:themeColor="accent2"/>
        </w:rPr>
        <w:t>Optimism bias:</w:t>
      </w:r>
      <w:r w:rsidRPr="0042214E">
        <w:t xml:space="preserve"> </w:t>
      </w:r>
      <w:r w:rsidR="00346403" w:rsidRPr="0042214E">
        <w:t xml:space="preserve">this </w:t>
      </w:r>
      <w:r w:rsidRPr="0042214E">
        <w:t xml:space="preserve">means underestimating future costs and overestimating future benefits and timelines. The assessment should state how cost, timing and benefit estimates were developed and rigorously tested. </w:t>
      </w:r>
    </w:p>
    <w:p w14:paraId="4EE7E998" w14:textId="77777777" w:rsidR="006450B5" w:rsidRPr="0042214E" w:rsidRDefault="006450B5" w:rsidP="000944D6">
      <w:pPr>
        <w:pStyle w:val="NormalIndent"/>
        <w:rPr>
          <w:rStyle w:val="Emphasis"/>
        </w:rPr>
      </w:pPr>
      <w:r w:rsidRPr="0042214E">
        <w:rPr>
          <w:rStyle w:val="Emphasis"/>
        </w:rPr>
        <w:t>Objectivity can be enhanced by having an expert, independent of the area promoting the investment, to undertake the analysis.</w:t>
      </w:r>
    </w:p>
    <w:p w14:paraId="31F951E6" w14:textId="6A22C4DF" w:rsidR="006450B5" w:rsidRPr="0042214E" w:rsidRDefault="006450B5" w:rsidP="006B713F">
      <w:pPr>
        <w:pStyle w:val="NormalIndent"/>
      </w:pPr>
      <w:r w:rsidRPr="0042214E">
        <w:rPr>
          <w:b/>
          <w:color w:val="E57200" w:themeColor="accent2"/>
        </w:rPr>
        <w:t>Double counting:</w:t>
      </w:r>
      <w:r w:rsidRPr="0042214E">
        <w:t xml:space="preserve"> </w:t>
      </w:r>
      <w:r w:rsidR="009A0215" w:rsidRPr="0042214E">
        <w:t xml:space="preserve">impacts </w:t>
      </w:r>
      <w:r w:rsidRPr="0042214E">
        <w:t>can be accidentally double counted. This is usually because they are inherently reflected in the pricing of other benefits. Another error is counting costs as benefits. For example, the use of resources such as labour is often counted as an employment benefit. However, this almost always has a cost (</w:t>
      </w:r>
      <w:r w:rsidR="00126E61" w:rsidRPr="0042214E">
        <w:t>i.e.,</w:t>
      </w:r>
      <w:r w:rsidRPr="0042214E">
        <w:t xml:space="preserve"> an opportunity cost) if such resources can be used elsewhere in the economy. </w:t>
      </w:r>
    </w:p>
    <w:p w14:paraId="44C7AAB0" w14:textId="618F9D04" w:rsidR="006450B5" w:rsidRPr="0042214E" w:rsidRDefault="006450B5" w:rsidP="004E6541">
      <w:pPr>
        <w:pStyle w:val="Heading4"/>
      </w:pPr>
      <w:r w:rsidRPr="0042214E">
        <w:t>Unanticipated impacts and ignoring non</w:t>
      </w:r>
      <w:r w:rsidR="00034452" w:rsidRPr="0042214E">
        <w:noBreakHyphen/>
      </w:r>
      <w:r w:rsidRPr="0042214E">
        <w:t>market impacts</w:t>
      </w:r>
    </w:p>
    <w:p w14:paraId="3AEBFC60" w14:textId="3202D78E" w:rsidR="006450B5" w:rsidRPr="0042214E" w:rsidRDefault="006450B5" w:rsidP="006B713F">
      <w:pPr>
        <w:pStyle w:val="NormalIndent"/>
      </w:pPr>
      <w:r w:rsidRPr="0042214E">
        <w:t>Many potential costs and benefits are unanticipated at the time of project evaluation. Non</w:t>
      </w:r>
      <w:r w:rsidR="00034452" w:rsidRPr="0042214E">
        <w:noBreakHyphen/>
      </w:r>
      <w:r w:rsidRPr="0042214E">
        <w:t>market impacts are generally harder to anticipate and quantify and are not more likely to be overlooked. Nevertheless, listing and estimating all relevant costs and benefits early in the process, as well as affected parties, should be attempted.</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CC6ED9" w:rsidRPr="0042214E" w14:paraId="366B4688" w14:textId="77777777" w:rsidTr="00F66F26">
        <w:tc>
          <w:tcPr>
            <w:tcW w:w="8502" w:type="dxa"/>
            <w:shd w:val="clear" w:color="auto" w:fill="FDF3EA" w:themeFill="accent5" w:themeFillTint="33"/>
          </w:tcPr>
          <w:p w14:paraId="7202B60A" w14:textId="6380C916" w:rsidR="00CC6ED9" w:rsidRPr="0042214E" w:rsidRDefault="00CC6ED9" w:rsidP="000944D6">
            <w:pPr>
              <w:pStyle w:val="Tabletextbold"/>
            </w:pPr>
            <w:r w:rsidRPr="0042214E">
              <w:t>Business case information requirements for economic impacts and evaluation</w:t>
            </w:r>
          </w:p>
          <w:p w14:paraId="6D0E8269" w14:textId="7AEC3AF0" w:rsidR="00CC6ED9" w:rsidRPr="0042214E" w:rsidRDefault="00CC6ED9" w:rsidP="000944D6">
            <w:pPr>
              <w:pStyle w:val="Tablebullet"/>
            </w:pPr>
            <w:r w:rsidRPr="0042214E">
              <w:t xml:space="preserve">Identify the basis for costs and benefits for </w:t>
            </w:r>
            <w:r w:rsidR="009B45D9" w:rsidRPr="0042214E">
              <w:t xml:space="preserve">project </w:t>
            </w:r>
            <w:r w:rsidRPr="0042214E">
              <w:t xml:space="preserve">options. </w:t>
            </w:r>
          </w:p>
          <w:p w14:paraId="60ADDBD2" w14:textId="77777777" w:rsidR="00CC6ED9" w:rsidRPr="0042214E" w:rsidRDefault="00CC6ED9" w:rsidP="000944D6">
            <w:pPr>
              <w:pStyle w:val="Tablebullet"/>
            </w:pPr>
            <w:r w:rsidRPr="0042214E">
              <w:t>Describe the economic assessment methodology.</w:t>
            </w:r>
          </w:p>
          <w:p w14:paraId="08D6F3DD" w14:textId="77777777" w:rsidR="00CC6ED9" w:rsidRPr="0042214E" w:rsidRDefault="00CC6ED9" w:rsidP="000944D6">
            <w:pPr>
              <w:pStyle w:val="Tablebullet"/>
            </w:pPr>
            <w:r w:rsidRPr="0042214E">
              <w:t xml:space="preserve">Quantify and monetise (wherever possible) costs and benefits at a level of accuracy consistent with ‘concept estimates’ level, as a minimum. The level of accuracy should be determined based on the scale and complexity of this investment. </w:t>
            </w:r>
          </w:p>
          <w:p w14:paraId="39562054" w14:textId="31EB73BC" w:rsidR="00CC6ED9" w:rsidRPr="0042214E" w:rsidRDefault="00CC6ED9" w:rsidP="000944D6">
            <w:pPr>
              <w:pStyle w:val="Tablebullet"/>
            </w:pPr>
            <w:r w:rsidRPr="0042214E">
              <w:t>Provide assumptions and precedent projects to justify costs and benefits used.</w:t>
            </w:r>
          </w:p>
          <w:p w14:paraId="2A1DDF22" w14:textId="77777777" w:rsidR="009F6370" w:rsidRPr="0042214E" w:rsidRDefault="00CC6ED9" w:rsidP="000944D6">
            <w:pPr>
              <w:pStyle w:val="Tablebullet"/>
            </w:pPr>
            <w:r w:rsidRPr="0042214E">
              <w:t>Agencies should discount impacts back to present values using the recommended discount rate.</w:t>
            </w:r>
          </w:p>
          <w:p w14:paraId="700978C6" w14:textId="342F3FF0" w:rsidR="00CC6ED9" w:rsidRPr="0042214E" w:rsidRDefault="00CC6ED9" w:rsidP="000944D6">
            <w:pPr>
              <w:pStyle w:val="Tablebullet"/>
            </w:pPr>
            <w:r w:rsidRPr="0042214E">
              <w:t>An appropriate quantitative assessment tool (</w:t>
            </w:r>
            <w:r w:rsidR="00126E61" w:rsidRPr="0042214E">
              <w:t>e.g.,</w:t>
            </w:r>
            <w:r w:rsidRPr="0042214E">
              <w:t xml:space="preserve"> NPV or benefit cost ratio) should rank the </w:t>
            </w:r>
            <w:r w:rsidR="009B45D9" w:rsidRPr="0042214E">
              <w:t xml:space="preserve">project </w:t>
            </w:r>
            <w:r w:rsidRPr="0042214E">
              <w:t>options as a significant component of the project option selection.</w:t>
            </w:r>
          </w:p>
        </w:tc>
      </w:tr>
    </w:tbl>
    <w:p w14:paraId="6BA99671" w14:textId="77777777" w:rsidR="00104E20" w:rsidRDefault="00104E20" w:rsidP="00104E20">
      <w:bookmarkStart w:id="139" w:name="_Toc20816243"/>
      <w:bookmarkStart w:id="140" w:name="_Toc20816244"/>
      <w:bookmarkStart w:id="141" w:name="_Toc20816245"/>
      <w:bookmarkStart w:id="142" w:name="_Toc20816246"/>
      <w:bookmarkStart w:id="143" w:name="_Toc20816247"/>
      <w:bookmarkStart w:id="144" w:name="_Toc20816248"/>
      <w:bookmarkStart w:id="145" w:name="_Toc20816249"/>
      <w:bookmarkStart w:id="146" w:name="_Toc20816250"/>
      <w:bookmarkStart w:id="147" w:name="_Toc20816251"/>
      <w:bookmarkEnd w:id="139"/>
      <w:bookmarkEnd w:id="140"/>
      <w:bookmarkEnd w:id="141"/>
      <w:bookmarkEnd w:id="142"/>
      <w:bookmarkEnd w:id="143"/>
      <w:bookmarkEnd w:id="144"/>
      <w:bookmarkEnd w:id="145"/>
      <w:bookmarkEnd w:id="146"/>
      <w:bookmarkEnd w:id="147"/>
    </w:p>
    <w:p w14:paraId="0CD9626A" w14:textId="77777777" w:rsidR="00104E20" w:rsidRDefault="00104E20">
      <w:pPr>
        <w:keepLines w:val="0"/>
        <w:spacing w:line="264" w:lineRule="auto"/>
        <w:rPr>
          <w:rFonts w:asciiTheme="majorHAnsi" w:eastAsiaTheme="majorEastAsia" w:hAnsiTheme="majorHAnsi" w:cstheme="majorBidi"/>
          <w:b/>
          <w:bCs/>
          <w:color w:val="53565A" w:themeColor="text2"/>
          <w:sz w:val="22"/>
          <w:szCs w:val="22"/>
        </w:rPr>
      </w:pPr>
      <w:r>
        <w:br w:type="page"/>
      </w:r>
    </w:p>
    <w:p w14:paraId="61E6D2FD" w14:textId="63FD70B3" w:rsidR="006450B5" w:rsidRPr="0042214E" w:rsidRDefault="006450B5" w:rsidP="005E1934">
      <w:pPr>
        <w:pStyle w:val="Heading3numbered"/>
      </w:pPr>
      <w:bookmarkStart w:id="148" w:name="_Toc121415319"/>
      <w:r w:rsidRPr="0042214E">
        <w:lastRenderedPageBreak/>
        <w:t>Risk assessment</w:t>
      </w:r>
      <w:r w:rsidR="00AE6BA6" w:rsidRPr="0042214E">
        <w:t xml:space="preserve"> in response option</w:t>
      </w:r>
      <w:r w:rsidR="00A51381" w:rsidRPr="0042214E">
        <w:t>s</w:t>
      </w:r>
      <w:r w:rsidR="00AE6BA6" w:rsidRPr="0042214E">
        <w:t xml:space="preserve"> assessment</w:t>
      </w:r>
      <w:bookmarkEnd w:id="148"/>
    </w:p>
    <w:p w14:paraId="6F391DDB" w14:textId="4B9602F4" w:rsidR="006450B5" w:rsidRPr="0042214E" w:rsidRDefault="006450B5" w:rsidP="006B713F">
      <w:pPr>
        <w:pStyle w:val="NormalIndent"/>
      </w:pPr>
      <w:r w:rsidRPr="0042214E">
        <w:t xml:space="preserve">The risk assessment focuses on each </w:t>
      </w:r>
      <w:r w:rsidR="007D69C4" w:rsidRPr="0042214E">
        <w:t xml:space="preserve">project </w:t>
      </w:r>
      <w:r w:rsidRPr="0042214E">
        <w:t>option</w:t>
      </w:r>
      <w:r w:rsidR="007D69C4" w:rsidRPr="0042214E">
        <w:t>’</w:t>
      </w:r>
      <w:r w:rsidRPr="0042214E">
        <w:t xml:space="preserve">s risks. Agencies should choose a methodology for identifying project risks, mitigation treatments as well as a method of evaluating the risks as part of the project option assessment. </w:t>
      </w:r>
    </w:p>
    <w:tbl>
      <w:tblPr>
        <w:tblStyle w:val="DTFfinancialtableindent"/>
        <w:tblW w:w="0" w:type="auto"/>
        <w:tblLook w:val="0680" w:firstRow="0" w:lastRow="0" w:firstColumn="1" w:lastColumn="0" w:noHBand="1" w:noVBand="1"/>
      </w:tblPr>
      <w:tblGrid>
        <w:gridCol w:w="8377"/>
      </w:tblGrid>
      <w:tr w:rsidR="00CC6ED9" w:rsidRPr="0042214E" w14:paraId="1EC540D4" w14:textId="77777777" w:rsidTr="000944D6">
        <w:tc>
          <w:tcPr>
            <w:cnfStyle w:val="001000000000" w:firstRow="0" w:lastRow="0" w:firstColumn="1" w:lastColumn="0" w:oddVBand="0" w:evenVBand="0" w:oddHBand="0" w:evenHBand="0" w:firstRowFirstColumn="0" w:firstRowLastColumn="0" w:lastRowFirstColumn="0" w:lastRowLastColumn="0"/>
            <w:tcW w:w="8719" w:type="dxa"/>
          </w:tcPr>
          <w:p w14:paraId="134CF6C7" w14:textId="0924C861" w:rsidR="00CC6ED9" w:rsidRPr="0042214E" w:rsidRDefault="00CC6ED9" w:rsidP="000944D6">
            <w:pPr>
              <w:pStyle w:val="Tabletextbold"/>
              <w:rPr>
                <w:sz w:val="20"/>
              </w:rPr>
            </w:pPr>
            <w:r w:rsidRPr="0042214E">
              <w:rPr>
                <w:sz w:val="20"/>
              </w:rPr>
              <w:t>Risk assessment in response options assessment (fictional hospital example)</w:t>
            </w:r>
          </w:p>
          <w:p w14:paraId="0AA3F5C1" w14:textId="04162C31" w:rsidR="00CC6ED9" w:rsidRPr="0042214E" w:rsidRDefault="00CC6ED9" w:rsidP="000944D6">
            <w:pPr>
              <w:pStyle w:val="Tabletext"/>
            </w:pPr>
            <w:r w:rsidRPr="0042214E">
              <w:t xml:space="preserve">A business case describes the process through which risks of project options have been assessed and addressed. This can provide assurance that project risks are well understood and reflected in cost estimates. This case study provides an example of how this requirement might be met for a fictional new hospital facility. </w:t>
            </w:r>
          </w:p>
          <w:p w14:paraId="4F17AF33" w14:textId="5C6AEFFA" w:rsidR="00CC6ED9" w:rsidRPr="0042214E" w:rsidRDefault="00CC6ED9" w:rsidP="000944D6">
            <w:pPr>
              <w:pStyle w:val="Tabletextbold"/>
            </w:pPr>
            <w:r w:rsidRPr="0042214E">
              <w:t>Risk comparison</w:t>
            </w:r>
          </w:p>
          <w:p w14:paraId="5AA9194F" w14:textId="77777777" w:rsidR="00CC6ED9" w:rsidRPr="0042214E" w:rsidRDefault="00CC6ED9" w:rsidP="000944D6">
            <w:pPr>
              <w:pStyle w:val="Tabletext"/>
            </w:pPr>
            <w:r w:rsidRPr="0042214E">
              <w:t>Project option risks were identified and quantified through a staged process involving two project risk workshops. The workshops included two external experts and senior staff from the Department of Good Health. The initial workshop confirmed generic project risks and developed a draft risk register in the same format as hospital project Y. A second workshop was held to quantify risks for each project option to include in the financial cost estimates. At the workshop:</w:t>
            </w:r>
          </w:p>
          <w:p w14:paraId="243CC71D" w14:textId="593C8DA9" w:rsidR="00CC6ED9" w:rsidRPr="0042214E" w:rsidRDefault="009A0215" w:rsidP="000944D6">
            <w:pPr>
              <w:pStyle w:val="Tablebullet"/>
              <w:contextualSpacing/>
            </w:pPr>
            <w:r w:rsidRPr="0042214E">
              <w:t xml:space="preserve">the </w:t>
            </w:r>
            <w:r w:rsidR="00CC6ED9" w:rsidRPr="0042214E">
              <w:t xml:space="preserve">risk assessment framework was confirmed. This involved </w:t>
            </w:r>
            <w:r w:rsidR="001F2159" w:rsidRPr="0042214E">
              <w:t>high-</w:t>
            </w:r>
            <w:r w:rsidR="00CC6ED9" w:rsidRPr="0042214E">
              <w:t xml:space="preserve">level assessments of the likelihood (probability of occurrence) and the consequence (impact on costs) of each risk, for each project </w:t>
            </w:r>
            <w:proofErr w:type="gramStart"/>
            <w:r w:rsidR="00CC6ED9" w:rsidRPr="0042214E">
              <w:t>option;</w:t>
            </w:r>
            <w:proofErr w:type="gramEnd"/>
          </w:p>
          <w:p w14:paraId="4AAF6E17" w14:textId="50DE19D6" w:rsidR="00CC6ED9" w:rsidRPr="0042214E" w:rsidRDefault="009A0215" w:rsidP="000944D6">
            <w:pPr>
              <w:pStyle w:val="Tablebullet"/>
              <w:contextualSpacing/>
            </w:pPr>
            <w:r w:rsidRPr="0042214E">
              <w:t xml:space="preserve">major </w:t>
            </w:r>
            <w:r w:rsidR="00CC6ED9" w:rsidRPr="0042214E">
              <w:t>project risks for each option were assigned as impacting on capital or operating costs or both; and</w:t>
            </w:r>
          </w:p>
          <w:p w14:paraId="471F37EE" w14:textId="7A762305" w:rsidR="00CC6ED9" w:rsidRPr="0042214E" w:rsidRDefault="009A0215" w:rsidP="000944D6">
            <w:pPr>
              <w:pStyle w:val="Tablebullet"/>
              <w:contextualSpacing/>
            </w:pPr>
            <w:r w:rsidRPr="0042214E">
              <w:t xml:space="preserve">risks </w:t>
            </w:r>
            <w:r w:rsidR="00CC6ED9" w:rsidRPr="0042214E">
              <w:t xml:space="preserve">were assessed within this framework, based on the professional judgement of workshop attendees, and </w:t>
            </w:r>
            <w:proofErr w:type="gramStart"/>
            <w:r w:rsidR="00CC6ED9" w:rsidRPr="0042214E">
              <w:t>taking into account</w:t>
            </w:r>
            <w:proofErr w:type="gramEnd"/>
            <w:r w:rsidR="00CC6ED9" w:rsidRPr="0042214E">
              <w:t xml:space="preserve"> the extent risks could be mitigated through management strategies likely to be deployed for each option. </w:t>
            </w:r>
          </w:p>
          <w:p w14:paraId="13B17B8E" w14:textId="4B2DA6D5" w:rsidR="00CC6ED9" w:rsidRPr="0042214E" w:rsidRDefault="00CC6ED9" w:rsidP="000944D6">
            <w:pPr>
              <w:pStyle w:val="Tabletext"/>
            </w:pPr>
            <w:r w:rsidRPr="0042214E">
              <w:t>Risks that were minor and difficult to quantify were classified as non</w:t>
            </w:r>
            <w:r w:rsidR="00034452" w:rsidRPr="0042214E">
              <w:noBreakHyphen/>
            </w:r>
            <w:r w:rsidRPr="0042214E">
              <w:t xml:space="preserve">quantifiable and recorded as such. This workshop produced expected values of project risks to serve as financial risk adjustments for each option. </w:t>
            </w:r>
          </w:p>
          <w:p w14:paraId="041117A8" w14:textId="1ADDC51D" w:rsidR="00CC6ED9" w:rsidRPr="0042214E" w:rsidRDefault="00CC6ED9" w:rsidP="000944D6">
            <w:pPr>
              <w:pStyle w:val="Tabletext"/>
            </w:pPr>
            <w:r w:rsidRPr="0042214E">
              <w:t>The final risk adjustments were validated through a comparison against benchmarks for similar projects. The risk analysis has been incorporated into the financial analysis as a cost over and above the base cost. The contingency for each project option was confined to matters outside the risk assessment to prevent risks from being double counted.</w:t>
            </w:r>
          </w:p>
        </w:tc>
      </w:tr>
    </w:tbl>
    <w:p w14:paraId="38D27A7A" w14:textId="283D351A" w:rsidR="00CC6ED9" w:rsidRPr="0042214E" w:rsidRDefault="00CC6ED9" w:rsidP="00104E20"/>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CC6ED9" w:rsidRPr="0042214E" w14:paraId="6E1599F2" w14:textId="77777777" w:rsidTr="00F66F26">
        <w:tc>
          <w:tcPr>
            <w:tcW w:w="8719" w:type="dxa"/>
            <w:shd w:val="clear" w:color="auto" w:fill="FDF3EA" w:themeFill="accent5" w:themeFillTint="33"/>
          </w:tcPr>
          <w:p w14:paraId="63A22417" w14:textId="329E285C" w:rsidR="00CC6ED9" w:rsidRPr="0042214E" w:rsidRDefault="00CC6ED9" w:rsidP="00F66F26">
            <w:pPr>
              <w:pStyle w:val="Tabletextbold"/>
            </w:pPr>
            <w:r w:rsidRPr="0042214E">
              <w:t xml:space="preserve">Business case information requirements for risk assessment of </w:t>
            </w:r>
            <w:r w:rsidR="007D69C4" w:rsidRPr="0042214E">
              <w:t xml:space="preserve">project </w:t>
            </w:r>
            <w:r w:rsidRPr="0042214E">
              <w:t xml:space="preserve">options </w:t>
            </w:r>
          </w:p>
          <w:p w14:paraId="5E4F78B2" w14:textId="77777777" w:rsidR="00CC6ED9" w:rsidRPr="0042214E" w:rsidRDefault="00CC6ED9" w:rsidP="00F66F26">
            <w:pPr>
              <w:pStyle w:val="Tablebullet"/>
            </w:pPr>
            <w:r w:rsidRPr="0042214E">
              <w:t>A description of the risk assessment methodology undertaken.</w:t>
            </w:r>
          </w:p>
          <w:p w14:paraId="29D6258C" w14:textId="77777777" w:rsidR="00CC6ED9" w:rsidRPr="0042214E" w:rsidRDefault="00CC6ED9" w:rsidP="00F66F26">
            <w:pPr>
              <w:pStyle w:val="Tablebullet"/>
            </w:pPr>
            <w:r w:rsidRPr="0042214E">
              <w:t xml:space="preserve">Outline the risk profile of the investment, including risk causes, </w:t>
            </w:r>
            <w:proofErr w:type="gramStart"/>
            <w:r w:rsidRPr="0042214E">
              <w:t>events</w:t>
            </w:r>
            <w:proofErr w:type="gramEnd"/>
            <w:r w:rsidRPr="0042214E">
              <w:t xml:space="preserve"> and responses/mitigation strategies.</w:t>
            </w:r>
          </w:p>
          <w:p w14:paraId="78C9BAF1" w14:textId="1249B8D4" w:rsidR="00CC6ED9" w:rsidRPr="0042214E" w:rsidRDefault="00CC6ED9" w:rsidP="00F66F26">
            <w:pPr>
              <w:pStyle w:val="Tablebullet"/>
            </w:pPr>
            <w:r w:rsidRPr="0042214E">
              <w:t xml:space="preserve">Summarise the key risks to incorporate into the integrated analysis of the </w:t>
            </w:r>
            <w:r w:rsidR="007D69C4" w:rsidRPr="0042214E">
              <w:t>project</w:t>
            </w:r>
            <w:r w:rsidRPr="0042214E">
              <w:t xml:space="preserve"> options.</w:t>
            </w:r>
          </w:p>
        </w:tc>
      </w:tr>
    </w:tbl>
    <w:p w14:paraId="094BBA02" w14:textId="77777777" w:rsidR="00104E20" w:rsidRDefault="00104E20" w:rsidP="00104E20"/>
    <w:p w14:paraId="5A188998" w14:textId="77777777" w:rsidR="00104E20" w:rsidRDefault="00104E20">
      <w:pPr>
        <w:keepLines w:val="0"/>
        <w:spacing w:line="264" w:lineRule="auto"/>
        <w:rPr>
          <w:rFonts w:asciiTheme="majorHAnsi" w:eastAsiaTheme="majorEastAsia" w:hAnsiTheme="majorHAnsi" w:cstheme="majorBidi"/>
          <w:b/>
          <w:bCs/>
          <w:color w:val="53565A" w:themeColor="text2"/>
          <w:sz w:val="22"/>
          <w:szCs w:val="22"/>
        </w:rPr>
      </w:pPr>
      <w:r>
        <w:br w:type="page"/>
      </w:r>
    </w:p>
    <w:p w14:paraId="3324E20D" w14:textId="392BA2FD" w:rsidR="00401F03" w:rsidRPr="0042214E" w:rsidRDefault="00401F03" w:rsidP="005E1934">
      <w:pPr>
        <w:pStyle w:val="Heading3numbered"/>
      </w:pPr>
      <w:bookmarkStart w:id="149" w:name="_Toc121415320"/>
      <w:r w:rsidRPr="0042214E">
        <w:lastRenderedPageBreak/>
        <w:t>Options analysis and uncertainty</w:t>
      </w:r>
      <w:bookmarkEnd w:id="149"/>
    </w:p>
    <w:p w14:paraId="2900C8E4" w14:textId="536DE601" w:rsidR="00401F03" w:rsidRPr="0042214E" w:rsidRDefault="00401F03" w:rsidP="006B713F">
      <w:pPr>
        <w:pStyle w:val="NormalIndent"/>
      </w:pPr>
      <w:r w:rsidRPr="0042214E">
        <w:t xml:space="preserve">While a CBA can help deal with risk and uncertainty associated with </w:t>
      </w:r>
      <w:proofErr w:type="gramStart"/>
      <w:r w:rsidRPr="0042214E">
        <w:t>particular impacts</w:t>
      </w:r>
      <w:proofErr w:type="gramEnd"/>
      <w:r w:rsidRPr="0042214E">
        <w:t xml:space="preserve"> through the use of techniques such as sensitivity analysis and scenario analysis, there may be a need for a more in</w:t>
      </w:r>
      <w:r w:rsidR="00034452" w:rsidRPr="0042214E">
        <w:noBreakHyphen/>
      </w:r>
      <w:r w:rsidRPr="0042214E">
        <w:t>depth approach when faced with significant uncertainty.</w:t>
      </w:r>
    </w:p>
    <w:p w14:paraId="1E27A733" w14:textId="24CBD081" w:rsidR="00401F03" w:rsidRPr="0042214E" w:rsidRDefault="00401F03" w:rsidP="006B713F">
      <w:pPr>
        <w:pStyle w:val="NormalIndent"/>
      </w:pPr>
      <w:r w:rsidRPr="0042214E">
        <w:t xml:space="preserve">Where it has been demonstrated that this investment is subject to significant uncertainty, real options should be used in the analysis. For instance, if there is uncertainty regarding the NPV of a project option, it can be difficult to distinguish from alternatives. A </w:t>
      </w:r>
      <w:r w:rsidR="00706DC1" w:rsidRPr="0042214E">
        <w:t>low-</w:t>
      </w:r>
      <w:r w:rsidRPr="0042214E">
        <w:t>risk, low NPV project option may be preferred to an alternative with higher NPV but more uncertain net benefits. Real options can be used to determine the preferred project option.</w:t>
      </w:r>
    </w:p>
    <w:p w14:paraId="7246173B" w14:textId="77777777" w:rsidR="00401F03" w:rsidRPr="0042214E" w:rsidRDefault="00401F03" w:rsidP="006B713F">
      <w:pPr>
        <w:pStyle w:val="NormalIndent"/>
      </w:pPr>
      <w:r w:rsidRPr="0042214E">
        <w:t>For each project option that is subject to uncertainty, a strategy for</w:t>
      </w:r>
      <w:r w:rsidRPr="0042214E">
        <w:rPr>
          <w:b/>
        </w:rPr>
        <w:t xml:space="preserve"> </w:t>
      </w:r>
      <w:r w:rsidRPr="0042214E">
        <w:rPr>
          <w:b/>
          <w:color w:val="E57200" w:themeColor="accent2"/>
        </w:rPr>
        <w:t>responding to that uncertainty</w:t>
      </w:r>
      <w:r w:rsidRPr="0042214E">
        <w:t xml:space="preserve"> should be developed in the form of a series of decisions. Those decisions may be to:</w:t>
      </w:r>
    </w:p>
    <w:p w14:paraId="05F62C1F" w14:textId="77777777" w:rsidR="00401F03" w:rsidRPr="0042214E" w:rsidRDefault="00401F03" w:rsidP="00F66F26">
      <w:pPr>
        <w:pStyle w:val="Bulletindent"/>
      </w:pPr>
      <w:r w:rsidRPr="0042214E">
        <w:t xml:space="preserve">grow or accelerate the investment on the basis of new information or under more favourable investment </w:t>
      </w:r>
      <w:proofErr w:type="gramStart"/>
      <w:r w:rsidRPr="0042214E">
        <w:t>conditions;</w:t>
      </w:r>
      <w:proofErr w:type="gramEnd"/>
    </w:p>
    <w:p w14:paraId="50075423" w14:textId="77777777" w:rsidR="00401F03" w:rsidRPr="0042214E" w:rsidRDefault="00401F03" w:rsidP="00F66F26">
      <w:pPr>
        <w:pStyle w:val="Bulletindent"/>
      </w:pPr>
      <w:r w:rsidRPr="0042214E">
        <w:t>abandon, contract or delay the investment under less favourable conditions; and</w:t>
      </w:r>
    </w:p>
    <w:p w14:paraId="4433A95E" w14:textId="77777777" w:rsidR="00401F03" w:rsidRPr="0042214E" w:rsidRDefault="00401F03" w:rsidP="00F66F26">
      <w:pPr>
        <w:pStyle w:val="Bulletindent"/>
      </w:pPr>
      <w:r w:rsidRPr="0042214E">
        <w:t>switch inputs or outputs for instance in the event of changes in prices or demand.</w:t>
      </w:r>
    </w:p>
    <w:p w14:paraId="0CF54F26" w14:textId="4D43121B" w:rsidR="00401F03" w:rsidRPr="0042214E" w:rsidRDefault="00401F03" w:rsidP="006B713F">
      <w:pPr>
        <w:pStyle w:val="NormalIndent"/>
      </w:pPr>
      <w:r w:rsidRPr="0042214E">
        <w:t xml:space="preserve">The </w:t>
      </w:r>
      <w:r w:rsidRPr="00922978">
        <w:rPr>
          <w:b/>
          <w:color w:val="E57200" w:themeColor="accent2"/>
        </w:rPr>
        <w:t>Real Options Analysis</w:t>
      </w:r>
      <w:r w:rsidRPr="00922978">
        <w:rPr>
          <w:color w:val="E57200" w:themeColor="accent2"/>
        </w:rPr>
        <w:t xml:space="preserve"> </w:t>
      </w:r>
      <w:r w:rsidRPr="0042214E">
        <w:t xml:space="preserve">technical guide provides practical guidance on applying real options. </w:t>
      </w:r>
    </w:p>
    <w:p w14:paraId="211A7498" w14:textId="77777777" w:rsidR="00984C09" w:rsidRPr="0042214E" w:rsidRDefault="00984C09" w:rsidP="00984C09">
      <w:pPr>
        <w:pStyle w:val="Spacer"/>
      </w:pPr>
    </w:p>
    <w:tbl>
      <w:tblPr>
        <w:tblStyle w:val="DTFfinancialtableindent"/>
        <w:tblW w:w="0" w:type="auto"/>
        <w:tblLook w:val="0680" w:firstRow="0" w:lastRow="0" w:firstColumn="1" w:lastColumn="0" w:noHBand="1" w:noVBand="1"/>
      </w:tblPr>
      <w:tblGrid>
        <w:gridCol w:w="8377"/>
      </w:tblGrid>
      <w:tr w:rsidR="00401F03" w:rsidRPr="0042214E" w14:paraId="55316016" w14:textId="77777777" w:rsidTr="00984C09">
        <w:tc>
          <w:tcPr>
            <w:cnfStyle w:val="001000000000" w:firstRow="0" w:lastRow="0" w:firstColumn="1" w:lastColumn="0" w:oddVBand="0" w:evenVBand="0" w:oddHBand="0" w:evenHBand="0" w:firstRowFirstColumn="0" w:firstRowLastColumn="0" w:lastRowFirstColumn="0" w:lastRowLastColumn="0"/>
            <w:tcW w:w="8719" w:type="dxa"/>
          </w:tcPr>
          <w:p w14:paraId="39EA09AC" w14:textId="77777777" w:rsidR="00401F03" w:rsidRPr="0042214E" w:rsidRDefault="00401F03" w:rsidP="00984C09">
            <w:pPr>
              <w:pStyle w:val="Tabletextbold"/>
              <w:rPr>
                <w:sz w:val="20"/>
              </w:rPr>
            </w:pPr>
            <w:r w:rsidRPr="0042214E">
              <w:rPr>
                <w:sz w:val="20"/>
              </w:rPr>
              <w:t>Real options economic evaluation (fictional transport example)</w:t>
            </w:r>
          </w:p>
          <w:p w14:paraId="6281CD0B" w14:textId="77777777" w:rsidR="00401F03" w:rsidRPr="0042214E" w:rsidRDefault="00401F03" w:rsidP="00984C09">
            <w:pPr>
              <w:pStyle w:val="Tabletext"/>
            </w:pPr>
            <w:r w:rsidRPr="0042214E">
              <w:t xml:space="preserve">Where uncertainty exists, the economic evaluation should be conducted using real options. </w:t>
            </w:r>
          </w:p>
          <w:p w14:paraId="28A41CBA" w14:textId="77777777" w:rsidR="00401F03" w:rsidRPr="0042214E" w:rsidRDefault="00401F03" w:rsidP="00984C09">
            <w:pPr>
              <w:pStyle w:val="Tabletextbold"/>
            </w:pPr>
            <w:r w:rsidRPr="0042214E">
              <w:t>Detailed CBA</w:t>
            </w:r>
          </w:p>
          <w:p w14:paraId="03259E2A" w14:textId="376DC0F2" w:rsidR="00401F03" w:rsidRPr="0042214E" w:rsidRDefault="00401F03" w:rsidP="00984C09">
            <w:pPr>
              <w:pStyle w:val="Tabletext"/>
            </w:pPr>
            <w:r w:rsidRPr="0042214E">
              <w:t xml:space="preserve">In this study there are </w:t>
            </w:r>
            <w:proofErr w:type="gramStart"/>
            <w:r w:rsidRPr="0042214E">
              <w:t>a number of</w:t>
            </w:r>
            <w:proofErr w:type="gramEnd"/>
            <w:r w:rsidRPr="0042214E">
              <w:t xml:space="preserve"> uncertainties. For instance, Project Option 2 passes near residential </w:t>
            </w:r>
            <w:r w:rsidR="00706DC1" w:rsidRPr="0042214E">
              <w:t xml:space="preserve">areas </w:t>
            </w:r>
            <w:r w:rsidRPr="0042214E">
              <w:t>using trees for noise suppression. Modelling indicates that this has a 75</w:t>
            </w:r>
            <w:r w:rsidR="00034452" w:rsidRPr="0042214E">
              <w:t> per cent</w:t>
            </w:r>
            <w:r w:rsidRPr="0042214E">
              <w:t xml:space="preserve"> chance of providing the necessary noise suppression. If it does not provide adequate suppression, the construction costs will increase by 22</w:t>
            </w:r>
            <w:r w:rsidR="00984C09" w:rsidRPr="0042214E">
              <w:t> per cent</w:t>
            </w:r>
            <w:r w:rsidRPr="0042214E">
              <w:t xml:space="preserve"> to </w:t>
            </w:r>
            <w:proofErr w:type="gramStart"/>
            <w:r w:rsidRPr="0042214E">
              <w:t>take into account</w:t>
            </w:r>
            <w:proofErr w:type="gramEnd"/>
            <w:r w:rsidRPr="0042214E">
              <w:t xml:space="preserve"> the need to retrofit the solution. Alternatively, the road could be redirected further away from the residential areas, in which case the costs would increase by 5</w:t>
            </w:r>
            <w:r w:rsidR="00034452" w:rsidRPr="0042214E">
              <w:t> per cent</w:t>
            </w:r>
            <w:r w:rsidRPr="0042214E">
              <w:t xml:space="preserve"> if the suppression is successful</w:t>
            </w:r>
            <w:r w:rsidR="00706DC1" w:rsidRPr="0042214E">
              <w:t>,</w:t>
            </w:r>
            <w:r w:rsidRPr="0042214E">
              <w:t xml:space="preserve"> or 30</w:t>
            </w:r>
            <w:r w:rsidR="00984C09" w:rsidRPr="0042214E">
              <w:t xml:space="preserve"> per cent</w:t>
            </w:r>
            <w:r w:rsidRPr="0042214E">
              <w:t xml:space="preserve"> if not. Redirection by itself has an 85</w:t>
            </w:r>
            <w:r w:rsidR="00984C09" w:rsidRPr="0042214E">
              <w:t xml:space="preserve"> per cent</w:t>
            </w:r>
            <w:r w:rsidRPr="0042214E">
              <w:t xml:space="preserve"> chance of successful noise amelioration.</w:t>
            </w:r>
          </w:p>
        </w:tc>
      </w:tr>
      <w:tr w:rsidR="00984C09" w:rsidRPr="0042214E" w14:paraId="3A0CFB5F" w14:textId="77777777" w:rsidTr="00984C09">
        <w:trPr>
          <w:cantSplit/>
        </w:trPr>
        <w:tc>
          <w:tcPr>
            <w:cnfStyle w:val="001000000000" w:firstRow="0" w:lastRow="0" w:firstColumn="1" w:lastColumn="0" w:oddVBand="0" w:evenVBand="0" w:oddHBand="0" w:evenHBand="0" w:firstRowFirstColumn="0" w:firstRowLastColumn="0" w:lastRowFirstColumn="0" w:lastRowLastColumn="0"/>
            <w:tcW w:w="8719" w:type="dxa"/>
          </w:tcPr>
          <w:p w14:paraId="2C5C7378" w14:textId="77777777" w:rsidR="00984C09" w:rsidRPr="0042214E" w:rsidRDefault="00984C09" w:rsidP="00984C09">
            <w:pPr>
              <w:pStyle w:val="Spacer"/>
            </w:pPr>
          </w:p>
          <w:tbl>
            <w:tblPr>
              <w:tblStyle w:val="DTFtexttable1"/>
              <w:tblW w:w="8157" w:type="dxa"/>
              <w:tblInd w:w="80" w:type="dxa"/>
              <w:tblLook w:val="06A0" w:firstRow="1" w:lastRow="0" w:firstColumn="1" w:lastColumn="0" w:noHBand="1" w:noVBand="1"/>
            </w:tblPr>
            <w:tblGrid>
              <w:gridCol w:w="3189"/>
              <w:gridCol w:w="1242"/>
              <w:gridCol w:w="1242"/>
              <w:gridCol w:w="1242"/>
              <w:gridCol w:w="1242"/>
            </w:tblGrid>
            <w:tr w:rsidR="00984C09" w:rsidRPr="0042214E" w14:paraId="77865DC1" w14:textId="77777777" w:rsidTr="00A973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89" w:type="dxa"/>
                </w:tcPr>
                <w:p w14:paraId="71C6808F" w14:textId="77777777" w:rsidR="00984C09" w:rsidRPr="0042214E" w:rsidRDefault="00984C09" w:rsidP="00984C09">
                  <w:pPr>
                    <w:rPr>
                      <w:szCs w:val="17"/>
                    </w:rPr>
                  </w:pPr>
                  <w:r w:rsidRPr="0042214E">
                    <w:rPr>
                      <w:szCs w:val="17"/>
                    </w:rPr>
                    <w:t>Item</w:t>
                  </w:r>
                </w:p>
              </w:tc>
              <w:tc>
                <w:tcPr>
                  <w:tcW w:w="1242" w:type="dxa"/>
                </w:tcPr>
                <w:p w14:paraId="673ED01A" w14:textId="77777777" w:rsidR="00984C09" w:rsidRPr="0042214E" w:rsidRDefault="00984C09" w:rsidP="00984C09">
                  <w:pPr>
                    <w:jc w:val="right"/>
                    <w:cnfStyle w:val="100000000000" w:firstRow="1" w:lastRow="0" w:firstColumn="0" w:lastColumn="0" w:oddVBand="0" w:evenVBand="0" w:oddHBand="0" w:evenHBand="0" w:firstRowFirstColumn="0" w:firstRowLastColumn="0" w:lastRowFirstColumn="0" w:lastRowLastColumn="0"/>
                    <w:rPr>
                      <w:szCs w:val="17"/>
                    </w:rPr>
                  </w:pPr>
                  <w:r w:rsidRPr="0042214E">
                    <w:rPr>
                      <w:szCs w:val="17"/>
                    </w:rPr>
                    <w:t>Option 1</w:t>
                  </w:r>
                </w:p>
                <w:p w14:paraId="6FC273D9" w14:textId="77777777" w:rsidR="00984C09" w:rsidRPr="0042214E" w:rsidRDefault="00984C09" w:rsidP="00984C09">
                  <w:pPr>
                    <w:jc w:val="right"/>
                    <w:cnfStyle w:val="100000000000" w:firstRow="1" w:lastRow="0" w:firstColumn="0" w:lastColumn="0" w:oddVBand="0" w:evenVBand="0" w:oddHBand="0" w:evenHBand="0" w:firstRowFirstColumn="0" w:firstRowLastColumn="0" w:lastRowFirstColumn="0" w:lastRowLastColumn="0"/>
                    <w:rPr>
                      <w:szCs w:val="17"/>
                    </w:rPr>
                  </w:pPr>
                  <w:r w:rsidRPr="0042214E">
                    <w:rPr>
                      <w:szCs w:val="17"/>
                    </w:rPr>
                    <w:t>No redirection</w:t>
                  </w:r>
                  <w:r w:rsidRPr="0042214E">
                    <w:rPr>
                      <w:szCs w:val="17"/>
                    </w:rPr>
                    <w:br/>
                    <w:t>No extra suppression</w:t>
                  </w:r>
                </w:p>
              </w:tc>
              <w:tc>
                <w:tcPr>
                  <w:tcW w:w="1242" w:type="dxa"/>
                </w:tcPr>
                <w:p w14:paraId="11E33615" w14:textId="77777777" w:rsidR="00984C09" w:rsidRPr="0042214E" w:rsidRDefault="00984C09" w:rsidP="00984C09">
                  <w:pPr>
                    <w:jc w:val="right"/>
                    <w:cnfStyle w:val="100000000000" w:firstRow="1" w:lastRow="0" w:firstColumn="0" w:lastColumn="0" w:oddVBand="0" w:evenVBand="0" w:oddHBand="0" w:evenHBand="0" w:firstRowFirstColumn="0" w:firstRowLastColumn="0" w:lastRowFirstColumn="0" w:lastRowLastColumn="0"/>
                    <w:rPr>
                      <w:szCs w:val="17"/>
                    </w:rPr>
                  </w:pPr>
                  <w:r w:rsidRPr="0042214E">
                    <w:rPr>
                      <w:szCs w:val="17"/>
                    </w:rPr>
                    <w:t>Option 2</w:t>
                  </w:r>
                </w:p>
                <w:p w14:paraId="549E8CFC" w14:textId="77777777" w:rsidR="00984C09" w:rsidRPr="0042214E" w:rsidRDefault="00984C09" w:rsidP="00984C09">
                  <w:pPr>
                    <w:jc w:val="right"/>
                    <w:cnfStyle w:val="100000000000" w:firstRow="1" w:lastRow="0" w:firstColumn="0" w:lastColumn="0" w:oddVBand="0" w:evenVBand="0" w:oddHBand="0" w:evenHBand="0" w:firstRowFirstColumn="0" w:firstRowLastColumn="0" w:lastRowFirstColumn="0" w:lastRowLastColumn="0"/>
                    <w:rPr>
                      <w:szCs w:val="17"/>
                    </w:rPr>
                  </w:pPr>
                  <w:r w:rsidRPr="0042214E">
                    <w:rPr>
                      <w:szCs w:val="17"/>
                    </w:rPr>
                    <w:t>No redirection</w:t>
                  </w:r>
                  <w:r w:rsidRPr="0042214E">
                    <w:rPr>
                      <w:szCs w:val="17"/>
                    </w:rPr>
                    <w:br/>
                    <w:t>Extra suppression</w:t>
                  </w:r>
                </w:p>
              </w:tc>
              <w:tc>
                <w:tcPr>
                  <w:tcW w:w="1242" w:type="dxa"/>
                </w:tcPr>
                <w:p w14:paraId="619372B7" w14:textId="77777777" w:rsidR="00984C09" w:rsidRPr="0042214E" w:rsidRDefault="00984C09" w:rsidP="00984C09">
                  <w:pPr>
                    <w:jc w:val="right"/>
                    <w:cnfStyle w:val="100000000000" w:firstRow="1" w:lastRow="0" w:firstColumn="0" w:lastColumn="0" w:oddVBand="0" w:evenVBand="0" w:oddHBand="0" w:evenHBand="0" w:firstRowFirstColumn="0" w:firstRowLastColumn="0" w:lastRowFirstColumn="0" w:lastRowLastColumn="0"/>
                    <w:rPr>
                      <w:szCs w:val="17"/>
                    </w:rPr>
                  </w:pPr>
                  <w:r w:rsidRPr="0042214E">
                    <w:rPr>
                      <w:szCs w:val="17"/>
                    </w:rPr>
                    <w:t>Option 3</w:t>
                  </w:r>
                </w:p>
                <w:p w14:paraId="70A4C825" w14:textId="77777777" w:rsidR="00984C09" w:rsidRPr="0042214E" w:rsidRDefault="00984C09" w:rsidP="00984C09">
                  <w:pPr>
                    <w:jc w:val="right"/>
                    <w:cnfStyle w:val="100000000000" w:firstRow="1" w:lastRow="0" w:firstColumn="0" w:lastColumn="0" w:oddVBand="0" w:evenVBand="0" w:oddHBand="0" w:evenHBand="0" w:firstRowFirstColumn="0" w:firstRowLastColumn="0" w:lastRowFirstColumn="0" w:lastRowLastColumn="0"/>
                    <w:rPr>
                      <w:szCs w:val="17"/>
                    </w:rPr>
                  </w:pPr>
                  <w:r w:rsidRPr="0042214E">
                    <w:rPr>
                      <w:szCs w:val="17"/>
                    </w:rPr>
                    <w:t>Redirection</w:t>
                  </w:r>
                  <w:r w:rsidRPr="0042214E">
                    <w:rPr>
                      <w:szCs w:val="17"/>
                    </w:rPr>
                    <w:br/>
                    <w:t>No extra suppression</w:t>
                  </w:r>
                </w:p>
              </w:tc>
              <w:tc>
                <w:tcPr>
                  <w:tcW w:w="1242" w:type="dxa"/>
                </w:tcPr>
                <w:p w14:paraId="7C9F2255" w14:textId="77777777" w:rsidR="00984C09" w:rsidRPr="0042214E" w:rsidRDefault="00984C09" w:rsidP="00984C09">
                  <w:pPr>
                    <w:jc w:val="right"/>
                    <w:cnfStyle w:val="100000000000" w:firstRow="1" w:lastRow="0" w:firstColumn="0" w:lastColumn="0" w:oddVBand="0" w:evenVBand="0" w:oddHBand="0" w:evenHBand="0" w:firstRowFirstColumn="0" w:firstRowLastColumn="0" w:lastRowFirstColumn="0" w:lastRowLastColumn="0"/>
                    <w:rPr>
                      <w:szCs w:val="17"/>
                    </w:rPr>
                  </w:pPr>
                  <w:r w:rsidRPr="0042214E">
                    <w:rPr>
                      <w:szCs w:val="17"/>
                    </w:rPr>
                    <w:t>Option 4</w:t>
                  </w:r>
                </w:p>
                <w:p w14:paraId="7FF5107C" w14:textId="77777777" w:rsidR="00984C09" w:rsidRPr="0042214E" w:rsidRDefault="00984C09" w:rsidP="00984C09">
                  <w:pPr>
                    <w:jc w:val="right"/>
                    <w:cnfStyle w:val="100000000000" w:firstRow="1" w:lastRow="0" w:firstColumn="0" w:lastColumn="0" w:oddVBand="0" w:evenVBand="0" w:oddHBand="0" w:evenHBand="0" w:firstRowFirstColumn="0" w:firstRowLastColumn="0" w:lastRowFirstColumn="0" w:lastRowLastColumn="0"/>
                    <w:rPr>
                      <w:szCs w:val="17"/>
                    </w:rPr>
                  </w:pPr>
                  <w:r w:rsidRPr="0042214E">
                    <w:rPr>
                      <w:szCs w:val="17"/>
                    </w:rPr>
                    <w:t>Redirection</w:t>
                  </w:r>
                  <w:r w:rsidRPr="0042214E">
                    <w:rPr>
                      <w:szCs w:val="17"/>
                    </w:rPr>
                    <w:br/>
                    <w:t>Extra suppression</w:t>
                  </w:r>
                </w:p>
              </w:tc>
            </w:tr>
            <w:tr w:rsidR="00984C09" w:rsidRPr="0042214E" w14:paraId="62AF4687" w14:textId="77777777" w:rsidTr="00602E19">
              <w:tc>
                <w:tcPr>
                  <w:cnfStyle w:val="001000000000" w:firstRow="0" w:lastRow="0" w:firstColumn="1" w:lastColumn="0" w:oddVBand="0" w:evenVBand="0" w:oddHBand="0" w:evenHBand="0" w:firstRowFirstColumn="0" w:firstRowLastColumn="0" w:lastRowFirstColumn="0" w:lastRowLastColumn="0"/>
                  <w:tcW w:w="3189" w:type="dxa"/>
                </w:tcPr>
                <w:p w14:paraId="78C7A6ED" w14:textId="77777777" w:rsidR="00984C09" w:rsidRPr="0042214E" w:rsidRDefault="00984C09" w:rsidP="00984C09">
                  <w:pPr>
                    <w:pStyle w:val="Tabletextbold"/>
                  </w:pPr>
                  <w:r w:rsidRPr="0042214E">
                    <w:t>Benefits – monetise</w:t>
                  </w:r>
                </w:p>
              </w:tc>
              <w:tc>
                <w:tcPr>
                  <w:tcW w:w="1242" w:type="dxa"/>
                </w:tcPr>
                <w:p w14:paraId="1E5BCF01" w14:textId="77777777" w:rsidR="00984C09" w:rsidRPr="0042214E" w:rsidRDefault="00984C09" w:rsidP="00984C09">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42" w:type="dxa"/>
                </w:tcPr>
                <w:p w14:paraId="43212B69" w14:textId="77777777" w:rsidR="00984C09" w:rsidRPr="0042214E" w:rsidRDefault="00984C09" w:rsidP="00984C09">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42" w:type="dxa"/>
                </w:tcPr>
                <w:p w14:paraId="6A8B3103" w14:textId="77777777" w:rsidR="00984C09" w:rsidRPr="0042214E" w:rsidRDefault="00984C09" w:rsidP="00984C09">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42" w:type="dxa"/>
                </w:tcPr>
                <w:p w14:paraId="78E42012" w14:textId="77777777" w:rsidR="00984C09" w:rsidRPr="0042214E" w:rsidRDefault="00984C09" w:rsidP="00984C0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84C09" w:rsidRPr="0042214E" w14:paraId="3D8B2DEC" w14:textId="77777777" w:rsidTr="00602E19">
              <w:tc>
                <w:tcPr>
                  <w:cnfStyle w:val="001000000000" w:firstRow="0" w:lastRow="0" w:firstColumn="1" w:lastColumn="0" w:oddVBand="0" w:evenVBand="0" w:oddHBand="0" w:evenHBand="0" w:firstRowFirstColumn="0" w:firstRowLastColumn="0" w:lastRowFirstColumn="0" w:lastRowLastColumn="0"/>
                  <w:tcW w:w="3189" w:type="dxa"/>
                </w:tcPr>
                <w:p w14:paraId="793189C6" w14:textId="77777777" w:rsidR="00984C09" w:rsidRPr="0042214E" w:rsidRDefault="00984C09" w:rsidP="00984C09">
                  <w:pPr>
                    <w:pStyle w:val="Tabletextindent"/>
                    <w:contextualSpacing/>
                  </w:pPr>
                  <w:r w:rsidRPr="0042214E">
                    <w:t>Travel time savings</w:t>
                  </w:r>
                </w:p>
              </w:tc>
              <w:tc>
                <w:tcPr>
                  <w:tcW w:w="1242" w:type="dxa"/>
                </w:tcPr>
                <w:p w14:paraId="7C7F5DDF"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$421 325</w:t>
                  </w:r>
                </w:p>
              </w:tc>
              <w:tc>
                <w:tcPr>
                  <w:tcW w:w="1242" w:type="dxa"/>
                </w:tcPr>
                <w:p w14:paraId="3D413869"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$421 325</w:t>
                  </w:r>
                </w:p>
              </w:tc>
              <w:tc>
                <w:tcPr>
                  <w:tcW w:w="1242" w:type="dxa"/>
                </w:tcPr>
                <w:p w14:paraId="0A1DEC7D"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$421 325</w:t>
                  </w:r>
                </w:p>
              </w:tc>
              <w:tc>
                <w:tcPr>
                  <w:tcW w:w="1242" w:type="dxa"/>
                </w:tcPr>
                <w:p w14:paraId="390630CE"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$421 325</w:t>
                  </w:r>
                </w:p>
              </w:tc>
            </w:tr>
            <w:tr w:rsidR="00984C09" w:rsidRPr="0042214E" w14:paraId="65041BF3" w14:textId="77777777" w:rsidTr="00602E19">
              <w:tc>
                <w:tcPr>
                  <w:cnfStyle w:val="001000000000" w:firstRow="0" w:lastRow="0" w:firstColumn="1" w:lastColumn="0" w:oddVBand="0" w:evenVBand="0" w:oddHBand="0" w:evenHBand="0" w:firstRowFirstColumn="0" w:firstRowLastColumn="0" w:lastRowFirstColumn="0" w:lastRowLastColumn="0"/>
                  <w:tcW w:w="3189" w:type="dxa"/>
                </w:tcPr>
                <w:p w14:paraId="1F6D7D78" w14:textId="77777777" w:rsidR="00984C09" w:rsidRPr="0042214E" w:rsidRDefault="00984C09" w:rsidP="00984C09">
                  <w:pPr>
                    <w:pStyle w:val="Tabletextindent"/>
                    <w:contextualSpacing/>
                  </w:pPr>
                  <w:r w:rsidRPr="0042214E">
                    <w:t>Vehicle operating cost savings</w:t>
                  </w:r>
                </w:p>
              </w:tc>
              <w:tc>
                <w:tcPr>
                  <w:tcW w:w="1242" w:type="dxa"/>
                </w:tcPr>
                <w:p w14:paraId="46732A0D"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$235 050</w:t>
                  </w:r>
                </w:p>
              </w:tc>
              <w:tc>
                <w:tcPr>
                  <w:tcW w:w="1242" w:type="dxa"/>
                </w:tcPr>
                <w:p w14:paraId="4B211D2C"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$235 050</w:t>
                  </w:r>
                </w:p>
              </w:tc>
              <w:tc>
                <w:tcPr>
                  <w:tcW w:w="1242" w:type="dxa"/>
                </w:tcPr>
                <w:p w14:paraId="506902C4"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$235 050</w:t>
                  </w:r>
                </w:p>
              </w:tc>
              <w:tc>
                <w:tcPr>
                  <w:tcW w:w="1242" w:type="dxa"/>
                </w:tcPr>
                <w:p w14:paraId="679BF49D"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$235 050</w:t>
                  </w:r>
                </w:p>
              </w:tc>
            </w:tr>
            <w:tr w:rsidR="00984C09" w:rsidRPr="0042214E" w14:paraId="6A879190" w14:textId="77777777" w:rsidTr="00602E19">
              <w:tc>
                <w:tcPr>
                  <w:cnfStyle w:val="001000000000" w:firstRow="0" w:lastRow="0" w:firstColumn="1" w:lastColumn="0" w:oddVBand="0" w:evenVBand="0" w:oddHBand="0" w:evenHBand="0" w:firstRowFirstColumn="0" w:firstRowLastColumn="0" w:lastRowFirstColumn="0" w:lastRowLastColumn="0"/>
                  <w:tcW w:w="3189" w:type="dxa"/>
                </w:tcPr>
                <w:p w14:paraId="69B12F36" w14:textId="77777777" w:rsidR="00984C09" w:rsidRPr="0042214E" w:rsidRDefault="00984C09" w:rsidP="00984C09">
                  <w:pPr>
                    <w:pStyle w:val="Tabletextindent"/>
                    <w:contextualSpacing/>
                  </w:pPr>
                  <w:r w:rsidRPr="0042214E">
                    <w:t>Accident cost savings</w:t>
                  </w:r>
                </w:p>
              </w:tc>
              <w:tc>
                <w:tcPr>
                  <w:tcW w:w="1242" w:type="dxa"/>
                </w:tcPr>
                <w:p w14:paraId="4D6D2713"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$4 500</w:t>
                  </w:r>
                </w:p>
              </w:tc>
              <w:tc>
                <w:tcPr>
                  <w:tcW w:w="1242" w:type="dxa"/>
                </w:tcPr>
                <w:p w14:paraId="6F80D26D"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$4 500</w:t>
                  </w:r>
                </w:p>
              </w:tc>
              <w:tc>
                <w:tcPr>
                  <w:tcW w:w="1242" w:type="dxa"/>
                </w:tcPr>
                <w:p w14:paraId="3C158739"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$4 500</w:t>
                  </w:r>
                </w:p>
              </w:tc>
              <w:tc>
                <w:tcPr>
                  <w:tcW w:w="1242" w:type="dxa"/>
                </w:tcPr>
                <w:p w14:paraId="20F177A4"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$4 500</w:t>
                  </w:r>
                </w:p>
              </w:tc>
            </w:tr>
            <w:tr w:rsidR="00984C09" w:rsidRPr="0042214E" w14:paraId="5A0DE57A" w14:textId="77777777" w:rsidTr="00602E19">
              <w:tc>
                <w:tcPr>
                  <w:cnfStyle w:val="001000000000" w:firstRow="0" w:lastRow="0" w:firstColumn="1" w:lastColumn="0" w:oddVBand="0" w:evenVBand="0" w:oddHBand="0" w:evenHBand="0" w:firstRowFirstColumn="0" w:firstRowLastColumn="0" w:lastRowFirstColumn="0" w:lastRowLastColumn="0"/>
                  <w:tcW w:w="3189" w:type="dxa"/>
                </w:tcPr>
                <w:p w14:paraId="6DE829FC" w14:textId="77777777" w:rsidR="00984C09" w:rsidRPr="0042214E" w:rsidRDefault="00984C09" w:rsidP="00984C09">
                  <w:pPr>
                    <w:pStyle w:val="Tabletextindent"/>
                    <w:contextualSpacing/>
                  </w:pPr>
                  <w:r w:rsidRPr="0042214E">
                    <w:t>Savings in other externalities</w:t>
                  </w:r>
                </w:p>
              </w:tc>
              <w:tc>
                <w:tcPr>
                  <w:tcW w:w="1242" w:type="dxa"/>
                </w:tcPr>
                <w:p w14:paraId="7E9F9F3B"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$52 605</w:t>
                  </w:r>
                </w:p>
              </w:tc>
              <w:tc>
                <w:tcPr>
                  <w:tcW w:w="1242" w:type="dxa"/>
                </w:tcPr>
                <w:p w14:paraId="4CAC8FD9"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$52 605</w:t>
                  </w:r>
                </w:p>
              </w:tc>
              <w:tc>
                <w:tcPr>
                  <w:tcW w:w="1242" w:type="dxa"/>
                </w:tcPr>
                <w:p w14:paraId="13174396"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$52 605</w:t>
                  </w:r>
                </w:p>
              </w:tc>
              <w:tc>
                <w:tcPr>
                  <w:tcW w:w="1242" w:type="dxa"/>
                </w:tcPr>
                <w:p w14:paraId="7E889D77"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$52 605</w:t>
                  </w:r>
                </w:p>
              </w:tc>
            </w:tr>
            <w:tr w:rsidR="00984C09" w:rsidRPr="0042214E" w14:paraId="3997C283" w14:textId="77777777" w:rsidTr="00602E19">
              <w:tc>
                <w:tcPr>
                  <w:cnfStyle w:val="001000000000" w:firstRow="0" w:lastRow="0" w:firstColumn="1" w:lastColumn="0" w:oddVBand="0" w:evenVBand="0" w:oddHBand="0" w:evenHBand="0" w:firstRowFirstColumn="0" w:firstRowLastColumn="0" w:lastRowFirstColumn="0" w:lastRowLastColumn="0"/>
                  <w:tcW w:w="3189" w:type="dxa"/>
                </w:tcPr>
                <w:p w14:paraId="62294DEA" w14:textId="77777777" w:rsidR="00984C09" w:rsidRPr="0042214E" w:rsidRDefault="00984C09" w:rsidP="00984C09">
                  <w:pPr>
                    <w:pStyle w:val="Tabletextindent"/>
                    <w:contextualSpacing/>
                  </w:pPr>
                  <w:r w:rsidRPr="0042214E">
                    <w:t>Asset residual value</w:t>
                  </w:r>
                </w:p>
              </w:tc>
              <w:tc>
                <w:tcPr>
                  <w:tcW w:w="1242" w:type="dxa"/>
                </w:tcPr>
                <w:p w14:paraId="659EE69E"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$61 650</w:t>
                  </w:r>
                </w:p>
              </w:tc>
              <w:tc>
                <w:tcPr>
                  <w:tcW w:w="1242" w:type="dxa"/>
                </w:tcPr>
                <w:p w14:paraId="1C0228B9"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$61 650</w:t>
                  </w:r>
                </w:p>
              </w:tc>
              <w:tc>
                <w:tcPr>
                  <w:tcW w:w="1242" w:type="dxa"/>
                </w:tcPr>
                <w:p w14:paraId="19E0F536"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$61 650</w:t>
                  </w:r>
                </w:p>
              </w:tc>
              <w:tc>
                <w:tcPr>
                  <w:tcW w:w="1242" w:type="dxa"/>
                </w:tcPr>
                <w:p w14:paraId="662BCE57"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$61 650</w:t>
                  </w:r>
                </w:p>
              </w:tc>
            </w:tr>
            <w:tr w:rsidR="00984C09" w:rsidRPr="0042214E" w14:paraId="6F599711" w14:textId="77777777" w:rsidTr="00602E19">
              <w:tc>
                <w:tcPr>
                  <w:cnfStyle w:val="001000000000" w:firstRow="0" w:lastRow="0" w:firstColumn="1" w:lastColumn="0" w:oddVBand="0" w:evenVBand="0" w:oddHBand="0" w:evenHBand="0" w:firstRowFirstColumn="0" w:firstRowLastColumn="0" w:lastRowFirstColumn="0" w:lastRowLastColumn="0"/>
                  <w:tcW w:w="3189" w:type="dxa"/>
                </w:tcPr>
                <w:p w14:paraId="0E0DEC71" w14:textId="77777777" w:rsidR="00984C09" w:rsidRPr="0042214E" w:rsidRDefault="00984C09" w:rsidP="00984C09">
                  <w:pPr>
                    <w:pStyle w:val="Tabletextindent"/>
                    <w:contextualSpacing/>
                  </w:pPr>
                  <w:r w:rsidRPr="0042214E">
                    <w:t>Total monetised benefits</w:t>
                  </w:r>
                </w:p>
              </w:tc>
              <w:tc>
                <w:tcPr>
                  <w:tcW w:w="1242" w:type="dxa"/>
                </w:tcPr>
                <w:p w14:paraId="47345E27"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$775 130</w:t>
                  </w:r>
                </w:p>
              </w:tc>
              <w:tc>
                <w:tcPr>
                  <w:tcW w:w="1242" w:type="dxa"/>
                </w:tcPr>
                <w:p w14:paraId="3F0CD35D"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$775 130</w:t>
                  </w:r>
                </w:p>
              </w:tc>
              <w:tc>
                <w:tcPr>
                  <w:tcW w:w="1242" w:type="dxa"/>
                </w:tcPr>
                <w:p w14:paraId="6A155E6A"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$775 130</w:t>
                  </w:r>
                </w:p>
              </w:tc>
              <w:tc>
                <w:tcPr>
                  <w:tcW w:w="1242" w:type="dxa"/>
                </w:tcPr>
                <w:p w14:paraId="50D3FB39" w14:textId="77777777" w:rsidR="00984C09" w:rsidRPr="0042214E" w:rsidRDefault="00984C09" w:rsidP="00984C09">
                  <w:pPr>
                    <w:pStyle w:val="Tabletextright"/>
                    <w:cnfStyle w:val="000000000000" w:firstRow="0" w:lastRow="0" w:firstColumn="0" w:lastColumn="0" w:oddVBand="0" w:evenVBand="0" w:oddHBand="0" w:evenHBand="0" w:firstRowFirstColumn="0" w:firstRowLastColumn="0" w:lastRowFirstColumn="0" w:lastRowLastColumn="0"/>
                  </w:pPr>
                  <w:r w:rsidRPr="0042214E">
                    <w:t>$775 130</w:t>
                  </w:r>
                </w:p>
              </w:tc>
            </w:tr>
            <w:tr w:rsidR="00984C09" w:rsidRPr="0042214E" w14:paraId="2AA04F8C" w14:textId="77777777" w:rsidTr="00602E19">
              <w:tc>
                <w:tcPr>
                  <w:cnfStyle w:val="001000000000" w:firstRow="0" w:lastRow="0" w:firstColumn="1" w:lastColumn="0" w:oddVBand="0" w:evenVBand="0" w:oddHBand="0" w:evenHBand="0" w:firstRowFirstColumn="0" w:firstRowLastColumn="0" w:lastRowFirstColumn="0" w:lastRowLastColumn="0"/>
                  <w:tcW w:w="3189" w:type="dxa"/>
                </w:tcPr>
                <w:p w14:paraId="5B054D74" w14:textId="77777777" w:rsidR="00984C09" w:rsidRPr="0042214E" w:rsidRDefault="00984C09" w:rsidP="00984C09">
                  <w:pPr>
                    <w:pStyle w:val="Tabletextbold"/>
                  </w:pPr>
                  <w:r w:rsidRPr="0042214E">
                    <w:t>Costs</w:t>
                  </w:r>
                </w:p>
              </w:tc>
              <w:tc>
                <w:tcPr>
                  <w:tcW w:w="1242" w:type="dxa"/>
                </w:tcPr>
                <w:p w14:paraId="757932BB"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42" w:type="dxa"/>
                </w:tcPr>
                <w:p w14:paraId="459C16BC"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42" w:type="dxa"/>
                </w:tcPr>
                <w:p w14:paraId="10210C3B"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242" w:type="dxa"/>
                </w:tcPr>
                <w:p w14:paraId="5EDEF66B"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p>
              </w:tc>
            </w:tr>
            <w:tr w:rsidR="00984C09" w:rsidRPr="0042214E" w14:paraId="62A7D89A" w14:textId="77777777" w:rsidTr="00602E19">
              <w:tc>
                <w:tcPr>
                  <w:cnfStyle w:val="001000000000" w:firstRow="0" w:lastRow="0" w:firstColumn="1" w:lastColumn="0" w:oddVBand="0" w:evenVBand="0" w:oddHBand="0" w:evenHBand="0" w:firstRowFirstColumn="0" w:firstRowLastColumn="0" w:lastRowFirstColumn="0" w:lastRowLastColumn="0"/>
                  <w:tcW w:w="3189" w:type="dxa"/>
                </w:tcPr>
                <w:p w14:paraId="63187E2E" w14:textId="77777777" w:rsidR="00984C09" w:rsidRPr="0042214E" w:rsidRDefault="00984C09" w:rsidP="00984C09">
                  <w:pPr>
                    <w:pStyle w:val="Tabletextindent"/>
                  </w:pPr>
                  <w:r w:rsidRPr="0042214E">
                    <w:t>Construction costs</w:t>
                  </w:r>
                </w:p>
              </w:tc>
              <w:tc>
                <w:tcPr>
                  <w:tcW w:w="1242" w:type="dxa"/>
                </w:tcPr>
                <w:p w14:paraId="3DADA020"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$267 591</w:t>
                  </w:r>
                </w:p>
              </w:tc>
              <w:tc>
                <w:tcPr>
                  <w:tcW w:w="1242" w:type="dxa"/>
                </w:tcPr>
                <w:p w14:paraId="48E4B74D"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$326 461</w:t>
                  </w:r>
                </w:p>
              </w:tc>
              <w:tc>
                <w:tcPr>
                  <w:tcW w:w="1242" w:type="dxa"/>
                </w:tcPr>
                <w:p w14:paraId="0958F059"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$280 971</w:t>
                  </w:r>
                </w:p>
              </w:tc>
              <w:tc>
                <w:tcPr>
                  <w:tcW w:w="1242" w:type="dxa"/>
                </w:tcPr>
                <w:p w14:paraId="340944F9"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$347 868</w:t>
                  </w:r>
                </w:p>
              </w:tc>
            </w:tr>
            <w:tr w:rsidR="00984C09" w:rsidRPr="0042214E" w14:paraId="362871EE" w14:textId="77777777" w:rsidTr="00602E19">
              <w:tc>
                <w:tcPr>
                  <w:cnfStyle w:val="001000000000" w:firstRow="0" w:lastRow="0" w:firstColumn="1" w:lastColumn="0" w:oddVBand="0" w:evenVBand="0" w:oddHBand="0" w:evenHBand="0" w:firstRowFirstColumn="0" w:firstRowLastColumn="0" w:lastRowFirstColumn="0" w:lastRowLastColumn="0"/>
                  <w:tcW w:w="3189" w:type="dxa"/>
                </w:tcPr>
                <w:p w14:paraId="5C2D651C" w14:textId="77777777" w:rsidR="00984C09" w:rsidRPr="0042214E" w:rsidRDefault="00984C09" w:rsidP="00984C09">
                  <w:pPr>
                    <w:pStyle w:val="Tabletextindent"/>
                  </w:pPr>
                  <w:r w:rsidRPr="0042214E">
                    <w:t>Operations and maintenance costs</w:t>
                  </w:r>
                </w:p>
              </w:tc>
              <w:tc>
                <w:tcPr>
                  <w:tcW w:w="1242" w:type="dxa"/>
                </w:tcPr>
                <w:p w14:paraId="548CC2DB"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$436 599</w:t>
                  </w:r>
                </w:p>
              </w:tc>
              <w:tc>
                <w:tcPr>
                  <w:tcW w:w="1242" w:type="dxa"/>
                </w:tcPr>
                <w:p w14:paraId="371C23AD"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$436 599</w:t>
                  </w:r>
                </w:p>
              </w:tc>
              <w:tc>
                <w:tcPr>
                  <w:tcW w:w="1242" w:type="dxa"/>
                </w:tcPr>
                <w:p w14:paraId="4D916EB3"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$436 599</w:t>
                  </w:r>
                </w:p>
              </w:tc>
              <w:tc>
                <w:tcPr>
                  <w:tcW w:w="1242" w:type="dxa"/>
                </w:tcPr>
                <w:p w14:paraId="5F50B479"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$436 599</w:t>
                  </w:r>
                </w:p>
              </w:tc>
            </w:tr>
            <w:tr w:rsidR="00984C09" w:rsidRPr="0042214E" w14:paraId="7233C88B" w14:textId="77777777" w:rsidTr="00602E19">
              <w:tc>
                <w:tcPr>
                  <w:cnfStyle w:val="001000000000" w:firstRow="0" w:lastRow="0" w:firstColumn="1" w:lastColumn="0" w:oddVBand="0" w:evenVBand="0" w:oddHBand="0" w:evenHBand="0" w:firstRowFirstColumn="0" w:firstRowLastColumn="0" w:lastRowFirstColumn="0" w:lastRowLastColumn="0"/>
                  <w:tcW w:w="3189" w:type="dxa"/>
                </w:tcPr>
                <w:p w14:paraId="48A7877C" w14:textId="77777777" w:rsidR="00984C09" w:rsidRPr="0042214E" w:rsidRDefault="00984C09" w:rsidP="00984C09">
                  <w:pPr>
                    <w:pStyle w:val="Tabletextindent"/>
                    <w:rPr>
                      <w:szCs w:val="18"/>
                    </w:rPr>
                  </w:pPr>
                  <w:r w:rsidRPr="0042214E">
                    <w:rPr>
                      <w:szCs w:val="18"/>
                    </w:rPr>
                    <w:t>Total cost</w:t>
                  </w:r>
                </w:p>
              </w:tc>
              <w:tc>
                <w:tcPr>
                  <w:tcW w:w="1242" w:type="dxa"/>
                </w:tcPr>
                <w:p w14:paraId="5E057996"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$704 190</w:t>
                  </w:r>
                </w:p>
              </w:tc>
              <w:tc>
                <w:tcPr>
                  <w:tcW w:w="1242" w:type="dxa"/>
                </w:tcPr>
                <w:p w14:paraId="13164BA8"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$763 060</w:t>
                  </w:r>
                </w:p>
              </w:tc>
              <w:tc>
                <w:tcPr>
                  <w:tcW w:w="1242" w:type="dxa"/>
                </w:tcPr>
                <w:p w14:paraId="59612F8A"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$717 570</w:t>
                  </w:r>
                </w:p>
              </w:tc>
              <w:tc>
                <w:tcPr>
                  <w:tcW w:w="1242" w:type="dxa"/>
                </w:tcPr>
                <w:p w14:paraId="0069B43A"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$784 467</w:t>
                  </w:r>
                </w:p>
              </w:tc>
            </w:tr>
            <w:tr w:rsidR="00984C09" w:rsidRPr="0042214E" w14:paraId="1F30E4C4" w14:textId="77777777" w:rsidTr="00984C09">
              <w:tc>
                <w:tcPr>
                  <w:cnfStyle w:val="001000000000" w:firstRow="0" w:lastRow="0" w:firstColumn="1" w:lastColumn="0" w:oddVBand="0" w:evenVBand="0" w:oddHBand="0" w:evenHBand="0" w:firstRowFirstColumn="0" w:firstRowLastColumn="0" w:lastRowFirstColumn="0" w:lastRowLastColumn="0"/>
                  <w:tcW w:w="3189" w:type="dxa"/>
                </w:tcPr>
                <w:p w14:paraId="47A17488" w14:textId="484FD654" w:rsidR="00984C09" w:rsidRPr="0042214E" w:rsidRDefault="00984C09" w:rsidP="00706DC1">
                  <w:pPr>
                    <w:pStyle w:val="Tabletextbold"/>
                  </w:pPr>
                  <w:r w:rsidRPr="0042214E">
                    <w:t>Benefit</w:t>
                  </w:r>
                  <w:r w:rsidR="00706DC1" w:rsidRPr="0042214E">
                    <w:t xml:space="preserve"> </w:t>
                  </w:r>
                  <w:r w:rsidRPr="0042214E">
                    <w:t>cost ratio</w:t>
                  </w:r>
                </w:p>
              </w:tc>
              <w:tc>
                <w:tcPr>
                  <w:tcW w:w="1242" w:type="dxa"/>
                </w:tcPr>
                <w:p w14:paraId="18006D2F"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1.10</w:t>
                  </w:r>
                </w:p>
              </w:tc>
              <w:tc>
                <w:tcPr>
                  <w:tcW w:w="1242" w:type="dxa"/>
                </w:tcPr>
                <w:p w14:paraId="63696D81"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1.02</w:t>
                  </w:r>
                </w:p>
              </w:tc>
              <w:tc>
                <w:tcPr>
                  <w:tcW w:w="1242" w:type="dxa"/>
                </w:tcPr>
                <w:p w14:paraId="5E9AC800"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1.08</w:t>
                  </w:r>
                </w:p>
              </w:tc>
              <w:tc>
                <w:tcPr>
                  <w:tcW w:w="1242" w:type="dxa"/>
                </w:tcPr>
                <w:p w14:paraId="72F7958B"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0.99</w:t>
                  </w:r>
                </w:p>
              </w:tc>
            </w:tr>
            <w:tr w:rsidR="00984C09" w:rsidRPr="0042214E" w14:paraId="5796809D" w14:textId="77777777" w:rsidTr="00984C09">
              <w:tc>
                <w:tcPr>
                  <w:cnfStyle w:val="001000000000" w:firstRow="0" w:lastRow="0" w:firstColumn="1" w:lastColumn="0" w:oddVBand="0" w:evenVBand="0" w:oddHBand="0" w:evenHBand="0" w:firstRowFirstColumn="0" w:firstRowLastColumn="0" w:lastRowFirstColumn="0" w:lastRowLastColumn="0"/>
                  <w:tcW w:w="3189" w:type="dxa"/>
                  <w:tcBorders>
                    <w:bottom w:val="single" w:sz="12" w:space="0" w:color="E35205" w:themeColor="accent1"/>
                  </w:tcBorders>
                </w:tcPr>
                <w:p w14:paraId="31C50301" w14:textId="77777777" w:rsidR="00984C09" w:rsidRPr="0042214E" w:rsidRDefault="00984C09" w:rsidP="00984C09">
                  <w:pPr>
                    <w:pStyle w:val="Tabletextbold"/>
                  </w:pPr>
                  <w:r w:rsidRPr="0042214E">
                    <w:t>Net present value</w:t>
                  </w:r>
                </w:p>
              </w:tc>
              <w:tc>
                <w:tcPr>
                  <w:tcW w:w="1242" w:type="dxa"/>
                  <w:tcBorders>
                    <w:bottom w:val="single" w:sz="12" w:space="0" w:color="E35205" w:themeColor="accent1"/>
                  </w:tcBorders>
                </w:tcPr>
                <w:p w14:paraId="6E1101FF"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$70 940</w:t>
                  </w:r>
                </w:p>
              </w:tc>
              <w:tc>
                <w:tcPr>
                  <w:tcW w:w="1242" w:type="dxa"/>
                  <w:tcBorders>
                    <w:bottom w:val="single" w:sz="12" w:space="0" w:color="E35205" w:themeColor="accent1"/>
                  </w:tcBorders>
                </w:tcPr>
                <w:p w14:paraId="1D867C2A"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$12 070</w:t>
                  </w:r>
                </w:p>
              </w:tc>
              <w:tc>
                <w:tcPr>
                  <w:tcW w:w="1242" w:type="dxa"/>
                  <w:tcBorders>
                    <w:bottom w:val="single" w:sz="12" w:space="0" w:color="E35205" w:themeColor="accent1"/>
                  </w:tcBorders>
                </w:tcPr>
                <w:p w14:paraId="4B5619B8"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t>$57 560</w:t>
                  </w:r>
                </w:p>
              </w:tc>
              <w:tc>
                <w:tcPr>
                  <w:tcW w:w="1242" w:type="dxa"/>
                  <w:tcBorders>
                    <w:bottom w:val="single" w:sz="12" w:space="0" w:color="E35205" w:themeColor="accent1"/>
                  </w:tcBorders>
                </w:tcPr>
                <w:p w14:paraId="4125861B" w14:textId="77777777" w:rsidR="00984C09" w:rsidRPr="0042214E" w:rsidRDefault="00984C09" w:rsidP="00984C09">
                  <w:pPr>
                    <w:jc w:val="right"/>
                    <w:cnfStyle w:val="000000000000" w:firstRow="0" w:lastRow="0" w:firstColumn="0" w:lastColumn="0" w:oddVBand="0" w:evenVBand="0" w:oddHBand="0" w:evenHBand="0" w:firstRowFirstColumn="0" w:firstRowLastColumn="0" w:lastRowFirstColumn="0" w:lastRowLastColumn="0"/>
                    <w:rPr>
                      <w:color w:val="000000" w:themeColor="text1"/>
                    </w:rPr>
                  </w:pPr>
                  <w:r w:rsidRPr="0042214E">
                    <w:rPr>
                      <w:color w:val="000000" w:themeColor="text1"/>
                    </w:rPr>
                    <w:noBreakHyphen/>
                    <w:t>$9 377</w:t>
                  </w:r>
                </w:p>
              </w:tc>
            </w:tr>
          </w:tbl>
          <w:p w14:paraId="48A22428" w14:textId="77777777" w:rsidR="00984C09" w:rsidRPr="0042214E" w:rsidRDefault="00984C09" w:rsidP="00984C09">
            <w:pPr>
              <w:pStyle w:val="Spacer"/>
            </w:pPr>
          </w:p>
          <w:p w14:paraId="43D0F9D3" w14:textId="65B266F6" w:rsidR="00984C09" w:rsidRPr="0042214E" w:rsidRDefault="00984C09" w:rsidP="00984C09">
            <w:pPr>
              <w:pStyle w:val="Tabletext"/>
            </w:pPr>
            <w:r w:rsidRPr="0042214E">
              <w:t xml:space="preserve">The decision tree below indicates that this project option </w:t>
            </w:r>
            <w:proofErr w:type="gramStart"/>
            <w:r w:rsidRPr="0042214E">
              <w:t>actually has</w:t>
            </w:r>
            <w:proofErr w:type="gramEnd"/>
            <w:r w:rsidRPr="0042214E">
              <w:t xml:space="preserve"> an expected NPV of $56</w:t>
            </w:r>
            <w:r w:rsidR="00DE2D1D" w:rsidRPr="0042214E">
              <w:t xml:space="preserve"> </w:t>
            </w:r>
            <w:r w:rsidRPr="0042214E">
              <w:t>222. The other project options may have different uncertainties</w:t>
            </w:r>
            <w:r w:rsidR="00DE2D1D" w:rsidRPr="0042214E">
              <w:t>,</w:t>
            </w:r>
            <w:r w:rsidRPr="0042214E">
              <w:t xml:space="preserve"> but a similar process would be used. It is the expected values that would be used </w:t>
            </w:r>
            <w:r w:rsidR="00DE2D1D" w:rsidRPr="0042214E">
              <w:t xml:space="preserve">in </w:t>
            </w:r>
            <w:r w:rsidRPr="0042214E">
              <w:t>the comparison of project options in the event of significant uncertainty. Uncertainty may exist in both benefits and costs.</w:t>
            </w:r>
          </w:p>
          <w:p w14:paraId="430CF7FB" w14:textId="77777777" w:rsidR="00984C09" w:rsidRPr="0042214E" w:rsidRDefault="00984C09" w:rsidP="00984C09">
            <w:pPr>
              <w:pStyle w:val="Tabletext"/>
            </w:pPr>
            <w:r w:rsidRPr="0042214E">
              <w:t>The preferred real option is to keep the current alignment of the road and depend on the current noise abatement strategy. What is shown is the potential for cost escalation if that strategy is unsuccessful, but that realigning the road is less effective than retrofitting a solution.</w:t>
            </w:r>
          </w:p>
          <w:p w14:paraId="63923A56" w14:textId="77777777" w:rsidR="00984C09" w:rsidRPr="0042214E" w:rsidRDefault="00984C09" w:rsidP="00984C09">
            <w:pPr>
              <w:pStyle w:val="Tabletext"/>
            </w:pPr>
            <w:r w:rsidRPr="0042214E">
              <w:t>The influence diagram shows that the net present value is affected by the decision made and the chance event (</w:t>
            </w:r>
            <w:proofErr w:type="gramStart"/>
            <w:r w:rsidRPr="0042214E">
              <w:t>i.e.</w:t>
            </w:r>
            <w:proofErr w:type="gramEnd"/>
            <w:r w:rsidRPr="0042214E">
              <w:t xml:space="preserve"> that noise abatement may or may not work), and that a chance event applies to each of the decision alternatives.</w:t>
            </w:r>
          </w:p>
          <w:p w14:paraId="7BD4F37E" w14:textId="77777777" w:rsidR="00984C09" w:rsidRPr="0042214E" w:rsidRDefault="00984C09" w:rsidP="00984C09">
            <w:pPr>
              <w:pStyle w:val="Tabletext"/>
            </w:pPr>
            <w:r w:rsidRPr="0042214E">
              <w:t>This analysis should be conducted for all project options.</w:t>
            </w:r>
          </w:p>
          <w:p w14:paraId="5756DA99" w14:textId="21AF2414" w:rsidR="00984C09" w:rsidRPr="0042214E" w:rsidRDefault="00984C09" w:rsidP="00984C09">
            <w:pPr>
              <w:pStyle w:val="Tabletext"/>
              <w:jc w:val="center"/>
            </w:pPr>
            <w:r w:rsidRPr="0042214E">
              <w:rPr>
                <w:noProof/>
                <w:position w:val="2"/>
                <w:lang w:eastAsia="en-US"/>
              </w:rPr>
              <w:drawing>
                <wp:inline distT="0" distB="0" distL="0" distR="0" wp14:anchorId="7025AC39" wp14:editId="704CF18D">
                  <wp:extent cx="2105025" cy="2024571"/>
                  <wp:effectExtent l="0" t="0" r="0" b="0"/>
                  <wp:docPr id="10" name="Picture 10" descr="RO op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O option 2"/>
                          <pic:cNvPicPr>
                            <a:picLocks noChangeAspect="1" noChangeArrowheads="1"/>
                          </pic:cNvPicPr>
                        </pic:nvPicPr>
                        <pic:blipFill>
                          <a:blip r:embed="rId42">
                            <a:extLst>
                              <a:ext uri="{BEBA8EAE-BF5A-486C-A8C5-ECC9F3942E4B}">
                                <a14:imgProps xmlns:a14="http://schemas.microsoft.com/office/drawing/2010/main">
                                  <a14:imgLayer r:embed="rId4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106946" cy="2026419"/>
                          </a:xfrm>
                          <a:prstGeom prst="rect">
                            <a:avLst/>
                          </a:prstGeom>
                          <a:noFill/>
                          <a:ln>
                            <a:noFill/>
                          </a:ln>
                        </pic:spPr>
                      </pic:pic>
                    </a:graphicData>
                  </a:graphic>
                </wp:inline>
              </w:drawing>
            </w:r>
            <w:r w:rsidRPr="0042214E">
              <w:t xml:space="preserve">  </w:t>
            </w:r>
            <w:r w:rsidRPr="0042214E">
              <w:rPr>
                <w:szCs w:val="20"/>
              </w:rPr>
              <w:object w:dxaOrig="4425" w:dyaOrig="3826" w14:anchorId="62387E91">
                <v:shape id="_x0000_i1028" type="#_x0000_t75" style="width:187.5pt;height:165.75pt" o:ole="">
                  <v:imagedata r:id="rId44" o:title=""/>
                </v:shape>
                <o:OLEObject Type="Embed" ProgID="Visio.Drawing.11" ShapeID="_x0000_i1028" DrawAspect="Content" ObjectID="_1736165083" r:id="rId45"/>
              </w:object>
            </w:r>
          </w:p>
        </w:tc>
      </w:tr>
    </w:tbl>
    <w:p w14:paraId="4A301198" w14:textId="77777777" w:rsidR="006450B5" w:rsidRPr="0042214E" w:rsidRDefault="006450B5" w:rsidP="005E1934">
      <w:pPr>
        <w:pStyle w:val="Heading3numbered"/>
      </w:pPr>
      <w:bookmarkStart w:id="150" w:name="_Ref25936950"/>
      <w:bookmarkStart w:id="151" w:name="_Ref25936954"/>
      <w:bookmarkStart w:id="152" w:name="_Toc121415321"/>
      <w:r w:rsidRPr="0042214E">
        <w:lastRenderedPageBreak/>
        <w:t>Integrated analysis</w:t>
      </w:r>
      <w:bookmarkEnd w:id="150"/>
      <w:bookmarkEnd w:id="151"/>
      <w:bookmarkEnd w:id="152"/>
    </w:p>
    <w:p w14:paraId="311FC2BF" w14:textId="5FF5873D" w:rsidR="006450B5" w:rsidRPr="0042214E" w:rsidRDefault="006450B5" w:rsidP="006B713F">
      <w:pPr>
        <w:pStyle w:val="NormalIndent"/>
      </w:pPr>
      <w:r w:rsidRPr="0042214E">
        <w:t xml:space="preserve">The purpose of the integrated analysis is to combine each project option’s economic, </w:t>
      </w:r>
      <w:proofErr w:type="gramStart"/>
      <w:r w:rsidRPr="0042214E">
        <w:t>environmental</w:t>
      </w:r>
      <w:proofErr w:type="gramEnd"/>
      <w:r w:rsidRPr="0042214E">
        <w:t xml:space="preserve"> and financial impacts, risk and uncertainty. Communicating what may be a vast amount of information and complex analysis in a digestible form helps with quality </w:t>
      </w:r>
      <w:r w:rsidR="00DE2D1D" w:rsidRPr="0042214E">
        <w:t>decision-</w:t>
      </w:r>
      <w:r w:rsidRPr="0042214E">
        <w:t xml:space="preserve">making. If most of the costs and benefits are captured in the CBA, then the NPV/BCR forms a major part of the project </w:t>
      </w:r>
      <w:r w:rsidR="00825CA5" w:rsidRPr="0042214E">
        <w:t>selection,</w:t>
      </w:r>
      <w:r w:rsidRPr="0042214E">
        <w:t xml:space="preserve"> and an integrated analysis does not need to be performed. </w:t>
      </w:r>
    </w:p>
    <w:p w14:paraId="2A7EDAA7" w14:textId="77777777" w:rsidR="006450B5" w:rsidRPr="0042214E" w:rsidRDefault="006450B5" w:rsidP="006B713F">
      <w:pPr>
        <w:pStyle w:val="NormalIndent"/>
      </w:pPr>
      <w:r w:rsidRPr="0042214E">
        <w:t xml:space="preserve">Integration should only be undertaken where the agency is satisfied of the quality of the information and the analysis available. </w:t>
      </w:r>
    </w:p>
    <w:p w14:paraId="5F96F429" w14:textId="77777777" w:rsidR="006450B5" w:rsidRPr="0042214E" w:rsidRDefault="006450B5" w:rsidP="00984C09">
      <w:pPr>
        <w:pStyle w:val="NormalIndent"/>
        <w:rPr>
          <w:rStyle w:val="Emphasis"/>
        </w:rPr>
      </w:pPr>
      <w:r w:rsidRPr="0042214E">
        <w:rPr>
          <w:rStyle w:val="Emphasis"/>
        </w:rPr>
        <w:t>If any scoring or weighting is used, the agency must be satisfied it is robust and transparent and will stand the critical review of independent third parties.</w:t>
      </w:r>
    </w:p>
    <w:p w14:paraId="3D21AB47" w14:textId="3AB01793" w:rsidR="006450B5" w:rsidRPr="0042214E" w:rsidRDefault="006450B5" w:rsidP="006B713F">
      <w:pPr>
        <w:pStyle w:val="NormalIndent"/>
      </w:pPr>
      <w:r w:rsidRPr="0042214E">
        <w:t xml:space="preserve">Agencies should present cost benefit analysis results and additional information clearly and transparently in business cases. Information needs to be presented in a manner that </w:t>
      </w:r>
      <w:r w:rsidR="00DE2D1D" w:rsidRPr="0042214E">
        <w:t>decision-</w:t>
      </w:r>
      <w:r w:rsidRPr="0042214E">
        <w:t>makers and relevant stakeholders without technical expertise can understand.</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CC6ED9" w:rsidRPr="0042214E" w14:paraId="4EE085B0" w14:textId="77777777" w:rsidTr="00984C09">
        <w:tc>
          <w:tcPr>
            <w:tcW w:w="8719" w:type="dxa"/>
            <w:shd w:val="clear" w:color="auto" w:fill="FDF3EA" w:themeFill="accent5" w:themeFillTint="33"/>
          </w:tcPr>
          <w:p w14:paraId="169F720C" w14:textId="759D355C" w:rsidR="00CC6ED9" w:rsidRPr="0042214E" w:rsidRDefault="00CC6ED9" w:rsidP="00984C09">
            <w:pPr>
              <w:pStyle w:val="Tabletextbold"/>
            </w:pPr>
            <w:r w:rsidRPr="0042214E">
              <w:t>Business case information requirements for integrated analysis</w:t>
            </w:r>
          </w:p>
          <w:p w14:paraId="7DE6F6A5" w14:textId="77777777" w:rsidR="00CC6ED9" w:rsidRPr="0042214E" w:rsidRDefault="00CC6ED9" w:rsidP="00984C09">
            <w:pPr>
              <w:pStyle w:val="Tablebullet"/>
            </w:pPr>
            <w:r w:rsidRPr="0042214E">
              <w:t xml:space="preserve">Outline the method used for undertaking the analysis. </w:t>
            </w:r>
          </w:p>
          <w:p w14:paraId="2091124D" w14:textId="77777777" w:rsidR="00CC6ED9" w:rsidRPr="0042214E" w:rsidRDefault="00CC6ED9" w:rsidP="00984C09">
            <w:pPr>
              <w:pStyle w:val="Tablebullet"/>
            </w:pPr>
            <w:r w:rsidRPr="0042214E">
              <w:t xml:space="preserve">Provide an overview of the analysis. </w:t>
            </w:r>
          </w:p>
          <w:p w14:paraId="7877DF46" w14:textId="317399D5" w:rsidR="00CC6ED9" w:rsidRPr="0042214E" w:rsidRDefault="00CC6ED9" w:rsidP="00984C09">
            <w:pPr>
              <w:pStyle w:val="Tablebullet"/>
            </w:pPr>
            <w:r w:rsidRPr="0042214E">
              <w:t>Where a multi</w:t>
            </w:r>
            <w:r w:rsidR="00034452" w:rsidRPr="0042214E">
              <w:noBreakHyphen/>
            </w:r>
            <w:r w:rsidRPr="0042214E">
              <w:t>criteria analysis is included in the integrated assessment, outline the relative weighting of the financial and non</w:t>
            </w:r>
            <w:r w:rsidR="00034452" w:rsidRPr="0042214E">
              <w:noBreakHyphen/>
            </w:r>
            <w:r w:rsidRPr="0042214E">
              <w:t>financial components.</w:t>
            </w:r>
          </w:p>
          <w:p w14:paraId="29BD6F53" w14:textId="24755AA0" w:rsidR="00CC6ED9" w:rsidRPr="0042214E" w:rsidRDefault="00CC6ED9" w:rsidP="00984C09">
            <w:pPr>
              <w:pStyle w:val="Tablebullet"/>
            </w:pPr>
            <w:r w:rsidRPr="0042214E">
              <w:t xml:space="preserve">Highlight any areas of significance </w:t>
            </w:r>
            <w:r w:rsidR="00DE2D1D" w:rsidRPr="0042214E">
              <w:t xml:space="preserve">that </w:t>
            </w:r>
            <w:r w:rsidRPr="0042214E">
              <w:t>could not be quantified and integrate these into the analysis.</w:t>
            </w:r>
          </w:p>
          <w:p w14:paraId="23C36E76" w14:textId="1FCBC625" w:rsidR="009F6370" w:rsidRPr="0042214E" w:rsidRDefault="00CC6ED9" w:rsidP="00984C09">
            <w:pPr>
              <w:pStyle w:val="Tablebullet"/>
            </w:pPr>
            <w:r w:rsidRPr="0042214E">
              <w:t xml:space="preserve">In a summary table, provide an integrated assessment of financial and economic impacts to arrive at a ranking of </w:t>
            </w:r>
            <w:r w:rsidR="00FA1B61" w:rsidRPr="0042214E">
              <w:t xml:space="preserve">project </w:t>
            </w:r>
            <w:r w:rsidRPr="0042214E">
              <w:t xml:space="preserve">options. </w:t>
            </w:r>
          </w:p>
          <w:p w14:paraId="74ADE96A" w14:textId="533B4498" w:rsidR="00CC6ED9" w:rsidRPr="0042214E" w:rsidRDefault="00CC6ED9" w:rsidP="00984C09">
            <w:pPr>
              <w:pStyle w:val="Tablebullet"/>
            </w:pPr>
            <w:r w:rsidRPr="0042214E">
              <w:t>Conduct sensitivity and scenario analysis to test changes in the outcome if assumptions or other variables change.</w:t>
            </w:r>
          </w:p>
        </w:tc>
      </w:tr>
    </w:tbl>
    <w:p w14:paraId="17571B91" w14:textId="77777777" w:rsidR="006450B5" w:rsidRPr="0042214E" w:rsidRDefault="006450B5" w:rsidP="006B713F">
      <w:pPr>
        <w:pStyle w:val="NormalIndent"/>
      </w:pPr>
      <w:r w:rsidRPr="0042214E">
        <w:t xml:space="preserve">Key principles of the analysis should include: </w:t>
      </w:r>
    </w:p>
    <w:p w14:paraId="03C93B35" w14:textId="06BAF035" w:rsidR="006450B5" w:rsidRPr="0042214E" w:rsidRDefault="00C87CA0" w:rsidP="00984C09">
      <w:pPr>
        <w:pStyle w:val="Bulletindent"/>
      </w:pPr>
      <w:r w:rsidRPr="0042214E">
        <w:t xml:space="preserve">as </w:t>
      </w:r>
      <w:r w:rsidR="006450B5" w:rsidRPr="0042214E">
        <w:t xml:space="preserve">a minimum the assessment should include costs to be funded by the </w:t>
      </w:r>
      <w:proofErr w:type="gramStart"/>
      <w:r w:rsidR="006450B5" w:rsidRPr="0042214E">
        <w:t>Government</w:t>
      </w:r>
      <w:r w:rsidR="00B63E34" w:rsidRPr="0042214E">
        <w:t>;</w:t>
      </w:r>
      <w:proofErr w:type="gramEnd"/>
    </w:p>
    <w:p w14:paraId="59F11633" w14:textId="67985E63" w:rsidR="006450B5" w:rsidRPr="0042214E" w:rsidRDefault="00C87CA0" w:rsidP="00984C09">
      <w:pPr>
        <w:pStyle w:val="Bulletindent"/>
      </w:pPr>
      <w:r w:rsidRPr="0042214E">
        <w:t xml:space="preserve">financial </w:t>
      </w:r>
      <w:r w:rsidR="006450B5" w:rsidRPr="0042214E">
        <w:t>impacts to be included need to be based on the final source of funding (</w:t>
      </w:r>
      <w:r w:rsidR="00126E61" w:rsidRPr="0042214E">
        <w:t>e.g.,</w:t>
      </w:r>
      <w:r w:rsidR="006450B5" w:rsidRPr="0042214E">
        <w:t xml:space="preserve"> if investors will initially bear the cost</w:t>
      </w:r>
      <w:r w:rsidRPr="0042214E">
        <w:t>,</w:t>
      </w:r>
      <w:r w:rsidR="006450B5" w:rsidRPr="0042214E">
        <w:t xml:space="preserve"> but this will be recovered in user charges (as under some PPP models), then this should be </w:t>
      </w:r>
      <w:proofErr w:type="gramStart"/>
      <w:r w:rsidR="006450B5" w:rsidRPr="0042214E">
        <w:t>included</w:t>
      </w:r>
      <w:r w:rsidR="00B63E34" w:rsidRPr="0042214E">
        <w:t>;</w:t>
      </w:r>
      <w:proofErr w:type="gramEnd"/>
    </w:p>
    <w:p w14:paraId="10ED9A57" w14:textId="5C1985C6" w:rsidR="006450B5" w:rsidRPr="0042214E" w:rsidRDefault="00C87CA0" w:rsidP="00984C09">
      <w:pPr>
        <w:pStyle w:val="Bulletindent"/>
      </w:pPr>
      <w:r w:rsidRPr="0042214E">
        <w:t xml:space="preserve">if </w:t>
      </w:r>
      <w:r w:rsidR="006450B5" w:rsidRPr="0042214E">
        <w:t xml:space="preserve">funding sources for </w:t>
      </w:r>
      <w:r w:rsidR="00FA1B61" w:rsidRPr="0042214E">
        <w:t xml:space="preserve">project </w:t>
      </w:r>
      <w:r w:rsidR="006450B5" w:rsidRPr="0042214E">
        <w:t xml:space="preserve">options are not yet </w:t>
      </w:r>
      <w:r w:rsidR="00A51381" w:rsidRPr="0042214E">
        <w:t>identified,</w:t>
      </w:r>
      <w:r w:rsidR="006450B5" w:rsidRPr="0042214E">
        <w:t xml:space="preserve"> then the assessment should include all financial impacts (costs)</w:t>
      </w:r>
      <w:r w:rsidR="00B63E34" w:rsidRPr="0042214E">
        <w:t>; and</w:t>
      </w:r>
    </w:p>
    <w:p w14:paraId="0646C018" w14:textId="07DFA50C" w:rsidR="006450B5" w:rsidRPr="0042214E" w:rsidRDefault="00C87CA0" w:rsidP="00984C09">
      <w:pPr>
        <w:pStyle w:val="Bulletindent"/>
      </w:pPr>
      <w:r w:rsidRPr="0042214E">
        <w:t xml:space="preserve">irrespective </w:t>
      </w:r>
      <w:r w:rsidR="006450B5" w:rsidRPr="0042214E">
        <w:t>of the approach used for the integrated analysis, risk assessment should be incorporated into the integrated assessment to ascertain whether the risk assessment outcomes change the preferred project option.</w:t>
      </w:r>
    </w:p>
    <w:p w14:paraId="63440CF1" w14:textId="513852F9" w:rsidR="006450B5" w:rsidRPr="0042214E" w:rsidRDefault="006450B5" w:rsidP="006B713F">
      <w:pPr>
        <w:pStyle w:val="NormalIndent"/>
      </w:pPr>
      <w:r w:rsidRPr="0042214E">
        <w:t>If there is uncertainty over this aspect then two assessments might be done (</w:t>
      </w:r>
      <w:r w:rsidR="00126E61" w:rsidRPr="0042214E">
        <w:t>e.g.,</w:t>
      </w:r>
      <w:r w:rsidRPr="0042214E">
        <w:t xml:space="preserve"> where relevant, an integrated assessment may be undertaken with and without </w:t>
      </w:r>
      <w:r w:rsidR="008057C4" w:rsidRPr="0042214E">
        <w:t>Commonwealth</w:t>
      </w:r>
      <w:r w:rsidRPr="0042214E">
        <w:t xml:space="preserve"> funded costs. </w:t>
      </w:r>
    </w:p>
    <w:p w14:paraId="5B042369" w14:textId="77777777" w:rsidR="00104E20" w:rsidRDefault="00104E20">
      <w:pPr>
        <w:keepLines w:val="0"/>
        <w:spacing w:line="264" w:lineRule="auto"/>
        <w:rPr>
          <w:rFonts w:asciiTheme="majorHAnsi" w:eastAsiaTheme="majorEastAsia" w:hAnsiTheme="majorHAnsi" w:cstheme="majorBidi"/>
          <w:b/>
          <w:bCs/>
          <w:iCs/>
          <w:color w:val="53565A"/>
        </w:rPr>
      </w:pPr>
      <w:r>
        <w:br w:type="page"/>
      </w:r>
    </w:p>
    <w:p w14:paraId="44B16A8B" w14:textId="24909DD8" w:rsidR="006450B5" w:rsidRPr="0042214E" w:rsidRDefault="006450B5" w:rsidP="00984C09">
      <w:pPr>
        <w:pStyle w:val="Heading4"/>
      </w:pPr>
      <w:r w:rsidRPr="0042214E">
        <w:lastRenderedPageBreak/>
        <w:t>Approach to the integrated assessment</w:t>
      </w:r>
    </w:p>
    <w:p w14:paraId="65512D09" w14:textId="77777777" w:rsidR="006450B5" w:rsidRPr="0042214E" w:rsidRDefault="006450B5" w:rsidP="006B713F">
      <w:pPr>
        <w:pStyle w:val="NormalIndent"/>
      </w:pPr>
      <w:r w:rsidRPr="0042214E">
        <w:t xml:space="preserve">Where a cost benefit analysis has been undertaken: </w:t>
      </w:r>
    </w:p>
    <w:p w14:paraId="7639AA9A" w14:textId="63F49650" w:rsidR="006450B5" w:rsidRPr="0042214E" w:rsidRDefault="00C87CA0" w:rsidP="00984C09">
      <w:pPr>
        <w:pStyle w:val="Bulletindent"/>
      </w:pPr>
      <w:r w:rsidRPr="0042214E">
        <w:t xml:space="preserve">a </w:t>
      </w:r>
      <w:r w:rsidR="006450B5" w:rsidRPr="0042214E">
        <w:t>multi</w:t>
      </w:r>
      <w:r w:rsidRPr="0042214E">
        <w:t>-</w:t>
      </w:r>
      <w:r w:rsidR="006450B5" w:rsidRPr="0042214E">
        <w:t>criteria analysis (MCA) may be used separately to the CBA to assess non</w:t>
      </w:r>
      <w:r w:rsidR="00034452" w:rsidRPr="0042214E">
        <w:noBreakHyphen/>
      </w:r>
      <w:r w:rsidR="006450B5" w:rsidRPr="0042214E">
        <w:t xml:space="preserve">monetised impacts if they are significant; or </w:t>
      </w:r>
    </w:p>
    <w:p w14:paraId="1D52CB36" w14:textId="34C8177A" w:rsidR="006450B5" w:rsidRPr="0042214E" w:rsidRDefault="00C87CA0" w:rsidP="00984C09">
      <w:pPr>
        <w:pStyle w:val="Bulletindent"/>
      </w:pPr>
      <w:r w:rsidRPr="0042214E">
        <w:t xml:space="preserve">if </w:t>
      </w:r>
      <w:r w:rsidR="008057C4" w:rsidRPr="0042214E">
        <w:t>an</w:t>
      </w:r>
      <w:r w:rsidR="006450B5" w:rsidRPr="0042214E">
        <w:t xml:space="preserve"> MCA is not used to integrate some (or all) of the results, non</w:t>
      </w:r>
      <w:r w:rsidR="00034452" w:rsidRPr="0042214E">
        <w:noBreakHyphen/>
      </w:r>
      <w:r w:rsidR="006450B5" w:rsidRPr="0042214E">
        <w:t xml:space="preserve">monetised impacts may be described separately from the economic evaluation’s headline (CBA) results. </w:t>
      </w:r>
    </w:p>
    <w:p w14:paraId="0C4A9470" w14:textId="77777777" w:rsidR="006450B5" w:rsidRPr="0042214E" w:rsidRDefault="006450B5" w:rsidP="006B713F">
      <w:pPr>
        <w:pStyle w:val="NormalIndent"/>
      </w:pPr>
      <w:r w:rsidRPr="0042214E">
        <w:t xml:space="preserve">Where a cost benefit analysis has not been undertaken: </w:t>
      </w:r>
    </w:p>
    <w:p w14:paraId="48C8F309" w14:textId="0C5692B7" w:rsidR="00217579" w:rsidRPr="0042214E" w:rsidRDefault="00C87CA0" w:rsidP="00984C09">
      <w:pPr>
        <w:pStyle w:val="Bulletindent"/>
      </w:pPr>
      <w:r w:rsidRPr="0042214E">
        <w:t xml:space="preserve">impacts </w:t>
      </w:r>
      <w:r w:rsidR="006450B5" w:rsidRPr="0042214E">
        <w:t>should be monetised wherever possible, and a CBA conducted</w:t>
      </w:r>
      <w:r w:rsidR="00217579" w:rsidRPr="0042214E">
        <w:t>; or</w:t>
      </w:r>
    </w:p>
    <w:p w14:paraId="242D3A8C" w14:textId="6BB9056E" w:rsidR="006450B5" w:rsidRPr="0042214E" w:rsidRDefault="00C87CA0" w:rsidP="00984C09">
      <w:pPr>
        <w:pStyle w:val="Bulletindent"/>
      </w:pPr>
      <w:r w:rsidRPr="0042214E">
        <w:t xml:space="preserve">where </w:t>
      </w:r>
      <w:r w:rsidR="006450B5" w:rsidRPr="0042214E">
        <w:t>this is not possible</w:t>
      </w:r>
      <w:r w:rsidRPr="0042214E">
        <w:t>,</w:t>
      </w:r>
      <w:r w:rsidR="006450B5" w:rsidRPr="0042214E">
        <w:t xml:space="preserve"> an MCA may be the most appropriate option for the integrated analysis </w:t>
      </w:r>
      <w:r w:rsidR="006450B5" w:rsidRPr="0042214E">
        <w:rPr>
          <w:b/>
          <w:color w:val="E57200" w:themeColor="accent2"/>
        </w:rPr>
        <w:t>where the investment has a high level of non</w:t>
      </w:r>
      <w:r w:rsidR="00034452" w:rsidRPr="0042214E">
        <w:rPr>
          <w:b/>
          <w:color w:val="E57200" w:themeColor="accent2"/>
        </w:rPr>
        <w:noBreakHyphen/>
      </w:r>
      <w:r w:rsidR="006450B5" w:rsidRPr="0042214E">
        <w:rPr>
          <w:b/>
          <w:color w:val="E57200" w:themeColor="accent2"/>
        </w:rPr>
        <w:t>monetised impacts or the investment is small in value</w:t>
      </w:r>
      <w:r w:rsidR="00217579" w:rsidRPr="0042214E">
        <w:t xml:space="preserve">. </w:t>
      </w:r>
      <w:r w:rsidR="006450B5" w:rsidRPr="0042214E">
        <w:t>The MCA attempts to compare quantitative and qualitative impacts across proposals by assigning weights and scores to criteria linked to the objectives of the proposal</w:t>
      </w:r>
      <w:r w:rsidR="00217579" w:rsidRPr="0042214E">
        <w:t>.</w:t>
      </w:r>
    </w:p>
    <w:p w14:paraId="762BC6A0" w14:textId="5F018964" w:rsidR="006450B5" w:rsidRPr="0042214E" w:rsidRDefault="00104EB8" w:rsidP="00984C09">
      <w:pPr>
        <w:pStyle w:val="Heading4"/>
      </w:pPr>
      <w:r w:rsidRPr="0042214E">
        <w:t>M</w:t>
      </w:r>
      <w:r w:rsidR="006450B5" w:rsidRPr="0042214E">
        <w:t>ulti</w:t>
      </w:r>
      <w:r w:rsidR="00034452" w:rsidRPr="0042214E">
        <w:noBreakHyphen/>
      </w:r>
      <w:r w:rsidR="006450B5" w:rsidRPr="0042214E">
        <w:t>criteria analysis</w:t>
      </w:r>
    </w:p>
    <w:p w14:paraId="086FEA0E" w14:textId="77777777" w:rsidR="006450B5" w:rsidRPr="0042214E" w:rsidRDefault="006450B5" w:rsidP="006B713F">
      <w:pPr>
        <w:pStyle w:val="NormalIndent"/>
      </w:pPr>
      <w:r w:rsidRPr="0042214E">
        <w:t>MCA can be used for smaller projects where the low cost of the investment doesn’t warrant a CBA, or for proposals where significant economic benefits cannot be monetised. In carrying out MCA, objectivity is a key concern.</w:t>
      </w:r>
    </w:p>
    <w:p w14:paraId="4872CD5D" w14:textId="77777777" w:rsidR="006450B5" w:rsidRPr="0042214E" w:rsidRDefault="006450B5" w:rsidP="006B713F">
      <w:pPr>
        <w:pStyle w:val="NormalIndent"/>
      </w:pPr>
      <w:r w:rsidRPr="0042214E">
        <w:t xml:space="preserve">Key principles to underpin the use of MCA are: </w:t>
      </w:r>
    </w:p>
    <w:p w14:paraId="773D3E0D" w14:textId="5F6A55FB" w:rsidR="006450B5" w:rsidRPr="0042214E" w:rsidRDefault="00C87CA0" w:rsidP="00984C09">
      <w:pPr>
        <w:pStyle w:val="Bulletindent"/>
      </w:pPr>
      <w:r w:rsidRPr="0042214E">
        <w:t xml:space="preserve">balanced </w:t>
      </w:r>
      <w:r w:rsidR="006450B5" w:rsidRPr="0042214E">
        <w:t>weighting of financial impacts (costs) and economic, social and environmental impacts (for example these might be weighted at 50</w:t>
      </w:r>
      <w:r w:rsidRPr="0042214E">
        <w:t xml:space="preserve"> per cent </w:t>
      </w:r>
      <w:r w:rsidR="006450B5" w:rsidRPr="0042214E">
        <w:t>each), which should sum to 100</w:t>
      </w:r>
      <w:r w:rsidRPr="0042214E">
        <w:t xml:space="preserve"> per </w:t>
      </w:r>
      <w:proofErr w:type="gramStart"/>
      <w:r w:rsidRPr="0042214E">
        <w:t>cent;</w:t>
      </w:r>
      <w:proofErr w:type="gramEnd"/>
    </w:p>
    <w:p w14:paraId="03826DB1" w14:textId="5EB7659C" w:rsidR="006450B5" w:rsidRPr="0042214E" w:rsidRDefault="00C87CA0" w:rsidP="00984C09">
      <w:pPr>
        <w:pStyle w:val="Bulletindent"/>
      </w:pPr>
      <w:r w:rsidRPr="0042214E">
        <w:t xml:space="preserve">consider </w:t>
      </w:r>
      <w:r w:rsidR="006450B5" w:rsidRPr="0042214E">
        <w:t xml:space="preserve">the relevant importance that the expected economic, social and environmental impacts of </w:t>
      </w:r>
      <w:r w:rsidR="00693CC7" w:rsidRPr="0042214E">
        <w:t xml:space="preserve">project </w:t>
      </w:r>
      <w:r w:rsidR="006450B5" w:rsidRPr="0042214E">
        <w:t xml:space="preserve">options have to the </w:t>
      </w:r>
      <w:r w:rsidR="00B31C6F" w:rsidRPr="0042214E">
        <w:t>G</w:t>
      </w:r>
      <w:r w:rsidR="006450B5" w:rsidRPr="0042214E">
        <w:t xml:space="preserve">overnment depending on the investment type, as described in Figure </w:t>
      </w:r>
      <w:proofErr w:type="gramStart"/>
      <w:r w:rsidR="00043376" w:rsidRPr="0042214E">
        <w:t>7</w:t>
      </w:r>
      <w:r w:rsidR="008B5016" w:rsidRPr="0042214E">
        <w:t>;</w:t>
      </w:r>
      <w:proofErr w:type="gramEnd"/>
    </w:p>
    <w:p w14:paraId="3DB6C13E" w14:textId="1D9611E9" w:rsidR="006450B5" w:rsidRPr="0042214E" w:rsidRDefault="00C87CA0" w:rsidP="00984C09">
      <w:pPr>
        <w:pStyle w:val="Bulletindent"/>
      </w:pPr>
      <w:r w:rsidRPr="0042214E">
        <w:t xml:space="preserve">impact </w:t>
      </w:r>
      <w:r w:rsidR="006450B5" w:rsidRPr="0042214E">
        <w:t xml:space="preserve">criteria should align with the investment benefits identified in the full business case. Criteria should also align with negative economic, </w:t>
      </w:r>
      <w:proofErr w:type="gramStart"/>
      <w:r w:rsidR="006450B5" w:rsidRPr="0042214E">
        <w:t>social</w:t>
      </w:r>
      <w:proofErr w:type="gramEnd"/>
      <w:r w:rsidR="006450B5" w:rsidRPr="0042214E">
        <w:t xml:space="preserve"> and environmental impacts if these are material (</w:t>
      </w:r>
      <w:r w:rsidR="00126E61" w:rsidRPr="0042214E">
        <w:t>e.g.,</w:t>
      </w:r>
      <w:r w:rsidR="006450B5" w:rsidRPr="0042214E">
        <w:t xml:space="preserve"> environmental costs from an initiative)</w:t>
      </w:r>
      <w:r w:rsidR="00622D2D" w:rsidRPr="0042214E">
        <w:t>; and</w:t>
      </w:r>
    </w:p>
    <w:p w14:paraId="27204C3B" w14:textId="6F5575B8" w:rsidR="006450B5" w:rsidRPr="0042214E" w:rsidRDefault="00C87CA0" w:rsidP="00984C09">
      <w:pPr>
        <w:pStyle w:val="Bulletindent"/>
      </w:pPr>
      <w:r w:rsidRPr="0042214E">
        <w:t xml:space="preserve">impacts </w:t>
      </w:r>
      <w:r w:rsidR="006450B5" w:rsidRPr="0042214E">
        <w:t>included in the assessment should be independent or, if they are not independent</w:t>
      </w:r>
      <w:r w:rsidR="00E16094" w:rsidRPr="0042214E">
        <w:t>,</w:t>
      </w:r>
      <w:r w:rsidR="006450B5" w:rsidRPr="0042214E">
        <w:t xml:space="preserve"> they should be included in way that avoids double counting (note that overlapping impacts are sometimes included to better illustrate the breadth of benefits from a project option).</w:t>
      </w:r>
    </w:p>
    <w:p w14:paraId="62FC8A4E" w14:textId="7E78FD13" w:rsidR="006E7A7E" w:rsidRPr="0042214E" w:rsidRDefault="006E7A7E" w:rsidP="00602E19">
      <w:pPr>
        <w:pStyle w:val="Caption"/>
        <w:ind w:left="792"/>
      </w:pPr>
      <w:r w:rsidRPr="0042214E">
        <w:t>Figure 7: Considering the importance attached to financial analysis and economic impact assessment</w:t>
      </w:r>
    </w:p>
    <w:p w14:paraId="0291ABA1" w14:textId="77825D36" w:rsidR="00A14845" w:rsidRPr="0042214E" w:rsidRDefault="00A14845" w:rsidP="00A14845">
      <w:pPr>
        <w:pStyle w:val="NormalIndent"/>
      </w:pPr>
      <w:r w:rsidRPr="0042214E">
        <w:object w:dxaOrig="7995" w:dyaOrig="2370" w14:anchorId="486C22DD">
          <v:shape id="_x0000_i1029" type="#_x0000_t75" style="width:403.5pt;height:122.25pt" o:ole="">
            <v:imagedata r:id="rId46" o:title=""/>
          </v:shape>
          <o:OLEObject Type="Embed" ProgID="Visio.Drawing.15" ShapeID="_x0000_i1029" DrawAspect="Content" ObjectID="_1736165084" r:id="rId47"/>
        </w:object>
      </w:r>
    </w:p>
    <w:p w14:paraId="5F301320" w14:textId="77777777" w:rsidR="006450B5" w:rsidRPr="0042214E" w:rsidRDefault="006450B5" w:rsidP="00AE4596">
      <w:pPr>
        <w:pStyle w:val="Heading4"/>
      </w:pPr>
      <w:r w:rsidRPr="0042214E">
        <w:lastRenderedPageBreak/>
        <w:t>Sensitivity analysis</w:t>
      </w:r>
    </w:p>
    <w:p w14:paraId="525AA989" w14:textId="768CFC7E" w:rsidR="006450B5" w:rsidRPr="0042214E" w:rsidRDefault="006450B5" w:rsidP="006B713F">
      <w:pPr>
        <w:pStyle w:val="NormalIndent"/>
      </w:pPr>
      <w:r w:rsidRPr="0042214E">
        <w:t xml:space="preserve">Sensitivity analysis is a form of quantitative analysis that tests the validity of assumptions under various conditions. It is useful for uncertain </w:t>
      </w:r>
      <w:r w:rsidR="00126E61" w:rsidRPr="0042214E">
        <w:t>investments but</w:t>
      </w:r>
      <w:r w:rsidRPr="0042214E">
        <w:t xml:space="preserve"> may not be required for routine </w:t>
      </w:r>
      <w:r w:rsidR="008B5016" w:rsidRPr="0042214E">
        <w:t>low-</w:t>
      </w:r>
      <w:r w:rsidRPr="0042214E">
        <w:t>risk projects. Sensitivity analysis examines how NPVs, benefits, costs or other outcomes vary as individual assumptions or variables are changed</w:t>
      </w:r>
      <w:r w:rsidR="008B5016" w:rsidRPr="0042214E">
        <w:t xml:space="preserve">, such </w:t>
      </w:r>
      <w:r w:rsidRPr="0042214E">
        <w:t xml:space="preserve">as testing the likelihood of an uncertain impact occurring by changing probabilities or testing the discount rate. Refer to the </w:t>
      </w:r>
      <w:r w:rsidRPr="00922978">
        <w:rPr>
          <w:b/>
          <w:color w:val="E57200" w:themeColor="accent2"/>
        </w:rPr>
        <w:t>Economic Evaluation</w:t>
      </w:r>
      <w:r w:rsidRPr="00922978">
        <w:rPr>
          <w:color w:val="E57200" w:themeColor="accent2"/>
        </w:rPr>
        <w:t xml:space="preserve"> </w:t>
      </w:r>
      <w:r w:rsidR="00E16094" w:rsidRPr="0044651B">
        <w:rPr>
          <w:color w:val="000000" w:themeColor="text1"/>
        </w:rPr>
        <w:t xml:space="preserve">technical </w:t>
      </w:r>
      <w:r w:rsidR="00E16094" w:rsidRPr="0042214E">
        <w:t xml:space="preserve">guide </w:t>
      </w:r>
      <w:r w:rsidRPr="0042214E">
        <w:t xml:space="preserve">for more information on the discount rate. </w:t>
      </w:r>
    </w:p>
    <w:p w14:paraId="7B26D0B8" w14:textId="77777777" w:rsidR="006450B5" w:rsidRPr="0042214E" w:rsidRDefault="006450B5" w:rsidP="006B713F">
      <w:pPr>
        <w:pStyle w:val="NormalIndent"/>
      </w:pPr>
      <w:r w:rsidRPr="0042214E">
        <w:t>Sensitivity analysis can address two key questions:</w:t>
      </w:r>
    </w:p>
    <w:p w14:paraId="1B222EE3" w14:textId="722B6332" w:rsidR="006450B5" w:rsidRPr="0042214E" w:rsidRDefault="006450B5" w:rsidP="00AE4596">
      <w:pPr>
        <w:pStyle w:val="Bulletindent"/>
      </w:pPr>
      <w:r w:rsidRPr="0042214E">
        <w:t xml:space="preserve">Would the preferred </w:t>
      </w:r>
      <w:r w:rsidR="007E55BD" w:rsidRPr="0042214E">
        <w:t xml:space="preserve">project </w:t>
      </w:r>
      <w:r w:rsidRPr="0042214E">
        <w:t>option still be worthwhile pursuing if some of the key assumptions are incorrect?</w:t>
      </w:r>
    </w:p>
    <w:p w14:paraId="096D80AD" w14:textId="1B1E23EE" w:rsidR="006450B5" w:rsidRPr="0042214E" w:rsidRDefault="006450B5" w:rsidP="00AE4596">
      <w:pPr>
        <w:pStyle w:val="Bulletindent"/>
      </w:pPr>
      <w:r w:rsidRPr="0042214E">
        <w:t xml:space="preserve">What actions can be taken to reduce the risks before accepting a particular </w:t>
      </w:r>
      <w:r w:rsidR="007E55BD" w:rsidRPr="0042214E">
        <w:t xml:space="preserve">project </w:t>
      </w:r>
      <w:r w:rsidRPr="0042214E">
        <w:t>option?</w:t>
      </w:r>
    </w:p>
    <w:p w14:paraId="48EE27E4" w14:textId="4CDB4401" w:rsidR="006450B5" w:rsidRPr="0042214E" w:rsidRDefault="006450B5" w:rsidP="006B713F">
      <w:pPr>
        <w:pStyle w:val="NormalIndent"/>
      </w:pPr>
      <w:r w:rsidRPr="0042214E">
        <w:t xml:space="preserve">It is also possible to determine switching values. That is, how much would a given significant driver (for example an exchange rate or revenue forecast) </w:t>
      </w:r>
      <w:proofErr w:type="gramStart"/>
      <w:r w:rsidRPr="0042214E">
        <w:t>have to</w:t>
      </w:r>
      <w:proofErr w:type="gramEnd"/>
      <w:r w:rsidRPr="0042214E">
        <w:t xml:space="preserve"> change before an alternative </w:t>
      </w:r>
      <w:r w:rsidR="007E55BD" w:rsidRPr="0042214E">
        <w:t xml:space="preserve">project </w:t>
      </w:r>
      <w:r w:rsidRPr="0042214E">
        <w:t xml:space="preserve">option displaces the preferred </w:t>
      </w:r>
      <w:r w:rsidR="007E55BD" w:rsidRPr="0042214E">
        <w:t xml:space="preserve">project </w:t>
      </w:r>
      <w:r w:rsidRPr="0042214E">
        <w:t>option or before it becomes negative</w:t>
      </w:r>
      <w:r w:rsidR="00AE4596" w:rsidRPr="0042214E">
        <w:t> </w:t>
      </w:r>
      <w:r w:rsidRPr="0042214E">
        <w:t>NPV?</w:t>
      </w:r>
    </w:p>
    <w:p w14:paraId="737D34C2" w14:textId="77777777" w:rsidR="006450B5" w:rsidRPr="0042214E" w:rsidRDefault="006450B5" w:rsidP="00AE4596">
      <w:pPr>
        <w:pStyle w:val="Heading4"/>
      </w:pPr>
      <w:r w:rsidRPr="0042214E">
        <w:t>Scenario analysis</w:t>
      </w:r>
    </w:p>
    <w:p w14:paraId="255DFC00" w14:textId="77777777" w:rsidR="006450B5" w:rsidRPr="0042214E" w:rsidRDefault="006450B5" w:rsidP="006B713F">
      <w:pPr>
        <w:pStyle w:val="NormalIndent"/>
      </w:pPr>
      <w:r w:rsidRPr="0042214E">
        <w:t xml:space="preserve">A scenario analysis evaluates the changes to outcomes </w:t>
      </w:r>
      <w:proofErr w:type="gramStart"/>
      <w:r w:rsidRPr="0042214E">
        <w:t>as a result of</w:t>
      </w:r>
      <w:proofErr w:type="gramEnd"/>
      <w:r w:rsidRPr="0042214E">
        <w:t xml:space="preserve"> changes to multiple variables under different likely scenarios. The changes to the variables in a scenario analysis should be realistic and be generally based on optimistic and pessimistic scenarios that have a reasonable likelihood of occurring, rather than extreme cases.</w:t>
      </w:r>
    </w:p>
    <w:p w14:paraId="1318CF79" w14:textId="1EBB8C78" w:rsidR="006450B5" w:rsidRPr="0042214E" w:rsidRDefault="006450B5" w:rsidP="006B713F">
      <w:pPr>
        <w:pStyle w:val="NormalIndent"/>
      </w:pPr>
      <w:r w:rsidRPr="0042214E">
        <w:t xml:space="preserve">Uncertainty in estimates of impacts can be </w:t>
      </w:r>
      <w:proofErr w:type="gramStart"/>
      <w:r w:rsidRPr="0042214E">
        <w:t>taken into account</w:t>
      </w:r>
      <w:proofErr w:type="gramEnd"/>
      <w:r w:rsidRPr="0042214E">
        <w:t xml:space="preserve"> in cost benefit analysis by the use </w:t>
      </w:r>
      <w:r w:rsidR="00BB1DF7" w:rsidRPr="0042214E">
        <w:t xml:space="preserve">of </w:t>
      </w:r>
      <w:r w:rsidRPr="0042214E">
        <w:t>tools and techniques such as sensitivity and scenario analysis. However, uncertainty may be associated with the underlying investment concept or the circumstances surrounding it. This may require an adjunct to the analysis approach to incorporate options</w:t>
      </w:r>
      <w:r w:rsidR="00BB1DF7" w:rsidRPr="0042214E">
        <w:t>,</w:t>
      </w:r>
      <w:r w:rsidRPr="0042214E">
        <w:t xml:space="preserve"> which allow the flexibility to defer some of the decision</w:t>
      </w:r>
      <w:r w:rsidR="00034452" w:rsidRPr="0042214E">
        <w:noBreakHyphen/>
      </w:r>
      <w:r w:rsidRPr="0042214E">
        <w:t xml:space="preserve">making until that uncertainty is resolved, including </w:t>
      </w:r>
      <w:proofErr w:type="gramStart"/>
      <w:r w:rsidRPr="0042214E">
        <w:t>through the use of</w:t>
      </w:r>
      <w:proofErr w:type="gramEnd"/>
      <w:r w:rsidRPr="0042214E">
        <w:t xml:space="preserve"> real options.</w:t>
      </w:r>
    </w:p>
    <w:p w14:paraId="39DC0F2D" w14:textId="77777777" w:rsidR="006450B5" w:rsidRPr="0042214E" w:rsidRDefault="006450B5" w:rsidP="00AE4596">
      <w:pPr>
        <w:pStyle w:val="Heading4"/>
      </w:pPr>
      <w:r w:rsidRPr="0042214E">
        <w:t>Presenting the integrated analysis</w:t>
      </w:r>
    </w:p>
    <w:p w14:paraId="4A3F105B" w14:textId="7FFABBA1" w:rsidR="006450B5" w:rsidRPr="0042214E" w:rsidRDefault="006450B5" w:rsidP="006B713F">
      <w:pPr>
        <w:pStyle w:val="NormalIndent"/>
        <w:rPr>
          <w:rFonts w:asciiTheme="majorHAnsi" w:hAnsiTheme="majorHAnsi"/>
          <w:b/>
          <w:sz w:val="16"/>
        </w:rPr>
      </w:pPr>
      <w:r w:rsidRPr="0042214E">
        <w:t>This guideline recommends using tables to present a summary of the integrated analysis (</w:t>
      </w:r>
      <w:r w:rsidR="00FB7609" w:rsidRPr="0042214E">
        <w:t>e.g.,</w:t>
      </w:r>
      <w:r w:rsidRPr="0042214E">
        <w:t> </w:t>
      </w:r>
      <w:r w:rsidR="00B74499">
        <w:fldChar w:fldCharType="begin"/>
      </w:r>
      <w:r w:rsidR="00B74499">
        <w:instrText xml:space="preserve"> REF _Ref24627734 \h </w:instrText>
      </w:r>
      <w:r w:rsidR="00B74499">
        <w:fldChar w:fldCharType="separate"/>
      </w:r>
      <w:r w:rsidR="00295E8F" w:rsidRPr="0042214E">
        <w:t xml:space="preserve">Table </w:t>
      </w:r>
      <w:r w:rsidR="00295E8F">
        <w:rPr>
          <w:noProof/>
        </w:rPr>
        <w:t>8</w:t>
      </w:r>
      <w:r w:rsidR="00B74499">
        <w:fldChar w:fldCharType="end"/>
      </w:r>
      <w:r w:rsidR="00B74499">
        <w:t xml:space="preserve"> and </w:t>
      </w:r>
      <w:r w:rsidR="00B74499">
        <w:fldChar w:fldCharType="begin"/>
      </w:r>
      <w:r w:rsidR="00B74499">
        <w:instrText xml:space="preserve"> REF _Ref24627739 \h </w:instrText>
      </w:r>
      <w:r w:rsidR="00B74499">
        <w:fldChar w:fldCharType="separate"/>
      </w:r>
      <w:r w:rsidR="00295E8F" w:rsidRPr="0042214E">
        <w:t xml:space="preserve">Table </w:t>
      </w:r>
      <w:r w:rsidR="00295E8F">
        <w:rPr>
          <w:noProof/>
        </w:rPr>
        <w:t>9</w:t>
      </w:r>
      <w:r w:rsidR="00B74499">
        <w:fldChar w:fldCharType="end"/>
      </w:r>
      <w:r w:rsidRPr="0042214E">
        <w:t>).</w:t>
      </w:r>
    </w:p>
    <w:p w14:paraId="7063592F" w14:textId="2A9907AA" w:rsidR="006450B5" w:rsidRPr="0042214E" w:rsidRDefault="006450B5" w:rsidP="0096597E">
      <w:pPr>
        <w:pStyle w:val="Caption"/>
        <w:pageBreakBefore/>
        <w:ind w:left="792"/>
      </w:pPr>
      <w:bookmarkStart w:id="153" w:name="_Ref24627734"/>
      <w:r w:rsidRPr="0042214E">
        <w:lastRenderedPageBreak/>
        <w:t xml:space="preserve">Table </w:t>
      </w:r>
      <w:fldSimple w:instr=" SEQ Table \* ARABIC ">
        <w:r w:rsidR="00295E8F">
          <w:rPr>
            <w:noProof/>
          </w:rPr>
          <w:t>8</w:t>
        </w:r>
      </w:fldSimple>
      <w:bookmarkEnd w:id="153"/>
      <w:r w:rsidRPr="0042214E">
        <w:t>: Presenting the results of the options analysis</w:t>
      </w:r>
    </w:p>
    <w:tbl>
      <w:tblPr>
        <w:tblStyle w:val="DTFfinancialtableindent"/>
        <w:tblW w:w="8579" w:type="dxa"/>
        <w:tblLayout w:type="fixed"/>
        <w:tblLook w:val="06A0" w:firstRow="1" w:lastRow="0" w:firstColumn="1" w:lastColumn="0" w:noHBand="1" w:noVBand="1"/>
      </w:tblPr>
      <w:tblGrid>
        <w:gridCol w:w="2909"/>
        <w:gridCol w:w="1440"/>
        <w:gridCol w:w="1080"/>
        <w:gridCol w:w="990"/>
        <w:gridCol w:w="1080"/>
        <w:gridCol w:w="1080"/>
      </w:tblGrid>
      <w:tr w:rsidR="006450B5" w:rsidRPr="0042214E" w14:paraId="62AC8D16" w14:textId="77777777" w:rsidTr="0096597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2909" w:type="dxa"/>
          </w:tcPr>
          <w:p w14:paraId="2E615005" w14:textId="77777777" w:rsidR="006450B5" w:rsidRPr="0042214E" w:rsidRDefault="006450B5" w:rsidP="003F1BB9">
            <w:pPr>
              <w:pStyle w:val="Tableheader"/>
              <w:rPr>
                <w:b/>
              </w:rPr>
            </w:pPr>
            <w:r w:rsidRPr="0042214E">
              <w:rPr>
                <w:b/>
              </w:rPr>
              <w:t xml:space="preserve">Strategic response: </w:t>
            </w:r>
          </w:p>
        </w:tc>
        <w:tc>
          <w:tcPr>
            <w:tcW w:w="5670" w:type="dxa"/>
            <w:gridSpan w:val="5"/>
          </w:tcPr>
          <w:p w14:paraId="664791AD" w14:textId="77777777" w:rsidR="006450B5" w:rsidRPr="0042214E" w:rsidRDefault="006450B5" w:rsidP="003F1BB9">
            <w:pPr>
              <w:pStyle w:val="Tableheader"/>
              <w:cnfStyle w:val="100000000000" w:firstRow="1" w:lastRow="0" w:firstColumn="0" w:lastColumn="0" w:oddVBand="0" w:evenVBand="0" w:oddHBand="0" w:evenHBand="0" w:firstRowFirstColumn="0" w:firstRowLastColumn="0" w:lastRowFirstColumn="0" w:lastRowLastColumn="0"/>
              <w:rPr>
                <w:b/>
              </w:rPr>
            </w:pPr>
            <w:r w:rsidRPr="0042214E">
              <w:rPr>
                <w:b/>
              </w:rPr>
              <w:t>[Name]</w:t>
            </w:r>
          </w:p>
        </w:tc>
      </w:tr>
      <w:tr w:rsidR="006450B5" w:rsidRPr="0042214E" w14:paraId="7417CB8E"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E57200" w:themeFill="accent2"/>
          </w:tcPr>
          <w:p w14:paraId="10AD6CC5" w14:textId="77777777" w:rsidR="006450B5" w:rsidRPr="0042214E" w:rsidRDefault="006450B5" w:rsidP="006450B5">
            <w:pPr>
              <w:spacing w:before="40" w:after="40"/>
              <w:rPr>
                <w:i/>
                <w:color w:val="FFFFFF" w:themeColor="background1"/>
              </w:rPr>
            </w:pPr>
          </w:p>
        </w:tc>
        <w:tc>
          <w:tcPr>
            <w:tcW w:w="1440" w:type="dxa"/>
            <w:shd w:val="clear" w:color="auto" w:fill="E57200" w:themeFill="accent2"/>
          </w:tcPr>
          <w:p w14:paraId="68328AFE"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r w:rsidRPr="0042214E">
              <w:rPr>
                <w:b/>
                <w:color w:val="FFFFFF" w:themeColor="background1"/>
              </w:rPr>
              <w:t>Project option 1: Do Nothing</w:t>
            </w:r>
          </w:p>
        </w:tc>
        <w:tc>
          <w:tcPr>
            <w:tcW w:w="1080" w:type="dxa"/>
            <w:shd w:val="clear" w:color="auto" w:fill="E57200" w:themeFill="accent2"/>
          </w:tcPr>
          <w:p w14:paraId="760B32C6"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r w:rsidRPr="0042214E">
              <w:rPr>
                <w:b/>
                <w:color w:val="FFFFFF" w:themeColor="background1"/>
              </w:rPr>
              <w:t>Project option 2:</w:t>
            </w:r>
          </w:p>
        </w:tc>
        <w:tc>
          <w:tcPr>
            <w:tcW w:w="990" w:type="dxa"/>
            <w:shd w:val="clear" w:color="auto" w:fill="E57200" w:themeFill="accent2"/>
          </w:tcPr>
          <w:p w14:paraId="26A7C37A"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r w:rsidRPr="0042214E">
              <w:rPr>
                <w:b/>
                <w:color w:val="FFFFFF" w:themeColor="background1"/>
              </w:rPr>
              <w:t>Project option 3:</w:t>
            </w:r>
          </w:p>
        </w:tc>
        <w:tc>
          <w:tcPr>
            <w:tcW w:w="1080" w:type="dxa"/>
            <w:shd w:val="clear" w:color="auto" w:fill="E57200" w:themeFill="accent2"/>
          </w:tcPr>
          <w:p w14:paraId="0D02E861"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r w:rsidRPr="0042214E">
              <w:rPr>
                <w:b/>
                <w:color w:val="FFFFFF" w:themeColor="background1"/>
              </w:rPr>
              <w:t xml:space="preserve">Project </w:t>
            </w:r>
            <w:r w:rsidRPr="0042214E">
              <w:rPr>
                <w:b/>
                <w:color w:val="FFFFFF" w:themeColor="background1"/>
              </w:rPr>
              <w:br/>
              <w:t>option 4:</w:t>
            </w:r>
          </w:p>
        </w:tc>
        <w:tc>
          <w:tcPr>
            <w:tcW w:w="1080" w:type="dxa"/>
            <w:shd w:val="clear" w:color="auto" w:fill="E57200" w:themeFill="accent2"/>
          </w:tcPr>
          <w:p w14:paraId="43998889"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r w:rsidRPr="0042214E">
              <w:rPr>
                <w:b/>
                <w:color w:val="FFFFFF" w:themeColor="background1"/>
              </w:rPr>
              <w:t>Project option 5:</w:t>
            </w:r>
          </w:p>
        </w:tc>
      </w:tr>
      <w:tr w:rsidR="006450B5" w:rsidRPr="0042214E" w14:paraId="36E4C584"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8579" w:type="dxa"/>
            <w:gridSpan w:val="6"/>
            <w:shd w:val="clear" w:color="auto" w:fill="E57200" w:themeFill="accent2"/>
          </w:tcPr>
          <w:p w14:paraId="4FE8F3FB" w14:textId="77777777" w:rsidR="006450B5" w:rsidRPr="0042214E" w:rsidRDefault="006450B5" w:rsidP="006450B5">
            <w:pPr>
              <w:spacing w:before="40" w:after="40"/>
              <w:rPr>
                <w:b/>
                <w:color w:val="FFFFFF" w:themeColor="background1"/>
              </w:rPr>
            </w:pPr>
            <w:r w:rsidRPr="0042214E">
              <w:rPr>
                <w:b/>
                <w:color w:val="FFFFFF" w:themeColor="background1"/>
              </w:rPr>
              <w:t>Investment benefits</w:t>
            </w:r>
          </w:p>
        </w:tc>
      </w:tr>
      <w:tr w:rsidR="006450B5" w:rsidRPr="0042214E" w14:paraId="3513193C" w14:textId="77777777" w:rsidTr="00EF49E9">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FDEACC" w:themeFill="accent6"/>
          </w:tcPr>
          <w:p w14:paraId="017A30EC" w14:textId="77777777" w:rsidR="006450B5" w:rsidRPr="0042214E" w:rsidRDefault="006450B5" w:rsidP="0096597E">
            <w:pPr>
              <w:pStyle w:val="Tabletext"/>
              <w:contextualSpacing/>
            </w:pPr>
            <w:r w:rsidRPr="0042214E">
              <w:t xml:space="preserve">% </w:t>
            </w:r>
            <w:proofErr w:type="gramStart"/>
            <w:r w:rsidRPr="0042214E">
              <w:t>of</w:t>
            </w:r>
            <w:proofErr w:type="gramEnd"/>
            <w:r w:rsidRPr="0042214E">
              <w:t xml:space="preserve"> full benefits to be delivered</w:t>
            </w:r>
          </w:p>
        </w:tc>
        <w:tc>
          <w:tcPr>
            <w:tcW w:w="1440" w:type="dxa"/>
            <w:shd w:val="clear" w:color="auto" w:fill="FDEACC" w:themeFill="accent6"/>
          </w:tcPr>
          <w:p w14:paraId="47B38AA7"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4DDAF5FF"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shd w:val="clear" w:color="auto" w:fill="FDEACC" w:themeFill="accent6"/>
          </w:tcPr>
          <w:p w14:paraId="641C07F5"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226A376B"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5FDCCF8C"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22FA85FD" w14:textId="77777777" w:rsidTr="00EF49E9">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FDEACC" w:themeFill="accent6"/>
          </w:tcPr>
          <w:p w14:paraId="38BBD170" w14:textId="77777777" w:rsidR="006450B5" w:rsidRPr="0042214E" w:rsidRDefault="006450B5" w:rsidP="0096597E">
            <w:pPr>
              <w:pStyle w:val="Tabletext"/>
              <w:contextualSpacing/>
            </w:pPr>
            <w:r w:rsidRPr="0042214E">
              <w:t xml:space="preserve">Benefit 1… </w:t>
            </w:r>
          </w:p>
        </w:tc>
        <w:tc>
          <w:tcPr>
            <w:tcW w:w="1440" w:type="dxa"/>
            <w:shd w:val="clear" w:color="auto" w:fill="FDEACC" w:themeFill="accent6"/>
          </w:tcPr>
          <w:p w14:paraId="185E89D6"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7DDA898A"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shd w:val="clear" w:color="auto" w:fill="FDEACC" w:themeFill="accent6"/>
          </w:tcPr>
          <w:p w14:paraId="43DB792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55C4B1E7"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75E9BCBD"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130A74D5" w14:textId="77777777" w:rsidTr="00EF49E9">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FDEACC" w:themeFill="accent6"/>
          </w:tcPr>
          <w:p w14:paraId="7FF300F7" w14:textId="77777777" w:rsidR="006450B5" w:rsidRPr="0042214E" w:rsidRDefault="006450B5" w:rsidP="0096597E">
            <w:pPr>
              <w:pStyle w:val="Tabletext"/>
              <w:contextualSpacing/>
            </w:pPr>
            <w:r w:rsidRPr="0042214E">
              <w:t xml:space="preserve">Benefit 2… </w:t>
            </w:r>
          </w:p>
        </w:tc>
        <w:tc>
          <w:tcPr>
            <w:tcW w:w="1440" w:type="dxa"/>
            <w:shd w:val="clear" w:color="auto" w:fill="FDEACC" w:themeFill="accent6"/>
          </w:tcPr>
          <w:p w14:paraId="2878FD91"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44A464A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shd w:val="clear" w:color="auto" w:fill="FDEACC" w:themeFill="accent6"/>
          </w:tcPr>
          <w:p w14:paraId="71B5AD8F"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61D039D0"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0C46CBF0"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30EA684A" w14:textId="77777777" w:rsidTr="00EF49E9">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FDEACC" w:themeFill="accent6"/>
          </w:tcPr>
          <w:p w14:paraId="1330BD2A" w14:textId="0C9144C5" w:rsidR="006450B5" w:rsidRPr="0042214E" w:rsidRDefault="006450B5" w:rsidP="0096597E">
            <w:pPr>
              <w:pStyle w:val="Tabletext"/>
              <w:contextualSpacing/>
            </w:pPr>
            <w:r w:rsidRPr="0042214E">
              <w:t>Dis</w:t>
            </w:r>
            <w:r w:rsidR="00034452" w:rsidRPr="0042214E">
              <w:noBreakHyphen/>
            </w:r>
            <w:r w:rsidRPr="0042214E">
              <w:t>benefits</w:t>
            </w:r>
          </w:p>
          <w:p w14:paraId="4FD5A70F" w14:textId="77777777" w:rsidR="006450B5" w:rsidRPr="0042214E" w:rsidRDefault="006450B5" w:rsidP="0096597E">
            <w:pPr>
              <w:pStyle w:val="Tabletext"/>
              <w:contextualSpacing/>
            </w:pPr>
            <w:r w:rsidRPr="0042214E">
              <w:t>Negative impacts that are likely to occur as a direct consequence of implementing this option.</w:t>
            </w:r>
          </w:p>
        </w:tc>
        <w:tc>
          <w:tcPr>
            <w:tcW w:w="1440" w:type="dxa"/>
            <w:shd w:val="clear" w:color="auto" w:fill="FDEACC" w:themeFill="accent6"/>
          </w:tcPr>
          <w:p w14:paraId="5276CA22"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32355278"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shd w:val="clear" w:color="auto" w:fill="FDEACC" w:themeFill="accent6"/>
          </w:tcPr>
          <w:p w14:paraId="42A9907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7E1750DC"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5F85F3E4"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104E375F"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8579" w:type="dxa"/>
            <w:gridSpan w:val="6"/>
            <w:shd w:val="clear" w:color="auto" w:fill="E57200" w:themeFill="accent2"/>
          </w:tcPr>
          <w:p w14:paraId="2BAFBF64" w14:textId="77777777" w:rsidR="006450B5" w:rsidRPr="0042214E" w:rsidRDefault="006450B5" w:rsidP="006450B5">
            <w:pPr>
              <w:spacing w:before="40" w:after="40"/>
              <w:rPr>
                <w:b/>
                <w:color w:val="FFFFFF" w:themeColor="background1"/>
              </w:rPr>
            </w:pPr>
            <w:r w:rsidRPr="0042214E">
              <w:rPr>
                <w:b/>
                <w:color w:val="FFFFFF" w:themeColor="background1"/>
              </w:rPr>
              <w:t>Integrated analysis</w:t>
            </w:r>
          </w:p>
        </w:tc>
      </w:tr>
      <w:tr w:rsidR="006450B5" w:rsidRPr="0042214E" w14:paraId="4306ECC7"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23AEFB66" w14:textId="54195CCB" w:rsidR="006450B5" w:rsidRPr="0042214E" w:rsidRDefault="006450B5" w:rsidP="0096597E">
            <w:pPr>
              <w:pStyle w:val="Tabletext"/>
              <w:contextualSpacing/>
            </w:pPr>
            <w:r w:rsidRPr="0042214E">
              <w:t xml:space="preserve">Key </w:t>
            </w:r>
            <w:r w:rsidR="00A97326" w:rsidRPr="0042214E">
              <w:t>assumptions</w:t>
            </w:r>
          </w:p>
        </w:tc>
        <w:tc>
          <w:tcPr>
            <w:tcW w:w="1440" w:type="dxa"/>
          </w:tcPr>
          <w:p w14:paraId="0AEF414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17A76C94"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0CFD16F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6466300F"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3F4E89BD"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52717D5C"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7BB67551" w14:textId="441547C8" w:rsidR="006450B5" w:rsidRPr="0042214E" w:rsidRDefault="006450B5" w:rsidP="0096597E">
            <w:pPr>
              <w:pStyle w:val="Tabletext"/>
              <w:contextualSpacing/>
            </w:pPr>
            <w:r w:rsidRPr="0042214E">
              <w:t xml:space="preserve">Analysis </w:t>
            </w:r>
            <w:r w:rsidR="00A97326" w:rsidRPr="0042214E">
              <w:t xml:space="preserve">period </w:t>
            </w:r>
            <w:r w:rsidRPr="0042214E">
              <w:t>(years)</w:t>
            </w:r>
          </w:p>
        </w:tc>
        <w:tc>
          <w:tcPr>
            <w:tcW w:w="1440" w:type="dxa"/>
          </w:tcPr>
          <w:p w14:paraId="21BF9B44"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4EB4367A"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729AB7B1"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3485E52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0FB5F480"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748DA2C1"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66E3085D" w14:textId="477E95BA" w:rsidR="006450B5" w:rsidRPr="0042214E" w:rsidRDefault="006450B5" w:rsidP="0096597E">
            <w:pPr>
              <w:pStyle w:val="Tabletext"/>
              <w:contextualSpacing/>
            </w:pPr>
            <w:r w:rsidRPr="0042214E">
              <w:t xml:space="preserve">Capital </w:t>
            </w:r>
            <w:r w:rsidR="00A97326" w:rsidRPr="0042214E">
              <w:t xml:space="preserve">costs </w:t>
            </w:r>
            <w:r w:rsidRPr="0042214E">
              <w:t>($m)</w:t>
            </w:r>
          </w:p>
        </w:tc>
        <w:tc>
          <w:tcPr>
            <w:tcW w:w="1440" w:type="dxa"/>
          </w:tcPr>
          <w:p w14:paraId="2EC4BEBD"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4CD6222A"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4DE9865D"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12D48736"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7E53EBE5"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6F75BB1D"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78A9BBF9" w14:textId="6DE1F272" w:rsidR="006450B5" w:rsidRPr="0042214E" w:rsidRDefault="006450B5" w:rsidP="0096597E">
            <w:pPr>
              <w:pStyle w:val="Tabletext"/>
              <w:contextualSpacing/>
            </w:pPr>
            <w:r w:rsidRPr="0042214E">
              <w:t xml:space="preserve">Output </w:t>
            </w:r>
            <w:r w:rsidR="00A97326" w:rsidRPr="0042214E">
              <w:t xml:space="preserve">costs </w:t>
            </w:r>
            <w:r w:rsidRPr="0042214E">
              <w:t>($m)</w:t>
            </w:r>
          </w:p>
        </w:tc>
        <w:tc>
          <w:tcPr>
            <w:tcW w:w="1440" w:type="dxa"/>
          </w:tcPr>
          <w:p w14:paraId="229D3506"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0407DA82"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3C5670F6"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5B386EFF"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1F07207A"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755E6257"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8579" w:type="dxa"/>
            <w:gridSpan w:val="6"/>
            <w:shd w:val="clear" w:color="auto" w:fill="E57200" w:themeFill="accent2"/>
          </w:tcPr>
          <w:p w14:paraId="12983CBA" w14:textId="08546A7F" w:rsidR="006450B5" w:rsidRPr="0042214E" w:rsidRDefault="006450B5" w:rsidP="00BB1DF7">
            <w:pPr>
              <w:rPr>
                <w:b/>
                <w:color w:val="FFFFFF" w:themeColor="background1"/>
              </w:rPr>
            </w:pPr>
            <w:r w:rsidRPr="0042214E">
              <w:rPr>
                <w:b/>
                <w:color w:val="FFFFFF" w:themeColor="background1"/>
              </w:rPr>
              <w:t>Cost</w:t>
            </w:r>
            <w:r w:rsidR="00BB1DF7" w:rsidRPr="0042214E">
              <w:rPr>
                <w:b/>
                <w:color w:val="FFFFFF" w:themeColor="background1"/>
              </w:rPr>
              <w:t xml:space="preserve"> b</w:t>
            </w:r>
            <w:r w:rsidRPr="0042214E">
              <w:rPr>
                <w:b/>
                <w:color w:val="FFFFFF" w:themeColor="background1"/>
              </w:rPr>
              <w:t xml:space="preserve">enefit </w:t>
            </w:r>
            <w:r w:rsidR="00BB1DF7" w:rsidRPr="0042214E">
              <w:rPr>
                <w:b/>
                <w:color w:val="FFFFFF" w:themeColor="background1"/>
              </w:rPr>
              <w:t xml:space="preserve">analysis </w:t>
            </w:r>
            <w:r w:rsidRPr="0042214E">
              <w:rPr>
                <w:b/>
                <w:color w:val="FFFFFF" w:themeColor="background1"/>
              </w:rPr>
              <w:t xml:space="preserve">of monetary costs and benefits discounted at the appropriate </w:t>
            </w:r>
            <w:r w:rsidR="00A97326" w:rsidRPr="0042214E">
              <w:rPr>
                <w:b/>
                <w:color w:val="FFFFFF" w:themeColor="background1"/>
              </w:rPr>
              <w:t>discount rate</w:t>
            </w:r>
          </w:p>
        </w:tc>
      </w:tr>
      <w:tr w:rsidR="006450B5" w:rsidRPr="0042214E" w14:paraId="0380EBE6"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40EF9B57" w14:textId="11B752F2" w:rsidR="006450B5" w:rsidRPr="0042214E" w:rsidRDefault="006450B5" w:rsidP="0096597E">
            <w:pPr>
              <w:pStyle w:val="Tabletext"/>
              <w:contextualSpacing/>
            </w:pPr>
            <w:r w:rsidRPr="0042214E">
              <w:t xml:space="preserve">Present </w:t>
            </w:r>
            <w:r w:rsidR="00A97326" w:rsidRPr="0042214E">
              <w:t xml:space="preserve">value of benefits </w:t>
            </w:r>
            <w:r w:rsidRPr="0042214E">
              <w:t>($m)</w:t>
            </w:r>
          </w:p>
        </w:tc>
        <w:tc>
          <w:tcPr>
            <w:tcW w:w="1440" w:type="dxa"/>
          </w:tcPr>
          <w:p w14:paraId="43273CA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534DFF7F"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724F9382"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71DAE366"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7552C5F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5FF803A5"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03E68A56" w14:textId="2E22B97B" w:rsidR="006450B5" w:rsidRPr="0042214E" w:rsidRDefault="006450B5" w:rsidP="0096597E">
            <w:pPr>
              <w:pStyle w:val="Tabletext"/>
              <w:contextualSpacing/>
            </w:pPr>
            <w:r w:rsidRPr="0042214E">
              <w:t xml:space="preserve">Present </w:t>
            </w:r>
            <w:r w:rsidR="00A97326" w:rsidRPr="0042214E">
              <w:t xml:space="preserve">value of costs </w:t>
            </w:r>
            <w:r w:rsidRPr="0042214E">
              <w:t>($m)</w:t>
            </w:r>
          </w:p>
        </w:tc>
        <w:tc>
          <w:tcPr>
            <w:tcW w:w="1440" w:type="dxa"/>
          </w:tcPr>
          <w:p w14:paraId="3E55A610"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76D07CB7"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374D6E91"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309794B5"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4230AA09"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29CBF7C9"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48B0ABC1" w14:textId="38B1FDB3" w:rsidR="006450B5" w:rsidRPr="0042214E" w:rsidRDefault="006450B5" w:rsidP="0096597E">
            <w:pPr>
              <w:pStyle w:val="Tabletext"/>
              <w:contextualSpacing/>
            </w:pPr>
            <w:r w:rsidRPr="0042214E">
              <w:t xml:space="preserve">Benefit </w:t>
            </w:r>
            <w:r w:rsidR="00A97326" w:rsidRPr="0042214E">
              <w:t>cost ratio</w:t>
            </w:r>
          </w:p>
        </w:tc>
        <w:tc>
          <w:tcPr>
            <w:tcW w:w="1440" w:type="dxa"/>
          </w:tcPr>
          <w:p w14:paraId="3CB9EAA6"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436BAC7C"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14C4E425"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607123C6"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6F7655F1"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364150B3"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10EDAFF7" w14:textId="13916A07" w:rsidR="006450B5" w:rsidRPr="0042214E" w:rsidRDefault="006450B5" w:rsidP="0096597E">
            <w:pPr>
              <w:pStyle w:val="Tabletext"/>
              <w:contextualSpacing/>
            </w:pPr>
            <w:r w:rsidRPr="0042214E">
              <w:t xml:space="preserve">Net </w:t>
            </w:r>
            <w:r w:rsidR="00A97326" w:rsidRPr="0042214E">
              <w:t xml:space="preserve">present value </w:t>
            </w:r>
            <w:r w:rsidRPr="0042214E">
              <w:t>($m)</w:t>
            </w:r>
          </w:p>
        </w:tc>
        <w:tc>
          <w:tcPr>
            <w:tcW w:w="1440" w:type="dxa"/>
          </w:tcPr>
          <w:p w14:paraId="0984575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3516AE4B"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4229545A"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4695EA1F"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0043708C"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5BE7E2AE"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8579" w:type="dxa"/>
            <w:gridSpan w:val="6"/>
            <w:shd w:val="clear" w:color="auto" w:fill="E57200" w:themeFill="accent2"/>
          </w:tcPr>
          <w:p w14:paraId="02C1B275" w14:textId="77777777" w:rsidR="006450B5" w:rsidRPr="0042214E" w:rsidRDefault="006450B5" w:rsidP="006450B5">
            <w:pPr>
              <w:spacing w:before="40" w:after="40"/>
              <w:rPr>
                <w:b/>
                <w:color w:val="FFFFFF" w:themeColor="background1"/>
              </w:rPr>
            </w:pPr>
            <w:r w:rsidRPr="0042214E">
              <w:rPr>
                <w:b/>
                <w:color w:val="FFFFFF" w:themeColor="background1"/>
              </w:rPr>
              <w:t>Other important considerations (see the examples provided)</w:t>
            </w:r>
          </w:p>
        </w:tc>
      </w:tr>
      <w:tr w:rsidR="006450B5" w:rsidRPr="0042214E" w14:paraId="105F03A9"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69F0258C" w14:textId="19DD110B" w:rsidR="006450B5" w:rsidRPr="0042214E" w:rsidRDefault="006450B5" w:rsidP="0096597E">
            <w:pPr>
              <w:pStyle w:val="Tabletext"/>
              <w:contextualSpacing/>
            </w:pPr>
            <w:r w:rsidRPr="0042214E">
              <w:t>Intangible costs/benefits (</w:t>
            </w:r>
            <w:r w:rsidR="00FB7609" w:rsidRPr="0042214E">
              <w:t>e.g.,</w:t>
            </w:r>
            <w:r w:rsidRPr="0042214E">
              <w:t> small, med., large)</w:t>
            </w:r>
          </w:p>
        </w:tc>
        <w:tc>
          <w:tcPr>
            <w:tcW w:w="1440" w:type="dxa"/>
          </w:tcPr>
          <w:p w14:paraId="3CDD51C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119680E2"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55DB05D0"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4E7AE0B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5B0CAD3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36952651"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281C1F98" w14:textId="22639C91" w:rsidR="006450B5" w:rsidRPr="0042214E" w:rsidRDefault="006450B5" w:rsidP="0096597E">
            <w:pPr>
              <w:pStyle w:val="Tabletext"/>
              <w:contextualSpacing/>
            </w:pPr>
            <w:r w:rsidRPr="0042214E">
              <w:t>Distributional impacts (</w:t>
            </w:r>
            <w:r w:rsidR="00FB7609" w:rsidRPr="0042214E">
              <w:t>e.g.,</w:t>
            </w:r>
            <w:r w:rsidRPr="0042214E">
              <w:t> small, med., large)</w:t>
            </w:r>
          </w:p>
        </w:tc>
        <w:tc>
          <w:tcPr>
            <w:tcW w:w="1440" w:type="dxa"/>
          </w:tcPr>
          <w:p w14:paraId="59F4E2B5"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22AA277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74B83D9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5B20C43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13156374"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055BF933"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12EBCEB7" w14:textId="77777777" w:rsidR="006450B5" w:rsidRPr="0042214E" w:rsidRDefault="006450B5" w:rsidP="0096597E">
            <w:pPr>
              <w:pStyle w:val="Tabletext"/>
              <w:contextualSpacing/>
            </w:pPr>
            <w:r w:rsidRPr="0042214E">
              <w:t>…</w:t>
            </w:r>
          </w:p>
        </w:tc>
        <w:tc>
          <w:tcPr>
            <w:tcW w:w="1440" w:type="dxa"/>
          </w:tcPr>
          <w:p w14:paraId="7B65FB6C"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126B603D"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3C57BD55"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0D073010"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67CB828B"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44528DA3"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E57200" w:themeFill="accent2"/>
          </w:tcPr>
          <w:p w14:paraId="3473BFD1" w14:textId="77777777" w:rsidR="006450B5" w:rsidRPr="0042214E" w:rsidRDefault="006450B5" w:rsidP="006450B5">
            <w:pPr>
              <w:spacing w:before="40" w:after="40"/>
              <w:rPr>
                <w:b/>
                <w:color w:val="FFFFFF" w:themeColor="background1"/>
              </w:rPr>
            </w:pPr>
            <w:r w:rsidRPr="0042214E">
              <w:rPr>
                <w:b/>
                <w:color w:val="FFFFFF" w:themeColor="background1"/>
              </w:rPr>
              <w:t xml:space="preserve">Risks </w:t>
            </w:r>
          </w:p>
          <w:p w14:paraId="579287CC" w14:textId="77777777" w:rsidR="006450B5" w:rsidRPr="0042214E" w:rsidRDefault="006450B5" w:rsidP="006450B5">
            <w:pPr>
              <w:spacing w:before="40" w:after="40"/>
              <w:rPr>
                <w:color w:val="FFFFFF" w:themeColor="background1"/>
              </w:rPr>
            </w:pPr>
            <w:r w:rsidRPr="0042214E">
              <w:rPr>
                <w:color w:val="FFFFFF" w:themeColor="background1"/>
              </w:rPr>
              <w:t>Primary risks that the expected benefits will fail to be delivered</w:t>
            </w:r>
          </w:p>
          <w:p w14:paraId="2B7072E7" w14:textId="586573A6" w:rsidR="006450B5" w:rsidRPr="0042214E" w:rsidRDefault="006450B5" w:rsidP="00BB1DF7">
            <w:pPr>
              <w:spacing w:before="40" w:after="40"/>
              <w:rPr>
                <w:color w:val="FFFFFF" w:themeColor="background1"/>
              </w:rPr>
            </w:pPr>
            <w:r w:rsidRPr="0042214E">
              <w:rPr>
                <w:color w:val="FFFFFF" w:themeColor="background1"/>
              </w:rPr>
              <w:t>(</w:t>
            </w:r>
            <w:r w:rsidR="00BB1DF7" w:rsidRPr="0042214E">
              <w:rPr>
                <w:color w:val="FFFFFF" w:themeColor="background1"/>
              </w:rPr>
              <w:t>criticality</w:t>
            </w:r>
            <w:r w:rsidRPr="0042214E">
              <w:rPr>
                <w:color w:val="FFFFFF" w:themeColor="background1"/>
              </w:rPr>
              <w:t>/</w:t>
            </w:r>
            <w:r w:rsidR="00BB1DF7" w:rsidRPr="0042214E">
              <w:rPr>
                <w:color w:val="FFFFFF" w:themeColor="background1"/>
              </w:rPr>
              <w:t>likelihood</w:t>
            </w:r>
            <w:r w:rsidRPr="0042214E">
              <w:rPr>
                <w:color w:val="FFFFFF" w:themeColor="background1"/>
              </w:rPr>
              <w:t>) H/M/L</w:t>
            </w:r>
          </w:p>
        </w:tc>
        <w:tc>
          <w:tcPr>
            <w:tcW w:w="1440" w:type="dxa"/>
            <w:shd w:val="clear" w:color="auto" w:fill="E57200" w:themeFill="accent2"/>
          </w:tcPr>
          <w:p w14:paraId="13F4E0F0"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E57200" w:themeFill="accent2"/>
          </w:tcPr>
          <w:p w14:paraId="34660292"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pPr>
          </w:p>
        </w:tc>
        <w:tc>
          <w:tcPr>
            <w:tcW w:w="990" w:type="dxa"/>
            <w:shd w:val="clear" w:color="auto" w:fill="E57200" w:themeFill="accent2"/>
          </w:tcPr>
          <w:p w14:paraId="487D7B66"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E57200" w:themeFill="accent2"/>
          </w:tcPr>
          <w:p w14:paraId="10F3C229"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E57200" w:themeFill="accent2"/>
          </w:tcPr>
          <w:p w14:paraId="726C6B05"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pPr>
          </w:p>
        </w:tc>
      </w:tr>
      <w:tr w:rsidR="006450B5" w:rsidRPr="0042214E" w14:paraId="3829E4D0"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2E107291" w14:textId="77777777" w:rsidR="006450B5" w:rsidRPr="0042214E" w:rsidRDefault="006450B5" w:rsidP="006450B5">
            <w:pPr>
              <w:spacing w:before="40" w:after="40"/>
              <w:rPr>
                <w:color w:val="000000" w:themeColor="text1"/>
              </w:rPr>
            </w:pPr>
          </w:p>
        </w:tc>
        <w:tc>
          <w:tcPr>
            <w:tcW w:w="1440" w:type="dxa"/>
            <w:shd w:val="clear" w:color="auto" w:fill="auto"/>
          </w:tcPr>
          <w:p w14:paraId="48080209"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80" w:type="dxa"/>
            <w:shd w:val="clear" w:color="auto" w:fill="auto"/>
          </w:tcPr>
          <w:p w14:paraId="7642F98B"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0" w:type="dxa"/>
            <w:shd w:val="clear" w:color="auto" w:fill="auto"/>
          </w:tcPr>
          <w:p w14:paraId="026C4761"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80" w:type="dxa"/>
            <w:shd w:val="clear" w:color="auto" w:fill="auto"/>
          </w:tcPr>
          <w:p w14:paraId="0EFB0DB6"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80" w:type="dxa"/>
            <w:shd w:val="clear" w:color="auto" w:fill="auto"/>
          </w:tcPr>
          <w:p w14:paraId="5049BECF"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450B5" w:rsidRPr="0042214E" w14:paraId="270D4E10"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E57200" w:themeFill="accent2"/>
          </w:tcPr>
          <w:p w14:paraId="3A3BE2B1" w14:textId="77777777" w:rsidR="006450B5" w:rsidRPr="0042214E" w:rsidRDefault="006450B5" w:rsidP="006450B5">
            <w:pPr>
              <w:spacing w:before="40" w:after="40"/>
              <w:rPr>
                <w:b/>
                <w:color w:val="FFFFFF" w:themeColor="background1"/>
              </w:rPr>
            </w:pPr>
            <w:r w:rsidRPr="0042214E">
              <w:rPr>
                <w:b/>
                <w:color w:val="FFFFFF" w:themeColor="background1"/>
              </w:rPr>
              <w:t xml:space="preserve">Time </w:t>
            </w:r>
          </w:p>
          <w:p w14:paraId="2674860E" w14:textId="431C4565" w:rsidR="006450B5" w:rsidRPr="0042214E" w:rsidRDefault="006450B5" w:rsidP="00BB1DF7">
            <w:pPr>
              <w:spacing w:before="40" w:after="40"/>
              <w:rPr>
                <w:color w:val="FFFFFF" w:themeColor="background1"/>
              </w:rPr>
            </w:pPr>
            <w:r w:rsidRPr="0042214E">
              <w:rPr>
                <w:color w:val="FFFFFF" w:themeColor="background1"/>
              </w:rPr>
              <w:t>From funding date to delivery of benefits (</w:t>
            </w:r>
            <w:r w:rsidR="00BB1DF7" w:rsidRPr="0042214E">
              <w:rPr>
                <w:color w:val="FFFFFF" w:themeColor="background1"/>
              </w:rPr>
              <w:t>range</w:t>
            </w:r>
            <w:r w:rsidRPr="0042214E">
              <w:rPr>
                <w:color w:val="FFFFFF" w:themeColor="background1"/>
              </w:rPr>
              <w:t>)</w:t>
            </w:r>
          </w:p>
        </w:tc>
        <w:tc>
          <w:tcPr>
            <w:tcW w:w="1440" w:type="dxa"/>
            <w:shd w:val="clear" w:color="auto" w:fill="E57200" w:themeFill="accent2"/>
          </w:tcPr>
          <w:p w14:paraId="5F479430"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E57200" w:themeFill="accent2"/>
          </w:tcPr>
          <w:p w14:paraId="580CCBC1"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pPr>
          </w:p>
        </w:tc>
        <w:tc>
          <w:tcPr>
            <w:tcW w:w="990" w:type="dxa"/>
            <w:shd w:val="clear" w:color="auto" w:fill="E57200" w:themeFill="accent2"/>
          </w:tcPr>
          <w:p w14:paraId="7DF18E8A"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E57200" w:themeFill="accent2"/>
          </w:tcPr>
          <w:p w14:paraId="36F645C2"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E57200" w:themeFill="accent2"/>
          </w:tcPr>
          <w:p w14:paraId="20DF069C"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pPr>
          </w:p>
        </w:tc>
      </w:tr>
      <w:tr w:rsidR="006450B5" w:rsidRPr="0042214E" w14:paraId="6D2CBB4B"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447888EA" w14:textId="4AF1D934" w:rsidR="006450B5" w:rsidRPr="0042214E" w:rsidRDefault="006450B5" w:rsidP="0096597E">
            <w:pPr>
              <w:spacing w:before="60" w:after="60"/>
              <w:contextualSpacing/>
              <w:rPr>
                <w:color w:val="000000" w:themeColor="text1"/>
              </w:rPr>
            </w:pPr>
            <w:r w:rsidRPr="0042214E">
              <w:rPr>
                <w:color w:val="000000" w:themeColor="text1"/>
              </w:rPr>
              <w:t>From funding date to operation (</w:t>
            </w:r>
            <w:r w:rsidR="0096597E" w:rsidRPr="0042214E">
              <w:rPr>
                <w:color w:val="000000" w:themeColor="text1"/>
              </w:rPr>
              <w:t>range</w:t>
            </w:r>
            <w:r w:rsidRPr="0042214E">
              <w:rPr>
                <w:color w:val="000000" w:themeColor="text1"/>
              </w:rPr>
              <w:t>)</w:t>
            </w:r>
          </w:p>
        </w:tc>
        <w:tc>
          <w:tcPr>
            <w:tcW w:w="1440" w:type="dxa"/>
          </w:tcPr>
          <w:p w14:paraId="5F294F5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80" w:type="dxa"/>
          </w:tcPr>
          <w:p w14:paraId="4ED50695"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0" w:type="dxa"/>
          </w:tcPr>
          <w:p w14:paraId="5D6A5D64"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80" w:type="dxa"/>
          </w:tcPr>
          <w:p w14:paraId="548DA84F"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80" w:type="dxa"/>
          </w:tcPr>
          <w:p w14:paraId="597EB684"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450B5" w:rsidRPr="0042214E" w14:paraId="7F6B8C7B"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auto"/>
          </w:tcPr>
          <w:p w14:paraId="681A282D" w14:textId="5DC41AC8" w:rsidR="006450B5" w:rsidRPr="0042214E" w:rsidRDefault="006450B5" w:rsidP="0096597E">
            <w:pPr>
              <w:spacing w:before="60" w:after="60"/>
              <w:contextualSpacing/>
              <w:rPr>
                <w:color w:val="000000" w:themeColor="text1"/>
              </w:rPr>
            </w:pPr>
            <w:r w:rsidRPr="0042214E">
              <w:rPr>
                <w:color w:val="000000" w:themeColor="text1"/>
              </w:rPr>
              <w:t>From funding date to delivery of benefits (</w:t>
            </w:r>
            <w:r w:rsidR="0096597E" w:rsidRPr="0042214E">
              <w:rPr>
                <w:color w:val="000000" w:themeColor="text1"/>
              </w:rPr>
              <w:t>range</w:t>
            </w:r>
            <w:r w:rsidRPr="0042214E">
              <w:rPr>
                <w:color w:val="000000" w:themeColor="text1"/>
              </w:rPr>
              <w:t>)</w:t>
            </w:r>
          </w:p>
        </w:tc>
        <w:tc>
          <w:tcPr>
            <w:tcW w:w="1440" w:type="dxa"/>
          </w:tcPr>
          <w:p w14:paraId="4E8430F8"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80" w:type="dxa"/>
          </w:tcPr>
          <w:p w14:paraId="40578624"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990" w:type="dxa"/>
          </w:tcPr>
          <w:p w14:paraId="78C1EA11"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80" w:type="dxa"/>
          </w:tcPr>
          <w:p w14:paraId="423D89F5"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80" w:type="dxa"/>
          </w:tcPr>
          <w:p w14:paraId="4DE2588A"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450B5" w:rsidRPr="0042214E" w14:paraId="176554A4"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E57200" w:themeFill="accent2"/>
          </w:tcPr>
          <w:p w14:paraId="5BF94F88" w14:textId="77777777" w:rsidR="006450B5" w:rsidRPr="0042214E" w:rsidRDefault="006450B5" w:rsidP="006450B5">
            <w:pPr>
              <w:spacing w:before="40" w:after="40"/>
              <w:rPr>
                <w:b/>
                <w:color w:val="FFFFFF" w:themeColor="background1"/>
              </w:rPr>
            </w:pPr>
            <w:r w:rsidRPr="0042214E">
              <w:rPr>
                <w:b/>
                <w:color w:val="FFFFFF" w:themeColor="background1"/>
              </w:rPr>
              <w:t>Preferred option</w:t>
            </w:r>
          </w:p>
        </w:tc>
        <w:tc>
          <w:tcPr>
            <w:tcW w:w="1440" w:type="dxa"/>
            <w:shd w:val="clear" w:color="auto" w:fill="E57200" w:themeFill="accent2"/>
          </w:tcPr>
          <w:p w14:paraId="066CF032"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080" w:type="dxa"/>
            <w:shd w:val="clear" w:color="auto" w:fill="E57200" w:themeFill="accent2"/>
          </w:tcPr>
          <w:p w14:paraId="1C477533"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990" w:type="dxa"/>
            <w:shd w:val="clear" w:color="auto" w:fill="E57200" w:themeFill="accent2"/>
          </w:tcPr>
          <w:p w14:paraId="7C67E07E"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080" w:type="dxa"/>
            <w:shd w:val="clear" w:color="auto" w:fill="E57200" w:themeFill="accent2"/>
          </w:tcPr>
          <w:p w14:paraId="381C401A"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1080" w:type="dxa"/>
            <w:shd w:val="clear" w:color="auto" w:fill="E57200" w:themeFill="accent2"/>
          </w:tcPr>
          <w:p w14:paraId="2ED408E0"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6450B5" w:rsidRPr="0042214E" w14:paraId="5D29C787"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E57200" w:themeFill="accent2"/>
          </w:tcPr>
          <w:p w14:paraId="256CD432" w14:textId="77777777" w:rsidR="006450B5" w:rsidRPr="0042214E" w:rsidRDefault="006450B5" w:rsidP="006450B5">
            <w:pPr>
              <w:spacing w:before="40" w:after="40"/>
              <w:rPr>
                <w:b/>
                <w:color w:val="FFFFFF" w:themeColor="background1"/>
              </w:rPr>
            </w:pPr>
            <w:r w:rsidRPr="0042214E">
              <w:rPr>
                <w:b/>
                <w:color w:val="FFFFFF" w:themeColor="background1"/>
              </w:rPr>
              <w:t>Overall assessment</w:t>
            </w:r>
          </w:p>
        </w:tc>
        <w:tc>
          <w:tcPr>
            <w:tcW w:w="5670" w:type="dxa"/>
            <w:gridSpan w:val="5"/>
            <w:shd w:val="clear" w:color="auto" w:fill="auto"/>
          </w:tcPr>
          <w:p w14:paraId="5B1559FB"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rPr>
                <w:b/>
                <w:color w:val="000000" w:themeColor="text1"/>
              </w:rPr>
            </w:pPr>
          </w:p>
        </w:tc>
      </w:tr>
      <w:tr w:rsidR="006450B5" w:rsidRPr="0042214E" w14:paraId="7A721B8C"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09" w:type="dxa"/>
            <w:shd w:val="clear" w:color="auto" w:fill="E57200" w:themeFill="accent2"/>
          </w:tcPr>
          <w:p w14:paraId="26D85B9D" w14:textId="77777777" w:rsidR="006450B5" w:rsidRPr="0042214E" w:rsidRDefault="006450B5" w:rsidP="006450B5">
            <w:pPr>
              <w:spacing w:before="40" w:after="40"/>
              <w:rPr>
                <w:b/>
                <w:color w:val="FFFFFF" w:themeColor="background1"/>
              </w:rPr>
            </w:pPr>
            <w:r w:rsidRPr="0042214E">
              <w:rPr>
                <w:b/>
                <w:color w:val="FFFFFF" w:themeColor="background1"/>
              </w:rPr>
              <w:t>Recommendation</w:t>
            </w:r>
          </w:p>
        </w:tc>
        <w:tc>
          <w:tcPr>
            <w:tcW w:w="5670" w:type="dxa"/>
            <w:gridSpan w:val="5"/>
            <w:shd w:val="clear" w:color="auto" w:fill="auto"/>
          </w:tcPr>
          <w:p w14:paraId="553F5A25" w14:textId="77777777" w:rsidR="006450B5" w:rsidRPr="0042214E" w:rsidRDefault="006450B5" w:rsidP="0096597E">
            <w:pPr>
              <w:pStyle w:val="Tabletext"/>
              <w:cnfStyle w:val="000000000000" w:firstRow="0" w:lastRow="0" w:firstColumn="0" w:lastColumn="0" w:oddVBand="0" w:evenVBand="0" w:oddHBand="0" w:evenHBand="0" w:firstRowFirstColumn="0" w:firstRowLastColumn="0" w:lastRowFirstColumn="0" w:lastRowLastColumn="0"/>
              <w:rPr>
                <w:b/>
                <w:color w:val="000000" w:themeColor="text1"/>
              </w:rPr>
            </w:pPr>
          </w:p>
        </w:tc>
      </w:tr>
    </w:tbl>
    <w:p w14:paraId="08FE9040" w14:textId="6AB03AFE" w:rsidR="006450B5" w:rsidRPr="0042214E" w:rsidRDefault="006450B5" w:rsidP="0096597E">
      <w:pPr>
        <w:pStyle w:val="Caption"/>
        <w:pageBreakBefore/>
        <w:ind w:left="720"/>
      </w:pPr>
      <w:bookmarkStart w:id="154" w:name="_Ref24627739"/>
      <w:r w:rsidRPr="0042214E">
        <w:lastRenderedPageBreak/>
        <w:t xml:space="preserve">Table </w:t>
      </w:r>
      <w:fldSimple w:instr=" SEQ Table \* ARABIC ">
        <w:r w:rsidR="00295E8F">
          <w:rPr>
            <w:noProof/>
          </w:rPr>
          <w:t>9</w:t>
        </w:r>
      </w:fldSimple>
      <w:bookmarkEnd w:id="154"/>
      <w:r w:rsidRPr="0042214E">
        <w:t>: Presenting the results of the options analysis, with multi</w:t>
      </w:r>
      <w:r w:rsidR="00034452" w:rsidRPr="0042214E">
        <w:noBreakHyphen/>
      </w:r>
      <w:r w:rsidRPr="0042214E">
        <w:t>criteria analysis</w:t>
      </w:r>
    </w:p>
    <w:tbl>
      <w:tblPr>
        <w:tblStyle w:val="TableGrid"/>
        <w:tblW w:w="8550" w:type="dxa"/>
        <w:tblInd w:w="792" w:type="dxa"/>
        <w:tblLayout w:type="fixed"/>
        <w:tblLook w:val="04A0" w:firstRow="1" w:lastRow="0" w:firstColumn="1" w:lastColumn="0" w:noHBand="0" w:noVBand="1"/>
      </w:tblPr>
      <w:tblGrid>
        <w:gridCol w:w="2936"/>
        <w:gridCol w:w="1440"/>
        <w:gridCol w:w="1080"/>
        <w:gridCol w:w="990"/>
        <w:gridCol w:w="1080"/>
        <w:gridCol w:w="1024"/>
      </w:tblGrid>
      <w:tr w:rsidR="006450B5" w:rsidRPr="0042214E" w14:paraId="3F159888" w14:textId="77777777" w:rsidTr="0096597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36" w:type="dxa"/>
            <w:shd w:val="clear" w:color="auto" w:fill="E57200" w:themeFill="accent2"/>
          </w:tcPr>
          <w:p w14:paraId="28F0AB70" w14:textId="77777777" w:rsidR="006450B5" w:rsidRPr="0042214E" w:rsidRDefault="006450B5" w:rsidP="0096597E">
            <w:pPr>
              <w:pStyle w:val="Tableheader"/>
              <w:rPr>
                <w:b/>
              </w:rPr>
            </w:pPr>
            <w:r w:rsidRPr="0042214E">
              <w:rPr>
                <w:b/>
              </w:rPr>
              <w:t xml:space="preserve">Strategic response: </w:t>
            </w:r>
          </w:p>
        </w:tc>
        <w:tc>
          <w:tcPr>
            <w:tcW w:w="5614" w:type="dxa"/>
            <w:gridSpan w:val="5"/>
            <w:shd w:val="clear" w:color="auto" w:fill="E57200" w:themeFill="accent2"/>
          </w:tcPr>
          <w:p w14:paraId="33EDA667" w14:textId="77777777" w:rsidR="006450B5" w:rsidRPr="0042214E" w:rsidRDefault="006450B5" w:rsidP="0096597E">
            <w:pPr>
              <w:pStyle w:val="Tableheader"/>
              <w:cnfStyle w:val="100000000000" w:firstRow="1" w:lastRow="0" w:firstColumn="0" w:lastColumn="0" w:oddVBand="0" w:evenVBand="0" w:oddHBand="0" w:evenHBand="0" w:firstRowFirstColumn="0" w:firstRowLastColumn="0" w:lastRowFirstColumn="0" w:lastRowLastColumn="0"/>
              <w:rPr>
                <w:b/>
              </w:rPr>
            </w:pPr>
            <w:r w:rsidRPr="0042214E">
              <w:rPr>
                <w:b/>
              </w:rPr>
              <w:t>[Name]</w:t>
            </w:r>
          </w:p>
        </w:tc>
      </w:tr>
      <w:tr w:rsidR="006450B5" w:rsidRPr="0042214E" w14:paraId="5F704F75"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shd w:val="clear" w:color="auto" w:fill="E57200" w:themeFill="accent2"/>
          </w:tcPr>
          <w:p w14:paraId="3A896E73" w14:textId="77777777" w:rsidR="006450B5" w:rsidRPr="0042214E" w:rsidRDefault="006450B5" w:rsidP="006450B5">
            <w:pPr>
              <w:spacing w:before="40" w:after="40"/>
              <w:rPr>
                <w:b/>
                <w:color w:val="FFFFFF" w:themeColor="background1"/>
              </w:rPr>
            </w:pPr>
          </w:p>
        </w:tc>
        <w:tc>
          <w:tcPr>
            <w:tcW w:w="1440" w:type="dxa"/>
            <w:shd w:val="clear" w:color="auto" w:fill="E57200" w:themeFill="accent2"/>
          </w:tcPr>
          <w:p w14:paraId="455F11D6"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r w:rsidRPr="0042214E">
              <w:rPr>
                <w:b/>
                <w:color w:val="FFFFFF" w:themeColor="background1"/>
              </w:rPr>
              <w:t>Project option 1: Do Nothing</w:t>
            </w:r>
          </w:p>
        </w:tc>
        <w:tc>
          <w:tcPr>
            <w:tcW w:w="1080" w:type="dxa"/>
            <w:shd w:val="clear" w:color="auto" w:fill="E57200" w:themeFill="accent2"/>
          </w:tcPr>
          <w:p w14:paraId="6B3C1355"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r w:rsidRPr="0042214E">
              <w:rPr>
                <w:b/>
                <w:color w:val="FFFFFF" w:themeColor="background1"/>
              </w:rPr>
              <w:t>Project option 2:</w:t>
            </w:r>
          </w:p>
        </w:tc>
        <w:tc>
          <w:tcPr>
            <w:tcW w:w="990" w:type="dxa"/>
            <w:shd w:val="clear" w:color="auto" w:fill="E57200" w:themeFill="accent2"/>
          </w:tcPr>
          <w:p w14:paraId="7ABEA6DA"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r w:rsidRPr="0042214E">
              <w:rPr>
                <w:b/>
                <w:color w:val="FFFFFF" w:themeColor="background1"/>
              </w:rPr>
              <w:t>Project option 3:</w:t>
            </w:r>
          </w:p>
        </w:tc>
        <w:tc>
          <w:tcPr>
            <w:tcW w:w="1080" w:type="dxa"/>
            <w:shd w:val="clear" w:color="auto" w:fill="E57200" w:themeFill="accent2"/>
          </w:tcPr>
          <w:p w14:paraId="7F13E683"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r w:rsidRPr="0042214E">
              <w:rPr>
                <w:b/>
                <w:color w:val="FFFFFF" w:themeColor="background1"/>
              </w:rPr>
              <w:t>Project option 4:</w:t>
            </w:r>
          </w:p>
        </w:tc>
        <w:tc>
          <w:tcPr>
            <w:tcW w:w="1024" w:type="dxa"/>
            <w:shd w:val="clear" w:color="auto" w:fill="E57200" w:themeFill="accent2"/>
          </w:tcPr>
          <w:p w14:paraId="397F3064"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r w:rsidRPr="0042214E">
              <w:rPr>
                <w:b/>
                <w:color w:val="FFFFFF" w:themeColor="background1"/>
              </w:rPr>
              <w:t>Project option 5:</w:t>
            </w:r>
          </w:p>
        </w:tc>
      </w:tr>
      <w:tr w:rsidR="006450B5" w:rsidRPr="0042214E" w14:paraId="43F9AE14"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8550" w:type="dxa"/>
            <w:gridSpan w:val="6"/>
            <w:shd w:val="clear" w:color="auto" w:fill="E57200" w:themeFill="accent2"/>
          </w:tcPr>
          <w:p w14:paraId="72A52141" w14:textId="77777777" w:rsidR="006450B5" w:rsidRPr="0042214E" w:rsidRDefault="006450B5" w:rsidP="006450B5">
            <w:pPr>
              <w:spacing w:before="40" w:after="40"/>
              <w:rPr>
                <w:b/>
                <w:color w:val="FFFFFF" w:themeColor="background1"/>
              </w:rPr>
            </w:pPr>
            <w:r w:rsidRPr="0042214E">
              <w:rPr>
                <w:b/>
                <w:color w:val="FFFFFF" w:themeColor="background1"/>
              </w:rPr>
              <w:t>Investment benefits</w:t>
            </w:r>
          </w:p>
        </w:tc>
      </w:tr>
      <w:tr w:rsidR="006450B5" w:rsidRPr="0042214E" w14:paraId="023EEAC8" w14:textId="77777777" w:rsidTr="00EF49E9">
        <w:trPr>
          <w:cantSplit/>
        </w:trPr>
        <w:tc>
          <w:tcPr>
            <w:cnfStyle w:val="001000000000" w:firstRow="0" w:lastRow="0" w:firstColumn="1" w:lastColumn="0" w:oddVBand="0" w:evenVBand="0" w:oddHBand="0" w:evenHBand="0" w:firstRowFirstColumn="0" w:firstRowLastColumn="0" w:lastRowFirstColumn="0" w:lastRowLastColumn="0"/>
            <w:tcW w:w="2936" w:type="dxa"/>
            <w:shd w:val="clear" w:color="auto" w:fill="FDEACC" w:themeFill="accent6"/>
          </w:tcPr>
          <w:p w14:paraId="5C980BA8" w14:textId="77777777" w:rsidR="006450B5" w:rsidRPr="0042214E" w:rsidRDefault="006450B5" w:rsidP="0096597E">
            <w:pPr>
              <w:pStyle w:val="Tabletext"/>
              <w:contextualSpacing/>
            </w:pPr>
            <w:r w:rsidRPr="0042214E">
              <w:t xml:space="preserve">% </w:t>
            </w:r>
            <w:proofErr w:type="gramStart"/>
            <w:r w:rsidRPr="0042214E">
              <w:t>of</w:t>
            </w:r>
            <w:proofErr w:type="gramEnd"/>
            <w:r w:rsidRPr="0042214E">
              <w:t xml:space="preserve"> full benefits to be delivered</w:t>
            </w:r>
          </w:p>
        </w:tc>
        <w:tc>
          <w:tcPr>
            <w:tcW w:w="1440" w:type="dxa"/>
            <w:shd w:val="clear" w:color="auto" w:fill="FDEACC" w:themeFill="accent6"/>
          </w:tcPr>
          <w:p w14:paraId="5004166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47DD511A"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shd w:val="clear" w:color="auto" w:fill="FDEACC" w:themeFill="accent6"/>
          </w:tcPr>
          <w:p w14:paraId="107D35C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2E85CDC5"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shd w:val="clear" w:color="auto" w:fill="FDEACC" w:themeFill="accent6"/>
          </w:tcPr>
          <w:p w14:paraId="5E33BF4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50B72DD7" w14:textId="77777777" w:rsidTr="00EF49E9">
        <w:trPr>
          <w:cantSplit/>
        </w:trPr>
        <w:tc>
          <w:tcPr>
            <w:cnfStyle w:val="001000000000" w:firstRow="0" w:lastRow="0" w:firstColumn="1" w:lastColumn="0" w:oddVBand="0" w:evenVBand="0" w:oddHBand="0" w:evenHBand="0" w:firstRowFirstColumn="0" w:firstRowLastColumn="0" w:lastRowFirstColumn="0" w:lastRowLastColumn="0"/>
            <w:tcW w:w="2936" w:type="dxa"/>
            <w:shd w:val="clear" w:color="auto" w:fill="FDEACC" w:themeFill="accent6"/>
          </w:tcPr>
          <w:p w14:paraId="42C1AD28" w14:textId="77777777" w:rsidR="006450B5" w:rsidRPr="0042214E" w:rsidRDefault="006450B5" w:rsidP="0096597E">
            <w:pPr>
              <w:pStyle w:val="Tabletext"/>
              <w:contextualSpacing/>
            </w:pPr>
            <w:r w:rsidRPr="0042214E">
              <w:t xml:space="preserve">Benefit 1… </w:t>
            </w:r>
          </w:p>
        </w:tc>
        <w:tc>
          <w:tcPr>
            <w:tcW w:w="1440" w:type="dxa"/>
            <w:shd w:val="clear" w:color="auto" w:fill="FDEACC" w:themeFill="accent6"/>
          </w:tcPr>
          <w:p w14:paraId="1B1CC1B6"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394015FF"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shd w:val="clear" w:color="auto" w:fill="FDEACC" w:themeFill="accent6"/>
          </w:tcPr>
          <w:p w14:paraId="6A9897EC"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7B093317"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shd w:val="clear" w:color="auto" w:fill="FDEACC" w:themeFill="accent6"/>
          </w:tcPr>
          <w:p w14:paraId="2AF9EAF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64C56BC8" w14:textId="77777777" w:rsidTr="00EF49E9">
        <w:trPr>
          <w:cantSplit/>
        </w:trPr>
        <w:tc>
          <w:tcPr>
            <w:cnfStyle w:val="001000000000" w:firstRow="0" w:lastRow="0" w:firstColumn="1" w:lastColumn="0" w:oddVBand="0" w:evenVBand="0" w:oddHBand="0" w:evenHBand="0" w:firstRowFirstColumn="0" w:firstRowLastColumn="0" w:lastRowFirstColumn="0" w:lastRowLastColumn="0"/>
            <w:tcW w:w="2936" w:type="dxa"/>
            <w:shd w:val="clear" w:color="auto" w:fill="FDEACC" w:themeFill="accent6"/>
          </w:tcPr>
          <w:p w14:paraId="1E666879" w14:textId="77777777" w:rsidR="006450B5" w:rsidRPr="0042214E" w:rsidRDefault="006450B5" w:rsidP="0096597E">
            <w:pPr>
              <w:pStyle w:val="Tabletext"/>
              <w:contextualSpacing/>
            </w:pPr>
            <w:r w:rsidRPr="0042214E">
              <w:t xml:space="preserve">Benefit 2… </w:t>
            </w:r>
          </w:p>
        </w:tc>
        <w:tc>
          <w:tcPr>
            <w:tcW w:w="1440" w:type="dxa"/>
            <w:shd w:val="clear" w:color="auto" w:fill="FDEACC" w:themeFill="accent6"/>
          </w:tcPr>
          <w:p w14:paraId="59C2BBDA"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1EAD887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shd w:val="clear" w:color="auto" w:fill="FDEACC" w:themeFill="accent6"/>
          </w:tcPr>
          <w:p w14:paraId="025A0BA4"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537D3917"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shd w:val="clear" w:color="auto" w:fill="FDEACC" w:themeFill="accent6"/>
          </w:tcPr>
          <w:p w14:paraId="06040F2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3515923B" w14:textId="77777777" w:rsidTr="00EF49E9">
        <w:trPr>
          <w:cantSplit/>
        </w:trPr>
        <w:tc>
          <w:tcPr>
            <w:cnfStyle w:val="001000000000" w:firstRow="0" w:lastRow="0" w:firstColumn="1" w:lastColumn="0" w:oddVBand="0" w:evenVBand="0" w:oddHBand="0" w:evenHBand="0" w:firstRowFirstColumn="0" w:firstRowLastColumn="0" w:lastRowFirstColumn="0" w:lastRowLastColumn="0"/>
            <w:tcW w:w="2936" w:type="dxa"/>
            <w:shd w:val="clear" w:color="auto" w:fill="FDEACC" w:themeFill="accent6"/>
          </w:tcPr>
          <w:p w14:paraId="04C4CF19" w14:textId="0F235E8B" w:rsidR="006450B5" w:rsidRPr="0042214E" w:rsidRDefault="006450B5" w:rsidP="0096597E">
            <w:pPr>
              <w:pStyle w:val="Tabletext"/>
              <w:contextualSpacing/>
            </w:pPr>
            <w:r w:rsidRPr="0042214E">
              <w:t>Dis</w:t>
            </w:r>
            <w:r w:rsidR="00034452" w:rsidRPr="0042214E">
              <w:noBreakHyphen/>
            </w:r>
            <w:r w:rsidRPr="0042214E">
              <w:t>benefits</w:t>
            </w:r>
          </w:p>
          <w:p w14:paraId="0D4993BA" w14:textId="77777777" w:rsidR="006450B5" w:rsidRPr="0042214E" w:rsidRDefault="006450B5" w:rsidP="0096597E">
            <w:pPr>
              <w:pStyle w:val="Tabletext"/>
              <w:contextualSpacing/>
            </w:pPr>
            <w:r w:rsidRPr="0042214E">
              <w:t>Negative impacts that are likely to occur as a direct consequence of implementing this option.</w:t>
            </w:r>
          </w:p>
        </w:tc>
        <w:tc>
          <w:tcPr>
            <w:tcW w:w="1440" w:type="dxa"/>
            <w:shd w:val="clear" w:color="auto" w:fill="FDEACC" w:themeFill="accent6"/>
          </w:tcPr>
          <w:p w14:paraId="5AB50F66"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6F1CAB2C"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shd w:val="clear" w:color="auto" w:fill="FDEACC" w:themeFill="accent6"/>
          </w:tcPr>
          <w:p w14:paraId="39DF9F2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FDEACC" w:themeFill="accent6"/>
          </w:tcPr>
          <w:p w14:paraId="52E8C7C6"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shd w:val="clear" w:color="auto" w:fill="FDEACC" w:themeFill="accent6"/>
          </w:tcPr>
          <w:p w14:paraId="4744CA66"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33A79637"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8550" w:type="dxa"/>
            <w:gridSpan w:val="6"/>
            <w:shd w:val="clear" w:color="auto" w:fill="E57200" w:themeFill="accent2"/>
          </w:tcPr>
          <w:p w14:paraId="1797BFD9" w14:textId="77777777" w:rsidR="006450B5" w:rsidRPr="0042214E" w:rsidRDefault="006450B5" w:rsidP="006450B5">
            <w:pPr>
              <w:spacing w:before="40" w:after="40"/>
              <w:rPr>
                <w:b/>
                <w:color w:val="FFFFFF" w:themeColor="background1"/>
              </w:rPr>
            </w:pPr>
            <w:r w:rsidRPr="0042214E">
              <w:rPr>
                <w:b/>
                <w:color w:val="FFFFFF" w:themeColor="background1"/>
              </w:rPr>
              <w:t>Integrated analysis</w:t>
            </w:r>
          </w:p>
        </w:tc>
      </w:tr>
      <w:tr w:rsidR="006450B5" w:rsidRPr="0042214E" w14:paraId="2DF91CDC"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tcPr>
          <w:p w14:paraId="3F3A802A" w14:textId="4533B4C1" w:rsidR="006450B5" w:rsidRPr="0042214E" w:rsidRDefault="006450B5" w:rsidP="0096597E">
            <w:pPr>
              <w:pStyle w:val="Tabletext"/>
              <w:contextualSpacing/>
            </w:pPr>
            <w:r w:rsidRPr="0042214E">
              <w:t xml:space="preserve">Key </w:t>
            </w:r>
            <w:r w:rsidR="0096597E" w:rsidRPr="0042214E">
              <w:t>assumptions</w:t>
            </w:r>
          </w:p>
        </w:tc>
        <w:tc>
          <w:tcPr>
            <w:tcW w:w="1440" w:type="dxa"/>
          </w:tcPr>
          <w:p w14:paraId="4253B056"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1FA0AE5B"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724DAE19"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291CFB81"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tcPr>
          <w:p w14:paraId="57E9589B"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62525C28"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tcPr>
          <w:p w14:paraId="48D4E2A3" w14:textId="13A2337E" w:rsidR="006450B5" w:rsidRPr="0042214E" w:rsidRDefault="006450B5" w:rsidP="0096597E">
            <w:pPr>
              <w:pStyle w:val="Tabletext"/>
              <w:contextualSpacing/>
            </w:pPr>
            <w:r w:rsidRPr="0042214E">
              <w:t xml:space="preserve">Analysis </w:t>
            </w:r>
            <w:r w:rsidR="0096597E" w:rsidRPr="0042214E">
              <w:t xml:space="preserve">period </w:t>
            </w:r>
            <w:r w:rsidRPr="0042214E">
              <w:t>(years)</w:t>
            </w:r>
          </w:p>
        </w:tc>
        <w:tc>
          <w:tcPr>
            <w:tcW w:w="1440" w:type="dxa"/>
          </w:tcPr>
          <w:p w14:paraId="2A076254"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7854058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4A661F02"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4AC06478"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tcPr>
          <w:p w14:paraId="51DB3A24"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6558B3C3"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tcPr>
          <w:p w14:paraId="0CA645A6" w14:textId="2C5206C5" w:rsidR="006450B5" w:rsidRPr="0042214E" w:rsidRDefault="006450B5" w:rsidP="0096597E">
            <w:pPr>
              <w:pStyle w:val="Tabletext"/>
              <w:contextualSpacing/>
            </w:pPr>
            <w:r w:rsidRPr="0042214E">
              <w:t xml:space="preserve">Capital </w:t>
            </w:r>
            <w:r w:rsidR="0096597E" w:rsidRPr="0042214E">
              <w:t xml:space="preserve">costs </w:t>
            </w:r>
            <w:r w:rsidRPr="0042214E">
              <w:t>($m)</w:t>
            </w:r>
          </w:p>
        </w:tc>
        <w:tc>
          <w:tcPr>
            <w:tcW w:w="1440" w:type="dxa"/>
          </w:tcPr>
          <w:p w14:paraId="61CA9FFC"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3568669B"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01351CE8"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6DA2A687"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tcPr>
          <w:p w14:paraId="13DB765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75DBBB12"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tcPr>
          <w:p w14:paraId="16F521D9" w14:textId="587B9ED5" w:rsidR="006450B5" w:rsidRPr="0042214E" w:rsidRDefault="006450B5" w:rsidP="0096597E">
            <w:pPr>
              <w:pStyle w:val="Tabletext"/>
              <w:contextualSpacing/>
            </w:pPr>
            <w:r w:rsidRPr="0042214E">
              <w:t xml:space="preserve">Output </w:t>
            </w:r>
            <w:r w:rsidR="0096597E" w:rsidRPr="0042214E">
              <w:t xml:space="preserve">costs </w:t>
            </w:r>
            <w:r w:rsidRPr="0042214E">
              <w:t>($m)</w:t>
            </w:r>
          </w:p>
        </w:tc>
        <w:tc>
          <w:tcPr>
            <w:tcW w:w="1440" w:type="dxa"/>
          </w:tcPr>
          <w:p w14:paraId="55204BC9"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5308429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7EEED219"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2AFEFAFA"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tcPr>
          <w:p w14:paraId="12EEFFE5"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0AE692E5"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8550" w:type="dxa"/>
            <w:gridSpan w:val="6"/>
            <w:shd w:val="clear" w:color="auto" w:fill="E57200" w:themeFill="accent2"/>
          </w:tcPr>
          <w:p w14:paraId="09A49B4D" w14:textId="31F647D1" w:rsidR="006450B5" w:rsidRPr="0042214E" w:rsidRDefault="006450B5" w:rsidP="00BB1DF7">
            <w:pPr>
              <w:spacing w:before="40" w:after="40"/>
              <w:rPr>
                <w:b/>
                <w:color w:val="FFFFFF" w:themeColor="background1"/>
              </w:rPr>
            </w:pPr>
            <w:r w:rsidRPr="0042214E">
              <w:rPr>
                <w:b/>
                <w:color w:val="FFFFFF" w:themeColor="background1"/>
              </w:rPr>
              <w:t>Cost</w:t>
            </w:r>
            <w:r w:rsidR="00BB1DF7" w:rsidRPr="0042214E">
              <w:rPr>
                <w:b/>
                <w:color w:val="FFFFFF" w:themeColor="background1"/>
              </w:rPr>
              <w:t xml:space="preserve"> </w:t>
            </w:r>
            <w:r w:rsidR="0096597E" w:rsidRPr="0042214E">
              <w:rPr>
                <w:b/>
                <w:color w:val="FFFFFF" w:themeColor="background1"/>
              </w:rPr>
              <w:t xml:space="preserve">benefit analysis </w:t>
            </w:r>
            <w:r w:rsidRPr="0042214E">
              <w:rPr>
                <w:b/>
                <w:color w:val="FFFFFF" w:themeColor="background1"/>
              </w:rPr>
              <w:t xml:space="preserve">(of monetary costs and benefits discounted at the appropriate </w:t>
            </w:r>
            <w:r w:rsidR="0096597E" w:rsidRPr="0042214E">
              <w:rPr>
                <w:b/>
                <w:color w:val="FFFFFF" w:themeColor="background1"/>
              </w:rPr>
              <w:t>discount rate</w:t>
            </w:r>
            <w:r w:rsidRPr="0042214E">
              <w:rPr>
                <w:b/>
                <w:color w:val="FFFFFF" w:themeColor="background1"/>
              </w:rPr>
              <w:t>)</w:t>
            </w:r>
          </w:p>
        </w:tc>
      </w:tr>
      <w:tr w:rsidR="006450B5" w:rsidRPr="0042214E" w14:paraId="2E3BB11E"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tcPr>
          <w:p w14:paraId="4A9E1E54" w14:textId="1170620B" w:rsidR="006450B5" w:rsidRPr="0042214E" w:rsidRDefault="006450B5" w:rsidP="0096597E">
            <w:pPr>
              <w:pStyle w:val="Tabletext"/>
              <w:contextualSpacing/>
            </w:pPr>
            <w:r w:rsidRPr="0042214E">
              <w:t xml:space="preserve">Present </w:t>
            </w:r>
            <w:r w:rsidR="0096597E" w:rsidRPr="0042214E">
              <w:t xml:space="preserve">value of benefits </w:t>
            </w:r>
            <w:r w:rsidRPr="0042214E">
              <w:t>($m)</w:t>
            </w:r>
          </w:p>
        </w:tc>
        <w:tc>
          <w:tcPr>
            <w:tcW w:w="1440" w:type="dxa"/>
          </w:tcPr>
          <w:p w14:paraId="2EFE4CC4"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6CD3C348"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12F79752"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3F74E980"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tcPr>
          <w:p w14:paraId="032E9CA2"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39E88FB4"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tcPr>
          <w:p w14:paraId="4306A391" w14:textId="7EE265FA" w:rsidR="006450B5" w:rsidRPr="0042214E" w:rsidRDefault="006450B5" w:rsidP="0096597E">
            <w:pPr>
              <w:pStyle w:val="Tabletext"/>
              <w:contextualSpacing/>
            </w:pPr>
            <w:r w:rsidRPr="0042214E">
              <w:t xml:space="preserve">Present </w:t>
            </w:r>
            <w:r w:rsidR="0096597E" w:rsidRPr="0042214E">
              <w:t xml:space="preserve">value of costs </w:t>
            </w:r>
            <w:r w:rsidRPr="0042214E">
              <w:t>($m)</w:t>
            </w:r>
          </w:p>
        </w:tc>
        <w:tc>
          <w:tcPr>
            <w:tcW w:w="1440" w:type="dxa"/>
          </w:tcPr>
          <w:p w14:paraId="70BDD015"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3CE4B0BD"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2C5D06EC"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07DF516C"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tcPr>
          <w:p w14:paraId="1D434CD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431D5991"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tcPr>
          <w:p w14:paraId="29DDC8EE" w14:textId="279B2BBF" w:rsidR="006450B5" w:rsidRPr="0042214E" w:rsidRDefault="006450B5" w:rsidP="0096597E">
            <w:pPr>
              <w:pStyle w:val="Tabletext"/>
              <w:contextualSpacing/>
            </w:pPr>
            <w:r w:rsidRPr="0042214E">
              <w:t xml:space="preserve">Benefit </w:t>
            </w:r>
            <w:r w:rsidR="0096597E" w:rsidRPr="0042214E">
              <w:t>cost ratio</w:t>
            </w:r>
          </w:p>
        </w:tc>
        <w:tc>
          <w:tcPr>
            <w:tcW w:w="1440" w:type="dxa"/>
          </w:tcPr>
          <w:p w14:paraId="3C72127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7F3AA442"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07BC7A0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64A32B26"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tcPr>
          <w:p w14:paraId="62BB3641"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0057F0DD"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tcPr>
          <w:p w14:paraId="5801F67A" w14:textId="2CD66B68" w:rsidR="006450B5" w:rsidRPr="0042214E" w:rsidRDefault="006450B5" w:rsidP="0096597E">
            <w:pPr>
              <w:pStyle w:val="Tabletext"/>
              <w:contextualSpacing/>
            </w:pPr>
            <w:r w:rsidRPr="0042214E">
              <w:t xml:space="preserve">Net </w:t>
            </w:r>
            <w:r w:rsidR="0096597E" w:rsidRPr="0042214E">
              <w:t xml:space="preserve">present value </w:t>
            </w:r>
            <w:r w:rsidRPr="0042214E">
              <w:t>($m)</w:t>
            </w:r>
          </w:p>
        </w:tc>
        <w:tc>
          <w:tcPr>
            <w:tcW w:w="1440" w:type="dxa"/>
          </w:tcPr>
          <w:p w14:paraId="5E598840"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2BCCE89A"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6F041E41"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0C099A4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tcPr>
          <w:p w14:paraId="67714B05"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05F14B78"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8550" w:type="dxa"/>
            <w:gridSpan w:val="6"/>
            <w:shd w:val="clear" w:color="auto" w:fill="E57200" w:themeFill="accent2"/>
          </w:tcPr>
          <w:p w14:paraId="48BFECEE" w14:textId="05D28444" w:rsidR="006450B5" w:rsidRPr="0042214E" w:rsidRDefault="006450B5" w:rsidP="006450B5">
            <w:pPr>
              <w:spacing w:before="60"/>
              <w:rPr>
                <w:b/>
                <w:color w:val="FFFFFF" w:themeColor="background1"/>
              </w:rPr>
            </w:pPr>
            <w:r w:rsidRPr="0042214E">
              <w:rPr>
                <w:b/>
                <w:color w:val="FFFFFF" w:themeColor="background1"/>
              </w:rPr>
              <w:t>Multi</w:t>
            </w:r>
            <w:r w:rsidR="00034452" w:rsidRPr="0042214E">
              <w:rPr>
                <w:b/>
                <w:color w:val="FFFFFF" w:themeColor="background1"/>
              </w:rPr>
              <w:noBreakHyphen/>
            </w:r>
            <w:r w:rsidR="0096597E" w:rsidRPr="0042214E">
              <w:rPr>
                <w:b/>
                <w:color w:val="FFFFFF" w:themeColor="background1"/>
              </w:rPr>
              <w:t xml:space="preserve">criteria analysis </w:t>
            </w:r>
            <w:r w:rsidRPr="0042214E">
              <w:rPr>
                <w:b/>
                <w:color w:val="FFFFFF" w:themeColor="background1"/>
              </w:rPr>
              <w:t>(ranking of intangible costs and benefits, if any)</w:t>
            </w:r>
          </w:p>
        </w:tc>
      </w:tr>
      <w:tr w:rsidR="006450B5" w:rsidRPr="0042214E" w14:paraId="44C1F9EC"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tcPr>
          <w:p w14:paraId="14E8F6C4" w14:textId="77777777" w:rsidR="006450B5" w:rsidRPr="0042214E" w:rsidRDefault="006450B5" w:rsidP="0096597E">
            <w:pPr>
              <w:pStyle w:val="Tabletext"/>
              <w:contextualSpacing/>
            </w:pPr>
            <w:r w:rsidRPr="0042214E">
              <w:t>Criteria 1</w:t>
            </w:r>
          </w:p>
        </w:tc>
        <w:tc>
          <w:tcPr>
            <w:tcW w:w="1440" w:type="dxa"/>
          </w:tcPr>
          <w:p w14:paraId="484F6B35"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29D0BE5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48224979"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66698032"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tcPr>
          <w:p w14:paraId="7867E4D0"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3E15B4A3"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tcPr>
          <w:p w14:paraId="609D9E09" w14:textId="77777777" w:rsidR="006450B5" w:rsidRPr="0042214E" w:rsidRDefault="006450B5" w:rsidP="0096597E">
            <w:pPr>
              <w:pStyle w:val="Tabletext"/>
              <w:contextualSpacing/>
            </w:pPr>
            <w:r w:rsidRPr="0042214E">
              <w:t>Criteria 2</w:t>
            </w:r>
          </w:p>
        </w:tc>
        <w:tc>
          <w:tcPr>
            <w:tcW w:w="1440" w:type="dxa"/>
          </w:tcPr>
          <w:p w14:paraId="19C4AE2B"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295A5481"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0968AB2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0F7A2221"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tcPr>
          <w:p w14:paraId="5B7BF93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69D914DC"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tcPr>
          <w:p w14:paraId="61BFA761" w14:textId="77777777" w:rsidR="006450B5" w:rsidRPr="0042214E" w:rsidRDefault="006450B5" w:rsidP="0096597E">
            <w:pPr>
              <w:pStyle w:val="Tabletext"/>
              <w:contextualSpacing/>
            </w:pPr>
            <w:r w:rsidRPr="0042214E">
              <w:t>Criteria 3</w:t>
            </w:r>
          </w:p>
        </w:tc>
        <w:tc>
          <w:tcPr>
            <w:tcW w:w="1440" w:type="dxa"/>
          </w:tcPr>
          <w:p w14:paraId="10853019"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6092EC39"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7F7D28EF"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7F985E0B"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tcPr>
          <w:p w14:paraId="135CCAB4"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2AA84D2F"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shd w:val="clear" w:color="auto" w:fill="E57200" w:themeFill="accent2"/>
          </w:tcPr>
          <w:p w14:paraId="480221F9" w14:textId="77777777" w:rsidR="006450B5" w:rsidRPr="0042214E" w:rsidRDefault="006450B5" w:rsidP="006450B5">
            <w:pPr>
              <w:spacing w:before="40" w:after="40"/>
              <w:rPr>
                <w:b/>
                <w:color w:val="FFFFFF" w:themeColor="background1"/>
              </w:rPr>
            </w:pPr>
            <w:r w:rsidRPr="0042214E">
              <w:rPr>
                <w:b/>
                <w:color w:val="FFFFFF" w:themeColor="background1"/>
              </w:rPr>
              <w:t xml:space="preserve">Risks </w:t>
            </w:r>
          </w:p>
          <w:p w14:paraId="14DE366F" w14:textId="77777777" w:rsidR="006450B5" w:rsidRPr="0042214E" w:rsidRDefault="006450B5" w:rsidP="006450B5">
            <w:pPr>
              <w:spacing w:before="40" w:after="40"/>
              <w:rPr>
                <w:color w:val="FFFFFF" w:themeColor="background1"/>
              </w:rPr>
            </w:pPr>
            <w:r w:rsidRPr="0042214E">
              <w:rPr>
                <w:color w:val="FFFFFF" w:themeColor="background1"/>
              </w:rPr>
              <w:t>Primary risks that the expected benefits will fail to be delivered</w:t>
            </w:r>
          </w:p>
          <w:p w14:paraId="2BDB0629" w14:textId="313436C3" w:rsidR="006450B5" w:rsidRPr="0042214E" w:rsidRDefault="006450B5" w:rsidP="00BB1DF7">
            <w:pPr>
              <w:spacing w:before="40" w:after="40"/>
              <w:rPr>
                <w:color w:val="FFFFFF" w:themeColor="background1"/>
              </w:rPr>
            </w:pPr>
            <w:r w:rsidRPr="0042214E">
              <w:rPr>
                <w:color w:val="FFFFFF" w:themeColor="background1"/>
              </w:rPr>
              <w:t>(</w:t>
            </w:r>
            <w:r w:rsidR="00BB1DF7" w:rsidRPr="0042214E">
              <w:rPr>
                <w:color w:val="FFFFFF" w:themeColor="background1"/>
              </w:rPr>
              <w:t>criticality</w:t>
            </w:r>
            <w:r w:rsidRPr="0042214E">
              <w:rPr>
                <w:color w:val="FFFFFF" w:themeColor="background1"/>
              </w:rPr>
              <w:t>/</w:t>
            </w:r>
            <w:r w:rsidR="00BB1DF7" w:rsidRPr="0042214E">
              <w:rPr>
                <w:color w:val="FFFFFF" w:themeColor="background1"/>
              </w:rPr>
              <w:t>likelihood</w:t>
            </w:r>
            <w:r w:rsidRPr="0042214E">
              <w:rPr>
                <w:color w:val="FFFFFF" w:themeColor="background1"/>
              </w:rPr>
              <w:t>) H/M/L</w:t>
            </w:r>
          </w:p>
        </w:tc>
        <w:tc>
          <w:tcPr>
            <w:tcW w:w="1440" w:type="dxa"/>
            <w:shd w:val="clear" w:color="auto" w:fill="E57200" w:themeFill="accent2"/>
          </w:tcPr>
          <w:p w14:paraId="0C881177"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080" w:type="dxa"/>
            <w:shd w:val="clear" w:color="auto" w:fill="E57200" w:themeFill="accent2"/>
          </w:tcPr>
          <w:p w14:paraId="5B12A90B"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990" w:type="dxa"/>
            <w:shd w:val="clear" w:color="auto" w:fill="E57200" w:themeFill="accent2"/>
          </w:tcPr>
          <w:p w14:paraId="75EBE847"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080" w:type="dxa"/>
            <w:shd w:val="clear" w:color="auto" w:fill="E57200" w:themeFill="accent2"/>
          </w:tcPr>
          <w:p w14:paraId="763AF176"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024" w:type="dxa"/>
            <w:shd w:val="clear" w:color="auto" w:fill="E57200" w:themeFill="accent2"/>
          </w:tcPr>
          <w:p w14:paraId="4E4E3DDE"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6450B5" w:rsidRPr="0042214E" w14:paraId="53F4F3D1"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shd w:val="clear" w:color="auto" w:fill="auto"/>
          </w:tcPr>
          <w:p w14:paraId="15A5CE42" w14:textId="77777777" w:rsidR="006450B5" w:rsidRPr="0042214E" w:rsidRDefault="006450B5" w:rsidP="0096597E">
            <w:pPr>
              <w:pStyle w:val="Tabletext"/>
              <w:contextualSpacing/>
            </w:pPr>
          </w:p>
        </w:tc>
        <w:tc>
          <w:tcPr>
            <w:tcW w:w="1440" w:type="dxa"/>
            <w:shd w:val="clear" w:color="auto" w:fill="auto"/>
          </w:tcPr>
          <w:p w14:paraId="14E666B6"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auto"/>
          </w:tcPr>
          <w:p w14:paraId="65FF187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shd w:val="clear" w:color="auto" w:fill="auto"/>
          </w:tcPr>
          <w:p w14:paraId="0659E6CC"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auto"/>
          </w:tcPr>
          <w:p w14:paraId="41F7CC9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shd w:val="clear" w:color="auto" w:fill="auto"/>
          </w:tcPr>
          <w:p w14:paraId="5A719F31"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3E1C1B71"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shd w:val="clear" w:color="auto" w:fill="E57200" w:themeFill="accent2"/>
          </w:tcPr>
          <w:p w14:paraId="773A6AAB" w14:textId="77777777" w:rsidR="006450B5" w:rsidRPr="0042214E" w:rsidRDefault="006450B5" w:rsidP="006450B5">
            <w:pPr>
              <w:spacing w:before="40" w:after="40"/>
              <w:rPr>
                <w:b/>
                <w:color w:val="FFFFFF" w:themeColor="background1"/>
              </w:rPr>
            </w:pPr>
            <w:r w:rsidRPr="0042214E">
              <w:rPr>
                <w:b/>
                <w:color w:val="FFFFFF" w:themeColor="background1"/>
              </w:rPr>
              <w:t xml:space="preserve">Time </w:t>
            </w:r>
          </w:p>
        </w:tc>
        <w:tc>
          <w:tcPr>
            <w:tcW w:w="1440" w:type="dxa"/>
            <w:shd w:val="clear" w:color="auto" w:fill="E57200" w:themeFill="accent2"/>
          </w:tcPr>
          <w:p w14:paraId="171B28D8"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i/>
                <w:color w:val="FFFFFF" w:themeColor="background1"/>
              </w:rPr>
            </w:pPr>
          </w:p>
        </w:tc>
        <w:tc>
          <w:tcPr>
            <w:tcW w:w="1080" w:type="dxa"/>
            <w:shd w:val="clear" w:color="auto" w:fill="E57200" w:themeFill="accent2"/>
          </w:tcPr>
          <w:p w14:paraId="07FAB0BA"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i/>
                <w:color w:val="FFFFFF" w:themeColor="background1"/>
              </w:rPr>
            </w:pPr>
          </w:p>
        </w:tc>
        <w:tc>
          <w:tcPr>
            <w:tcW w:w="990" w:type="dxa"/>
            <w:shd w:val="clear" w:color="auto" w:fill="E57200" w:themeFill="accent2"/>
          </w:tcPr>
          <w:p w14:paraId="375A8346"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i/>
                <w:color w:val="FFFFFF" w:themeColor="background1"/>
              </w:rPr>
            </w:pPr>
          </w:p>
        </w:tc>
        <w:tc>
          <w:tcPr>
            <w:tcW w:w="1080" w:type="dxa"/>
            <w:shd w:val="clear" w:color="auto" w:fill="E57200" w:themeFill="accent2"/>
          </w:tcPr>
          <w:p w14:paraId="266AD4A5"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i/>
                <w:color w:val="FFFFFF" w:themeColor="background1"/>
              </w:rPr>
            </w:pPr>
          </w:p>
        </w:tc>
        <w:tc>
          <w:tcPr>
            <w:tcW w:w="1024" w:type="dxa"/>
            <w:shd w:val="clear" w:color="auto" w:fill="E57200" w:themeFill="accent2"/>
          </w:tcPr>
          <w:p w14:paraId="6B6C8AF7"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i/>
                <w:color w:val="FFFFFF" w:themeColor="background1"/>
              </w:rPr>
            </w:pPr>
          </w:p>
        </w:tc>
      </w:tr>
      <w:tr w:rsidR="006450B5" w:rsidRPr="0042214E" w14:paraId="4EF63A15"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tcPr>
          <w:p w14:paraId="5755A5AD" w14:textId="35D3F751" w:rsidR="006450B5" w:rsidRPr="0042214E" w:rsidRDefault="006450B5" w:rsidP="00BB1DF7">
            <w:pPr>
              <w:pStyle w:val="Tabletext"/>
              <w:contextualSpacing/>
            </w:pPr>
            <w:r w:rsidRPr="0042214E">
              <w:t>From funding date to operation (</w:t>
            </w:r>
            <w:r w:rsidR="00BB1DF7" w:rsidRPr="0042214E">
              <w:t>range</w:t>
            </w:r>
            <w:r w:rsidRPr="0042214E">
              <w:t>)</w:t>
            </w:r>
          </w:p>
        </w:tc>
        <w:tc>
          <w:tcPr>
            <w:tcW w:w="1440" w:type="dxa"/>
          </w:tcPr>
          <w:p w14:paraId="0BC1BFB5"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rPr>
                <w:i/>
              </w:rPr>
            </w:pPr>
          </w:p>
        </w:tc>
        <w:tc>
          <w:tcPr>
            <w:tcW w:w="1080" w:type="dxa"/>
          </w:tcPr>
          <w:p w14:paraId="22E43EC6"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rPr>
                <w:i/>
              </w:rPr>
            </w:pPr>
          </w:p>
        </w:tc>
        <w:tc>
          <w:tcPr>
            <w:tcW w:w="990" w:type="dxa"/>
          </w:tcPr>
          <w:p w14:paraId="2948F85D"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rPr>
                <w:i/>
              </w:rPr>
            </w:pPr>
          </w:p>
        </w:tc>
        <w:tc>
          <w:tcPr>
            <w:tcW w:w="1080" w:type="dxa"/>
          </w:tcPr>
          <w:p w14:paraId="6F6CD7BB"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rPr>
                <w:i/>
              </w:rPr>
            </w:pPr>
          </w:p>
        </w:tc>
        <w:tc>
          <w:tcPr>
            <w:tcW w:w="1024" w:type="dxa"/>
          </w:tcPr>
          <w:p w14:paraId="3D9D19D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rPr>
                <w:i/>
              </w:rPr>
            </w:pPr>
          </w:p>
        </w:tc>
      </w:tr>
      <w:tr w:rsidR="006450B5" w:rsidRPr="0042214E" w14:paraId="5EE96AE4"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tcPr>
          <w:p w14:paraId="571F08B3" w14:textId="0FF80068" w:rsidR="006450B5" w:rsidRPr="0042214E" w:rsidRDefault="006450B5" w:rsidP="00BB1DF7">
            <w:pPr>
              <w:pStyle w:val="Tabletext"/>
              <w:contextualSpacing/>
            </w:pPr>
            <w:r w:rsidRPr="0042214E">
              <w:t>From funding date to delivery of benefits (</w:t>
            </w:r>
            <w:r w:rsidR="00BB1DF7" w:rsidRPr="0042214E">
              <w:t>range</w:t>
            </w:r>
            <w:r w:rsidRPr="0042214E">
              <w:t>)</w:t>
            </w:r>
          </w:p>
        </w:tc>
        <w:tc>
          <w:tcPr>
            <w:tcW w:w="1440" w:type="dxa"/>
          </w:tcPr>
          <w:p w14:paraId="5C9DA965"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277876E3"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990" w:type="dxa"/>
          </w:tcPr>
          <w:p w14:paraId="5375AB38"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80" w:type="dxa"/>
          </w:tcPr>
          <w:p w14:paraId="64366B7E"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c>
          <w:tcPr>
            <w:tcW w:w="1024" w:type="dxa"/>
          </w:tcPr>
          <w:p w14:paraId="16C6AD0C" w14:textId="77777777" w:rsidR="006450B5" w:rsidRPr="0042214E" w:rsidRDefault="006450B5" w:rsidP="0096597E">
            <w:pPr>
              <w:pStyle w:val="Tabletext"/>
              <w:contextualSpacing/>
              <w:cnfStyle w:val="000000000000" w:firstRow="0" w:lastRow="0" w:firstColumn="0" w:lastColumn="0" w:oddVBand="0" w:evenVBand="0" w:oddHBand="0" w:evenHBand="0" w:firstRowFirstColumn="0" w:firstRowLastColumn="0" w:lastRowFirstColumn="0" w:lastRowLastColumn="0"/>
            </w:pPr>
          </w:p>
        </w:tc>
      </w:tr>
      <w:tr w:rsidR="006450B5" w:rsidRPr="0042214E" w14:paraId="00404B95"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shd w:val="clear" w:color="auto" w:fill="E57200" w:themeFill="accent2"/>
          </w:tcPr>
          <w:p w14:paraId="3BB69C3F" w14:textId="77777777" w:rsidR="006450B5" w:rsidRPr="0042214E" w:rsidRDefault="006450B5" w:rsidP="006450B5">
            <w:pPr>
              <w:spacing w:before="40" w:after="40"/>
              <w:rPr>
                <w:b/>
                <w:color w:val="FFFFFF" w:themeColor="background1"/>
              </w:rPr>
            </w:pPr>
            <w:r w:rsidRPr="0042214E">
              <w:rPr>
                <w:b/>
                <w:color w:val="FFFFFF" w:themeColor="background1"/>
              </w:rPr>
              <w:t>Preferred option</w:t>
            </w:r>
          </w:p>
        </w:tc>
        <w:tc>
          <w:tcPr>
            <w:tcW w:w="1440" w:type="dxa"/>
            <w:shd w:val="clear" w:color="auto" w:fill="E57200" w:themeFill="accent2"/>
          </w:tcPr>
          <w:p w14:paraId="6794FA8C"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1080" w:type="dxa"/>
            <w:shd w:val="clear" w:color="auto" w:fill="E57200" w:themeFill="accent2"/>
          </w:tcPr>
          <w:p w14:paraId="595CA8A5"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990" w:type="dxa"/>
            <w:shd w:val="clear" w:color="auto" w:fill="E57200" w:themeFill="accent2"/>
          </w:tcPr>
          <w:p w14:paraId="52BEAF56"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1080" w:type="dxa"/>
            <w:shd w:val="clear" w:color="auto" w:fill="E57200" w:themeFill="accent2"/>
          </w:tcPr>
          <w:p w14:paraId="78595792"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1024" w:type="dxa"/>
            <w:shd w:val="clear" w:color="auto" w:fill="E57200" w:themeFill="accent2"/>
          </w:tcPr>
          <w:p w14:paraId="16817A5F"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6450B5" w:rsidRPr="0042214E" w14:paraId="25D3F0ED"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shd w:val="clear" w:color="auto" w:fill="E57200" w:themeFill="accent2"/>
          </w:tcPr>
          <w:p w14:paraId="3DA04807" w14:textId="77777777" w:rsidR="006450B5" w:rsidRPr="0042214E" w:rsidRDefault="006450B5" w:rsidP="006450B5">
            <w:pPr>
              <w:spacing w:before="40" w:after="40"/>
              <w:rPr>
                <w:b/>
                <w:color w:val="FFFFFF" w:themeColor="background1"/>
              </w:rPr>
            </w:pPr>
            <w:r w:rsidRPr="0042214E">
              <w:rPr>
                <w:b/>
                <w:color w:val="FFFFFF" w:themeColor="background1"/>
              </w:rPr>
              <w:t>Overall assessment</w:t>
            </w:r>
          </w:p>
        </w:tc>
        <w:tc>
          <w:tcPr>
            <w:tcW w:w="1440" w:type="dxa"/>
            <w:shd w:val="clear" w:color="auto" w:fill="E57200" w:themeFill="accent2"/>
          </w:tcPr>
          <w:p w14:paraId="48F81786"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1080" w:type="dxa"/>
            <w:shd w:val="clear" w:color="auto" w:fill="E57200" w:themeFill="accent2"/>
          </w:tcPr>
          <w:p w14:paraId="70AB55E1"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990" w:type="dxa"/>
            <w:shd w:val="clear" w:color="auto" w:fill="E57200" w:themeFill="accent2"/>
          </w:tcPr>
          <w:p w14:paraId="780A8FA5"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1080" w:type="dxa"/>
            <w:shd w:val="clear" w:color="auto" w:fill="E57200" w:themeFill="accent2"/>
          </w:tcPr>
          <w:p w14:paraId="4835B755"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1024" w:type="dxa"/>
            <w:shd w:val="clear" w:color="auto" w:fill="E57200" w:themeFill="accent2"/>
          </w:tcPr>
          <w:p w14:paraId="4FC72499"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p>
        </w:tc>
      </w:tr>
      <w:tr w:rsidR="006450B5" w:rsidRPr="0042214E" w14:paraId="7D9D3E10" w14:textId="77777777" w:rsidTr="0096597E">
        <w:trPr>
          <w:cantSplit/>
        </w:trPr>
        <w:tc>
          <w:tcPr>
            <w:cnfStyle w:val="001000000000" w:firstRow="0" w:lastRow="0" w:firstColumn="1" w:lastColumn="0" w:oddVBand="0" w:evenVBand="0" w:oddHBand="0" w:evenHBand="0" w:firstRowFirstColumn="0" w:firstRowLastColumn="0" w:lastRowFirstColumn="0" w:lastRowLastColumn="0"/>
            <w:tcW w:w="2936" w:type="dxa"/>
            <w:shd w:val="clear" w:color="auto" w:fill="E57200" w:themeFill="accent2"/>
          </w:tcPr>
          <w:p w14:paraId="4ECE8ACA" w14:textId="77777777" w:rsidR="006450B5" w:rsidRPr="0042214E" w:rsidRDefault="006450B5" w:rsidP="006450B5">
            <w:pPr>
              <w:spacing w:before="40" w:after="40"/>
              <w:rPr>
                <w:b/>
                <w:color w:val="FFFFFF" w:themeColor="background1"/>
              </w:rPr>
            </w:pPr>
            <w:r w:rsidRPr="0042214E">
              <w:rPr>
                <w:b/>
                <w:color w:val="FFFFFF" w:themeColor="background1"/>
              </w:rPr>
              <w:t>Recommendation</w:t>
            </w:r>
          </w:p>
        </w:tc>
        <w:tc>
          <w:tcPr>
            <w:tcW w:w="1440" w:type="dxa"/>
            <w:shd w:val="clear" w:color="auto" w:fill="E57200" w:themeFill="accent2"/>
          </w:tcPr>
          <w:p w14:paraId="64AF474A"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1080" w:type="dxa"/>
            <w:shd w:val="clear" w:color="auto" w:fill="E57200" w:themeFill="accent2"/>
          </w:tcPr>
          <w:p w14:paraId="334ECEE8"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990" w:type="dxa"/>
            <w:shd w:val="clear" w:color="auto" w:fill="E57200" w:themeFill="accent2"/>
          </w:tcPr>
          <w:p w14:paraId="716458C5"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1080" w:type="dxa"/>
            <w:shd w:val="clear" w:color="auto" w:fill="E57200" w:themeFill="accent2"/>
          </w:tcPr>
          <w:p w14:paraId="31AE6A24"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p>
        </w:tc>
        <w:tc>
          <w:tcPr>
            <w:tcW w:w="1024" w:type="dxa"/>
            <w:shd w:val="clear" w:color="auto" w:fill="E57200" w:themeFill="accent2"/>
          </w:tcPr>
          <w:p w14:paraId="0B2AA233" w14:textId="77777777" w:rsidR="006450B5" w:rsidRPr="0042214E" w:rsidRDefault="006450B5" w:rsidP="006450B5">
            <w:pPr>
              <w:spacing w:before="40" w:after="40"/>
              <w:cnfStyle w:val="000000000000" w:firstRow="0" w:lastRow="0" w:firstColumn="0" w:lastColumn="0" w:oddVBand="0" w:evenVBand="0" w:oddHBand="0" w:evenHBand="0" w:firstRowFirstColumn="0" w:firstRowLastColumn="0" w:lastRowFirstColumn="0" w:lastRowLastColumn="0"/>
              <w:rPr>
                <w:b/>
                <w:color w:val="FFFFFF" w:themeColor="background1"/>
              </w:rPr>
            </w:pPr>
          </w:p>
        </w:tc>
      </w:tr>
    </w:tbl>
    <w:p w14:paraId="32332522" w14:textId="7A78ABA0" w:rsidR="006450B5" w:rsidRPr="0042214E" w:rsidRDefault="006450B5" w:rsidP="006450B5"/>
    <w:tbl>
      <w:tblPr>
        <w:tblStyle w:val="TableGrid"/>
        <w:tblW w:w="0" w:type="auto"/>
        <w:tblInd w:w="792" w:type="dxa"/>
        <w:shd w:val="clear" w:color="auto" w:fill="FDEACC" w:themeFill="accent6"/>
        <w:tblLook w:val="0480" w:firstRow="0" w:lastRow="0" w:firstColumn="1" w:lastColumn="0" w:noHBand="0" w:noVBand="1"/>
      </w:tblPr>
      <w:tblGrid>
        <w:gridCol w:w="8406"/>
      </w:tblGrid>
      <w:tr w:rsidR="00E5259C" w:rsidRPr="0042214E" w14:paraId="3CABE730" w14:textId="77777777" w:rsidTr="00EF49E9">
        <w:trPr>
          <w:cantSplit/>
        </w:trPr>
        <w:tc>
          <w:tcPr>
            <w:cnfStyle w:val="001000000000" w:firstRow="0" w:lastRow="0" w:firstColumn="1" w:lastColumn="0" w:oddVBand="0" w:evenVBand="0" w:oddHBand="0" w:evenHBand="0" w:firstRowFirstColumn="0" w:firstRowLastColumn="0" w:lastRowFirstColumn="0" w:lastRowLastColumn="0"/>
            <w:tcW w:w="8531" w:type="dxa"/>
            <w:tcBorders>
              <w:bottom w:val="nil"/>
            </w:tcBorders>
            <w:shd w:val="clear" w:color="auto" w:fill="FDEACC" w:themeFill="accent6"/>
          </w:tcPr>
          <w:p w14:paraId="58F54DC0" w14:textId="6580003D" w:rsidR="00E5259C" w:rsidRPr="0042214E" w:rsidRDefault="00E5259C" w:rsidP="00A6778F">
            <w:pPr>
              <w:pStyle w:val="Tabletextbold"/>
              <w:spacing w:before="140"/>
              <w:rPr>
                <w:sz w:val="20"/>
                <w:szCs w:val="20"/>
              </w:rPr>
            </w:pPr>
            <w:r w:rsidRPr="0042214E">
              <w:rPr>
                <w:sz w:val="20"/>
                <w:szCs w:val="20"/>
              </w:rPr>
              <w:lastRenderedPageBreak/>
              <w:t>Integrated analysis (fictional transport example)</w:t>
            </w:r>
          </w:p>
          <w:p w14:paraId="0F9324E6" w14:textId="77777777" w:rsidR="00E5259C" w:rsidRPr="0042214E" w:rsidRDefault="00E5259C" w:rsidP="00E5259C">
            <w:r w:rsidRPr="0042214E">
              <w:t>Note that for simplicity these examples include only two project options (other than the base case).</w:t>
            </w:r>
          </w:p>
          <w:p w14:paraId="1AFB349E" w14:textId="77777777" w:rsidR="00E5259C" w:rsidRPr="0042214E" w:rsidRDefault="00E5259C" w:rsidP="00EF49E9">
            <w:pPr>
              <w:pStyle w:val="Tabletextbold"/>
            </w:pPr>
            <w:r w:rsidRPr="0042214E">
              <w:t>Financial impacts</w:t>
            </w:r>
          </w:p>
          <w:p w14:paraId="321E598E" w14:textId="77777777" w:rsidR="00E5259C" w:rsidRPr="0042214E" w:rsidRDefault="00E5259C" w:rsidP="00E5259C">
            <w:r w:rsidRPr="0042214E">
              <w:t>All costs to be borne by the Victorian Government.</w:t>
            </w:r>
          </w:p>
          <w:tbl>
            <w:tblPr>
              <w:tblStyle w:val="DTFTextTable"/>
              <w:tblW w:w="8309" w:type="dxa"/>
              <w:tblBorders>
                <w:top w:val="single" w:sz="8" w:space="0" w:color="E35205" w:themeColor="accent1"/>
                <w:insideH w:val="single" w:sz="4" w:space="0" w:color="E57200" w:themeColor="accent2"/>
              </w:tblBorders>
              <w:tblLook w:val="06A0" w:firstRow="1" w:lastRow="0" w:firstColumn="1" w:lastColumn="0" w:noHBand="1" w:noVBand="1"/>
            </w:tblPr>
            <w:tblGrid>
              <w:gridCol w:w="1919"/>
              <w:gridCol w:w="6390"/>
            </w:tblGrid>
            <w:tr w:rsidR="00E5259C" w:rsidRPr="0042214E" w14:paraId="679B1C02" w14:textId="77777777" w:rsidTr="00EF4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14:paraId="29F8D943" w14:textId="77777777" w:rsidR="00E5259C" w:rsidRPr="0042214E" w:rsidRDefault="00E5259C" w:rsidP="00E5259C">
                  <w:r w:rsidRPr="0042214E">
                    <w:t>Project option</w:t>
                  </w:r>
                </w:p>
              </w:tc>
              <w:tc>
                <w:tcPr>
                  <w:tcW w:w="6390" w:type="dxa"/>
                </w:tcPr>
                <w:p w14:paraId="4AB39D01" w14:textId="77777777" w:rsidR="00E5259C" w:rsidRPr="0042214E" w:rsidRDefault="00E5259C" w:rsidP="00E5259C">
                  <w:pPr>
                    <w:cnfStyle w:val="100000000000" w:firstRow="1" w:lastRow="0" w:firstColumn="0" w:lastColumn="0" w:oddVBand="0" w:evenVBand="0" w:oddHBand="0" w:evenHBand="0" w:firstRowFirstColumn="0" w:firstRowLastColumn="0" w:lastRowFirstColumn="0" w:lastRowLastColumn="0"/>
                  </w:pPr>
                  <w:r w:rsidRPr="0042214E">
                    <w:t>Financial impact</w:t>
                  </w:r>
                </w:p>
              </w:tc>
            </w:tr>
            <w:tr w:rsidR="00E5259C" w:rsidRPr="0042214E" w14:paraId="3D13AC83" w14:textId="77777777" w:rsidTr="00EF49E9">
              <w:tc>
                <w:tcPr>
                  <w:cnfStyle w:val="001000000000" w:firstRow="0" w:lastRow="0" w:firstColumn="1" w:lastColumn="0" w:oddVBand="0" w:evenVBand="0" w:oddHBand="0" w:evenHBand="0" w:firstRowFirstColumn="0" w:firstRowLastColumn="0" w:lastRowFirstColumn="0" w:lastRowLastColumn="0"/>
                  <w:tcW w:w="1919" w:type="dxa"/>
                </w:tcPr>
                <w:p w14:paraId="448E611A" w14:textId="3CE993D0" w:rsidR="00E5259C" w:rsidRPr="0042214E" w:rsidRDefault="00E5259C" w:rsidP="00EF49E9">
                  <w:pPr>
                    <w:pStyle w:val="Tabletext"/>
                  </w:pPr>
                  <w:r w:rsidRPr="0042214E">
                    <w:t xml:space="preserve">Project </w:t>
                  </w:r>
                  <w:r w:rsidR="0044651B" w:rsidRPr="0042214E">
                    <w:t xml:space="preserve">option </w:t>
                  </w:r>
                  <w:r w:rsidRPr="0042214E">
                    <w:t>1</w:t>
                  </w:r>
                </w:p>
              </w:tc>
              <w:tc>
                <w:tcPr>
                  <w:tcW w:w="6390" w:type="dxa"/>
                </w:tcPr>
                <w:p w14:paraId="252FFD43" w14:textId="77C7CAFA" w:rsidR="00E5259C" w:rsidRPr="0042214E" w:rsidRDefault="00E5259C" w:rsidP="00EF49E9">
                  <w:pPr>
                    <w:pStyle w:val="Tabletext"/>
                    <w:cnfStyle w:val="000000000000" w:firstRow="0" w:lastRow="0" w:firstColumn="0" w:lastColumn="0" w:oddVBand="0" w:evenVBand="0" w:oddHBand="0" w:evenHBand="0" w:firstRowFirstColumn="0" w:firstRowLastColumn="0" w:lastRowFirstColumn="0" w:lastRowLastColumn="0"/>
                  </w:pPr>
                  <w:r w:rsidRPr="0042214E">
                    <w:t>Estimated net present cost of $820</w:t>
                  </w:r>
                  <w:r w:rsidR="00034452" w:rsidRPr="0042214E">
                    <w:t> million</w:t>
                  </w:r>
                  <w:r w:rsidRPr="0042214E">
                    <w:t xml:space="preserve"> over 30 years (inclusive of upfront capital costs, ongoing maintenance costs and road residual values after </w:t>
                  </w:r>
                  <w:r w:rsidR="00BB1DF7" w:rsidRPr="0042214E">
                    <w:br/>
                  </w:r>
                  <w:r w:rsidRPr="0042214E">
                    <w:t>30 years)</w:t>
                  </w:r>
                  <w:r w:rsidR="00BB1DF7" w:rsidRPr="0042214E">
                    <w:t>.</w:t>
                  </w:r>
                </w:p>
              </w:tc>
            </w:tr>
            <w:tr w:rsidR="00E5259C" w:rsidRPr="0042214E" w14:paraId="26CD9518" w14:textId="77777777" w:rsidTr="00EF49E9">
              <w:tc>
                <w:tcPr>
                  <w:cnfStyle w:val="001000000000" w:firstRow="0" w:lastRow="0" w:firstColumn="1" w:lastColumn="0" w:oddVBand="0" w:evenVBand="0" w:oddHBand="0" w:evenHBand="0" w:firstRowFirstColumn="0" w:firstRowLastColumn="0" w:lastRowFirstColumn="0" w:lastRowLastColumn="0"/>
                  <w:tcW w:w="1919" w:type="dxa"/>
                </w:tcPr>
                <w:p w14:paraId="36CDE7C5" w14:textId="69F227E3" w:rsidR="00E5259C" w:rsidRPr="0042214E" w:rsidRDefault="00E5259C" w:rsidP="00EF49E9">
                  <w:pPr>
                    <w:pStyle w:val="Tabletext"/>
                  </w:pPr>
                  <w:r w:rsidRPr="0042214E">
                    <w:t xml:space="preserve">Project </w:t>
                  </w:r>
                  <w:r w:rsidR="0044651B" w:rsidRPr="0042214E">
                    <w:t xml:space="preserve">option </w:t>
                  </w:r>
                  <w:r w:rsidRPr="0042214E">
                    <w:t>2</w:t>
                  </w:r>
                </w:p>
              </w:tc>
              <w:tc>
                <w:tcPr>
                  <w:tcW w:w="6390" w:type="dxa"/>
                </w:tcPr>
                <w:p w14:paraId="144143AA" w14:textId="46C2C731" w:rsidR="00E5259C" w:rsidRPr="0042214E" w:rsidRDefault="00E5259C" w:rsidP="00EF49E9">
                  <w:pPr>
                    <w:pStyle w:val="Tabletext"/>
                    <w:cnfStyle w:val="000000000000" w:firstRow="0" w:lastRow="0" w:firstColumn="0" w:lastColumn="0" w:oddVBand="0" w:evenVBand="0" w:oddHBand="0" w:evenHBand="0" w:firstRowFirstColumn="0" w:firstRowLastColumn="0" w:lastRowFirstColumn="0" w:lastRowLastColumn="0"/>
                  </w:pPr>
                  <w:r w:rsidRPr="0042214E">
                    <w:t>Estimated net present cost of $920</w:t>
                  </w:r>
                  <w:r w:rsidR="00034452" w:rsidRPr="0042214E">
                    <w:t> million</w:t>
                  </w:r>
                  <w:r w:rsidRPr="0042214E">
                    <w:t xml:space="preserve"> over 30 years (inclusive of upfront capital costs, ongoing maintenance costs and road residual values after </w:t>
                  </w:r>
                  <w:r w:rsidR="00BB1DF7" w:rsidRPr="0042214E">
                    <w:br/>
                  </w:r>
                  <w:r w:rsidRPr="0042214E">
                    <w:t>30 years)</w:t>
                  </w:r>
                  <w:r w:rsidR="00BB1DF7" w:rsidRPr="0042214E">
                    <w:t>.</w:t>
                  </w:r>
                </w:p>
              </w:tc>
            </w:tr>
          </w:tbl>
          <w:p w14:paraId="2DCC0999" w14:textId="77777777" w:rsidR="00CC6ED9" w:rsidRPr="0042214E" w:rsidRDefault="00CC6ED9" w:rsidP="00EF49E9">
            <w:pPr>
              <w:pStyle w:val="Spacer"/>
            </w:pPr>
          </w:p>
          <w:p w14:paraId="271DC8C5" w14:textId="2BCE8B8A" w:rsidR="00EF49E9" w:rsidRPr="0042214E" w:rsidRDefault="00EF49E9" w:rsidP="00EF49E9">
            <w:pPr>
              <w:pStyle w:val="Spacer"/>
            </w:pPr>
          </w:p>
        </w:tc>
      </w:tr>
      <w:tr w:rsidR="00EF49E9" w:rsidRPr="0042214E" w14:paraId="508E5AB6" w14:textId="77777777" w:rsidTr="00EF49E9">
        <w:tc>
          <w:tcPr>
            <w:cnfStyle w:val="001000000000" w:firstRow="0" w:lastRow="0" w:firstColumn="1" w:lastColumn="0" w:oddVBand="0" w:evenVBand="0" w:oddHBand="0" w:evenHBand="0" w:firstRowFirstColumn="0" w:firstRowLastColumn="0" w:lastRowFirstColumn="0" w:lastRowLastColumn="0"/>
            <w:tcW w:w="8531" w:type="dxa"/>
            <w:tcBorders>
              <w:top w:val="nil"/>
              <w:bottom w:val="nil"/>
            </w:tcBorders>
            <w:shd w:val="clear" w:color="auto" w:fill="FDEACC" w:themeFill="accent6"/>
          </w:tcPr>
          <w:p w14:paraId="13829817" w14:textId="1120E51A" w:rsidR="00EF49E9" w:rsidRPr="0042214E" w:rsidRDefault="00EF49E9" w:rsidP="00EF49E9">
            <w:pPr>
              <w:pStyle w:val="Tabletextbold"/>
            </w:pPr>
            <w:r w:rsidRPr="0042214E">
              <w:t>Socioeconomic impacts</w:t>
            </w:r>
          </w:p>
          <w:p w14:paraId="141172BD" w14:textId="77777777" w:rsidR="00EF49E9" w:rsidRPr="0042214E" w:rsidRDefault="00EF49E9" w:rsidP="00EF49E9">
            <w:pPr>
              <w:rPr>
                <w:color w:val="000000" w:themeColor="text1"/>
              </w:rPr>
            </w:pPr>
            <w:r w:rsidRPr="0042214E">
              <w:rPr>
                <w:color w:val="000000" w:themeColor="text1"/>
              </w:rPr>
              <w:t xml:space="preserve">Socioeconomic impacts include travel time savings, vehicle operating cost savings, accident cost savings, plus savings in other externalities (air pollution, greenhouse gas emissions, noise, water pollution and others). They also include various benefits from the removal of trucks from the Smithville city centre (noise, amenity, public safety, etc.). </w:t>
            </w:r>
            <w:proofErr w:type="gramStart"/>
            <w:r w:rsidRPr="0042214E">
              <w:rPr>
                <w:color w:val="000000" w:themeColor="text1"/>
              </w:rPr>
              <w:t>All of</w:t>
            </w:r>
            <w:proofErr w:type="gramEnd"/>
            <w:r w:rsidRPr="0042214E">
              <w:rPr>
                <w:color w:val="000000" w:themeColor="text1"/>
              </w:rPr>
              <w:t xml:space="preserve"> these benefits (relative to the base case) may be monetised (see table) using transport evaluation guidelines.</w:t>
            </w:r>
          </w:p>
          <w:tbl>
            <w:tblPr>
              <w:tblStyle w:val="DTFTextTable"/>
              <w:tblW w:w="8309" w:type="dxa"/>
              <w:tblBorders>
                <w:top w:val="single" w:sz="8" w:space="0" w:color="E35205" w:themeColor="accent1"/>
                <w:insideH w:val="single" w:sz="4" w:space="0" w:color="E57200" w:themeColor="accent2"/>
              </w:tblBorders>
              <w:tblLook w:val="06A0" w:firstRow="1" w:lastRow="0" w:firstColumn="1" w:lastColumn="0" w:noHBand="1" w:noVBand="1"/>
            </w:tblPr>
            <w:tblGrid>
              <w:gridCol w:w="1673"/>
              <w:gridCol w:w="6636"/>
            </w:tblGrid>
            <w:tr w:rsidR="00EF49E9" w:rsidRPr="0042214E" w14:paraId="368CE155" w14:textId="77777777" w:rsidTr="00586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Pr>
                <w:p w14:paraId="7C6B81F7" w14:textId="77777777" w:rsidR="00EF49E9" w:rsidRPr="0042214E" w:rsidRDefault="00EF49E9" w:rsidP="00EF49E9">
                  <w:r w:rsidRPr="0042214E">
                    <w:t>Project option</w:t>
                  </w:r>
                </w:p>
              </w:tc>
              <w:tc>
                <w:tcPr>
                  <w:tcW w:w="6636" w:type="dxa"/>
                </w:tcPr>
                <w:p w14:paraId="4365E19B" w14:textId="77777777" w:rsidR="00EF49E9" w:rsidRPr="0042214E" w:rsidRDefault="00EF49E9" w:rsidP="00EF49E9">
                  <w:pPr>
                    <w:cnfStyle w:val="100000000000" w:firstRow="1" w:lastRow="0" w:firstColumn="0" w:lastColumn="0" w:oddVBand="0" w:evenVBand="0" w:oddHBand="0" w:evenHBand="0" w:firstRowFirstColumn="0" w:firstRowLastColumn="0" w:lastRowFirstColumn="0" w:lastRowLastColumn="0"/>
                  </w:pPr>
                  <w:r w:rsidRPr="0042214E">
                    <w:t>Monetised socioeconomic impacts</w:t>
                  </w:r>
                </w:p>
              </w:tc>
            </w:tr>
            <w:tr w:rsidR="00EF49E9" w:rsidRPr="0042214E" w14:paraId="2B6DF0FA" w14:textId="77777777" w:rsidTr="00586BA5">
              <w:tc>
                <w:tcPr>
                  <w:cnfStyle w:val="001000000000" w:firstRow="0" w:lastRow="0" w:firstColumn="1" w:lastColumn="0" w:oddVBand="0" w:evenVBand="0" w:oddHBand="0" w:evenHBand="0" w:firstRowFirstColumn="0" w:firstRowLastColumn="0" w:lastRowFirstColumn="0" w:lastRowLastColumn="0"/>
                  <w:tcW w:w="1673" w:type="dxa"/>
                </w:tcPr>
                <w:p w14:paraId="55AD548B" w14:textId="6F140DAB" w:rsidR="00EF49E9" w:rsidRPr="0042214E" w:rsidRDefault="00EF49E9" w:rsidP="00EF49E9">
                  <w:pPr>
                    <w:pStyle w:val="Tabletext"/>
                  </w:pPr>
                  <w:r w:rsidRPr="0042214E">
                    <w:t xml:space="preserve">Project </w:t>
                  </w:r>
                  <w:r w:rsidR="0044651B" w:rsidRPr="0042214E">
                    <w:t xml:space="preserve">option </w:t>
                  </w:r>
                  <w:r w:rsidRPr="0042214E">
                    <w:t>1</w:t>
                  </w:r>
                </w:p>
              </w:tc>
              <w:tc>
                <w:tcPr>
                  <w:tcW w:w="6636" w:type="dxa"/>
                </w:tcPr>
                <w:p w14:paraId="75912A17" w14:textId="77777777" w:rsidR="00EF49E9" w:rsidRPr="0042214E" w:rsidRDefault="00EF49E9" w:rsidP="00EF49E9">
                  <w:pPr>
                    <w:pStyle w:val="Tabletext"/>
                    <w:cnfStyle w:val="000000000000" w:firstRow="0" w:lastRow="0" w:firstColumn="0" w:lastColumn="0" w:oddVBand="0" w:evenVBand="0" w:oddHBand="0" w:evenHBand="0" w:firstRowFirstColumn="0" w:firstRowLastColumn="0" w:lastRowFirstColumn="0" w:lastRowLastColumn="0"/>
                  </w:pPr>
                  <w:r w:rsidRPr="0042214E">
                    <w:t>$800 million of monetised socioeconomic benefits comprising:</w:t>
                  </w:r>
                </w:p>
                <w:p w14:paraId="5D08AD23" w14:textId="77777777" w:rsidR="00EF49E9" w:rsidRPr="0042214E" w:rsidRDefault="00EF49E9" w:rsidP="00A6778F">
                  <w:pPr>
                    <w:pStyle w:val="Tablebullet"/>
                    <w:cnfStyle w:val="000000000000" w:firstRow="0" w:lastRow="0" w:firstColumn="0" w:lastColumn="0" w:oddVBand="0" w:evenVBand="0" w:oddHBand="0" w:evenHBand="0" w:firstRowFirstColumn="0" w:firstRowLastColumn="0" w:lastRowFirstColumn="0" w:lastRowLastColumn="0"/>
                  </w:pPr>
                  <w:r w:rsidRPr="0042214E">
                    <w:t xml:space="preserve">estimated $630 million benefits from reduced travel times, vehicle operating costs, accident costs and </w:t>
                  </w:r>
                  <w:proofErr w:type="gramStart"/>
                  <w:r w:rsidRPr="0042214E">
                    <w:t>externalities;</w:t>
                  </w:r>
                  <w:proofErr w:type="gramEnd"/>
                  <w:r w:rsidRPr="0042214E">
                    <w:t xml:space="preserve"> and</w:t>
                  </w:r>
                </w:p>
                <w:p w14:paraId="30E7106D" w14:textId="505B195C" w:rsidR="00EF49E9" w:rsidRPr="0042214E" w:rsidRDefault="00EF49E9" w:rsidP="006B10BA">
                  <w:pPr>
                    <w:pStyle w:val="Tablebullet"/>
                    <w:cnfStyle w:val="000000000000" w:firstRow="0" w:lastRow="0" w:firstColumn="0" w:lastColumn="0" w:oddVBand="0" w:evenVBand="0" w:oddHBand="0" w:evenHBand="0" w:firstRowFirstColumn="0" w:firstRowLastColumn="0" w:lastRowFirstColumn="0" w:lastRowLastColumn="0"/>
                  </w:pPr>
                  <w:r w:rsidRPr="0042214E">
                    <w:t>estimated $170 million benefits from 70</w:t>
                  </w:r>
                  <w:r w:rsidR="006B10BA" w:rsidRPr="0042214E">
                    <w:t xml:space="preserve"> per cent </w:t>
                  </w:r>
                  <w:r w:rsidRPr="0042214E">
                    <w:t>reduction in the number of truck movements through the Smithville city centre.</w:t>
                  </w:r>
                </w:p>
              </w:tc>
            </w:tr>
            <w:tr w:rsidR="00EF49E9" w:rsidRPr="0042214E" w14:paraId="52CF3EE6" w14:textId="77777777" w:rsidTr="00586BA5">
              <w:tc>
                <w:tcPr>
                  <w:cnfStyle w:val="001000000000" w:firstRow="0" w:lastRow="0" w:firstColumn="1" w:lastColumn="0" w:oddVBand="0" w:evenVBand="0" w:oddHBand="0" w:evenHBand="0" w:firstRowFirstColumn="0" w:firstRowLastColumn="0" w:lastRowFirstColumn="0" w:lastRowLastColumn="0"/>
                  <w:tcW w:w="1673" w:type="dxa"/>
                </w:tcPr>
                <w:p w14:paraId="33C27652" w14:textId="4BE95F88" w:rsidR="00EF49E9" w:rsidRPr="0042214E" w:rsidRDefault="00EF49E9" w:rsidP="00EF49E9">
                  <w:pPr>
                    <w:pStyle w:val="Tabletext"/>
                    <w:rPr>
                      <w:i/>
                    </w:rPr>
                  </w:pPr>
                  <w:r w:rsidRPr="0042214E">
                    <w:t xml:space="preserve">Project </w:t>
                  </w:r>
                  <w:r w:rsidR="0044651B" w:rsidRPr="0042214E">
                    <w:t xml:space="preserve">option </w:t>
                  </w:r>
                  <w:r w:rsidRPr="0042214E">
                    <w:t>2</w:t>
                  </w:r>
                </w:p>
              </w:tc>
              <w:tc>
                <w:tcPr>
                  <w:tcW w:w="6636" w:type="dxa"/>
                </w:tcPr>
                <w:p w14:paraId="4641F6EA" w14:textId="77777777" w:rsidR="00EF49E9" w:rsidRPr="0042214E" w:rsidRDefault="00EF49E9" w:rsidP="00EF49E9">
                  <w:pPr>
                    <w:pStyle w:val="Tabletext"/>
                    <w:cnfStyle w:val="000000000000" w:firstRow="0" w:lastRow="0" w:firstColumn="0" w:lastColumn="0" w:oddVBand="0" w:evenVBand="0" w:oddHBand="0" w:evenHBand="0" w:firstRowFirstColumn="0" w:firstRowLastColumn="0" w:lastRowFirstColumn="0" w:lastRowLastColumn="0"/>
                  </w:pPr>
                  <w:r w:rsidRPr="0042214E">
                    <w:t>$935 million of monetised socioeconomic benefits comprising:</w:t>
                  </w:r>
                </w:p>
                <w:p w14:paraId="6BAA41A7" w14:textId="77777777" w:rsidR="00EF49E9" w:rsidRPr="0042214E" w:rsidRDefault="00EF49E9" w:rsidP="00A6778F">
                  <w:pPr>
                    <w:pStyle w:val="Tablebullet"/>
                    <w:cnfStyle w:val="000000000000" w:firstRow="0" w:lastRow="0" w:firstColumn="0" w:lastColumn="0" w:oddVBand="0" w:evenVBand="0" w:oddHBand="0" w:evenHBand="0" w:firstRowFirstColumn="0" w:firstRowLastColumn="0" w:lastRowFirstColumn="0" w:lastRowLastColumn="0"/>
                  </w:pPr>
                  <w:r w:rsidRPr="0042214E">
                    <w:t>estimated $810 million of benefits from reduced travel times, vehicle operating costs, accident costs and externalities; and</w:t>
                  </w:r>
                </w:p>
                <w:p w14:paraId="7DA58AEA" w14:textId="2E3C4061" w:rsidR="00EF49E9" w:rsidRPr="0042214E" w:rsidRDefault="00EF49E9" w:rsidP="006B10BA">
                  <w:pPr>
                    <w:pStyle w:val="Tablebullet"/>
                    <w:cnfStyle w:val="000000000000" w:firstRow="0" w:lastRow="0" w:firstColumn="0" w:lastColumn="0" w:oddVBand="0" w:evenVBand="0" w:oddHBand="0" w:evenHBand="0" w:firstRowFirstColumn="0" w:firstRowLastColumn="0" w:lastRowFirstColumn="0" w:lastRowLastColumn="0"/>
                  </w:pPr>
                  <w:r w:rsidRPr="0042214E">
                    <w:t>estimated $185 million of benefits from 80</w:t>
                  </w:r>
                  <w:r w:rsidR="006B10BA" w:rsidRPr="0042214E">
                    <w:t xml:space="preserve"> per cent </w:t>
                  </w:r>
                  <w:r w:rsidRPr="0042214E">
                    <w:t>reduction in the number of truck movements through the Smithville city centre.</w:t>
                  </w:r>
                </w:p>
              </w:tc>
            </w:tr>
          </w:tbl>
          <w:p w14:paraId="3550D3F9" w14:textId="77777777" w:rsidR="00EF49E9" w:rsidRPr="0042214E" w:rsidRDefault="00EF49E9" w:rsidP="00A6778F">
            <w:pPr>
              <w:pStyle w:val="Spacer"/>
            </w:pPr>
          </w:p>
          <w:p w14:paraId="2E355F1B" w14:textId="6C41D9E3" w:rsidR="00A6778F" w:rsidRPr="0042214E" w:rsidRDefault="00A6778F" w:rsidP="00A6778F">
            <w:pPr>
              <w:pStyle w:val="Spacer"/>
            </w:pPr>
          </w:p>
        </w:tc>
      </w:tr>
      <w:tr w:rsidR="00EF49E9" w:rsidRPr="0042214E" w14:paraId="79424C69" w14:textId="77777777" w:rsidTr="00A6778F">
        <w:tc>
          <w:tcPr>
            <w:cnfStyle w:val="001000000000" w:firstRow="0" w:lastRow="0" w:firstColumn="1" w:lastColumn="0" w:oddVBand="0" w:evenVBand="0" w:oddHBand="0" w:evenHBand="0" w:firstRowFirstColumn="0" w:firstRowLastColumn="0" w:lastRowFirstColumn="0" w:lastRowLastColumn="0"/>
            <w:tcW w:w="8531" w:type="dxa"/>
            <w:tcBorders>
              <w:top w:val="nil"/>
              <w:bottom w:val="single" w:sz="6" w:space="0" w:color="A5A59D" w:themeColor="background2" w:themeShade="BF"/>
            </w:tcBorders>
            <w:shd w:val="clear" w:color="auto" w:fill="FDEACC" w:themeFill="accent6"/>
          </w:tcPr>
          <w:p w14:paraId="25130C7B" w14:textId="77777777" w:rsidR="00EF49E9" w:rsidRPr="0042214E" w:rsidRDefault="00EF49E9" w:rsidP="00EF49E9">
            <w:pPr>
              <w:pStyle w:val="Tabletextbold"/>
            </w:pPr>
            <w:r w:rsidRPr="0042214E">
              <w:t>Integrated analysis</w:t>
            </w:r>
          </w:p>
          <w:p w14:paraId="66D291DD" w14:textId="77777777" w:rsidR="00EF49E9" w:rsidRPr="0042214E" w:rsidRDefault="00EF49E9" w:rsidP="00A6778F">
            <w:pPr>
              <w:pStyle w:val="Tabletext"/>
            </w:pPr>
            <w:r w:rsidRPr="0042214E">
              <w:t xml:space="preserve">Integrated analysis is a CBA because </w:t>
            </w:r>
            <w:proofErr w:type="gramStart"/>
            <w:r w:rsidRPr="0042214E">
              <w:t>the majority of</w:t>
            </w:r>
            <w:proofErr w:type="gramEnd"/>
            <w:r w:rsidRPr="0042214E">
              <w:t xml:space="preserve"> costs and benefits are monetised.</w:t>
            </w:r>
          </w:p>
          <w:tbl>
            <w:tblPr>
              <w:tblStyle w:val="DTFTextTable"/>
              <w:tblW w:w="8309" w:type="dxa"/>
              <w:tblLook w:val="06E0" w:firstRow="1" w:lastRow="1" w:firstColumn="1" w:lastColumn="0" w:noHBand="1" w:noVBand="1"/>
            </w:tblPr>
            <w:tblGrid>
              <w:gridCol w:w="4575"/>
              <w:gridCol w:w="1867"/>
              <w:gridCol w:w="1867"/>
            </w:tblGrid>
            <w:tr w:rsidR="00EF49E9" w:rsidRPr="0042214E" w14:paraId="43CD0F37" w14:textId="77777777" w:rsidTr="00586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5" w:type="dxa"/>
                </w:tcPr>
                <w:p w14:paraId="3732BA8E" w14:textId="77777777" w:rsidR="00EF49E9" w:rsidRPr="0042214E" w:rsidRDefault="00EF49E9" w:rsidP="00EF49E9">
                  <w:r w:rsidRPr="0042214E">
                    <w:t>Impact</w:t>
                  </w:r>
                </w:p>
              </w:tc>
              <w:tc>
                <w:tcPr>
                  <w:tcW w:w="1867" w:type="dxa"/>
                </w:tcPr>
                <w:p w14:paraId="302BA950" w14:textId="69D3E94F" w:rsidR="00EF49E9" w:rsidRPr="0042214E" w:rsidRDefault="00EF49E9" w:rsidP="00EF49E9">
                  <w:pPr>
                    <w:cnfStyle w:val="100000000000" w:firstRow="1" w:lastRow="0" w:firstColumn="0" w:lastColumn="0" w:oddVBand="0" w:evenVBand="0" w:oddHBand="0" w:evenHBand="0" w:firstRowFirstColumn="0" w:firstRowLastColumn="0" w:lastRowFirstColumn="0" w:lastRowLastColumn="0"/>
                  </w:pPr>
                  <w:r w:rsidRPr="0042214E">
                    <w:t>Project option</w:t>
                  </w:r>
                  <w:r w:rsidR="009610A7">
                    <w:t xml:space="preserve"> 1</w:t>
                  </w:r>
                </w:p>
              </w:tc>
              <w:tc>
                <w:tcPr>
                  <w:tcW w:w="1867" w:type="dxa"/>
                </w:tcPr>
                <w:p w14:paraId="160B1FBB" w14:textId="77777777" w:rsidR="00EF49E9" w:rsidRPr="0042214E" w:rsidRDefault="00EF49E9" w:rsidP="00EF49E9">
                  <w:pPr>
                    <w:cnfStyle w:val="100000000000" w:firstRow="1" w:lastRow="0" w:firstColumn="0" w:lastColumn="0" w:oddVBand="0" w:evenVBand="0" w:oddHBand="0" w:evenHBand="0" w:firstRowFirstColumn="0" w:firstRowLastColumn="0" w:lastRowFirstColumn="0" w:lastRowLastColumn="0"/>
                  </w:pPr>
                  <w:r w:rsidRPr="0042214E">
                    <w:t>Project option 2</w:t>
                  </w:r>
                </w:p>
              </w:tc>
            </w:tr>
            <w:tr w:rsidR="00EF49E9" w:rsidRPr="0042214E" w14:paraId="0D8FC90B" w14:textId="77777777" w:rsidTr="00586BA5">
              <w:tc>
                <w:tcPr>
                  <w:cnfStyle w:val="001000000000" w:firstRow="0" w:lastRow="0" w:firstColumn="1" w:lastColumn="0" w:oddVBand="0" w:evenVBand="0" w:oddHBand="0" w:evenHBand="0" w:firstRowFirstColumn="0" w:firstRowLastColumn="0" w:lastRowFirstColumn="0" w:lastRowLastColumn="0"/>
                  <w:tcW w:w="4575" w:type="dxa"/>
                </w:tcPr>
                <w:p w14:paraId="2CCD995B" w14:textId="77777777" w:rsidR="00EF49E9" w:rsidRPr="0042214E" w:rsidRDefault="00EF49E9" w:rsidP="00EF49E9">
                  <w:pPr>
                    <w:pStyle w:val="Tabletext"/>
                  </w:pPr>
                  <w:r w:rsidRPr="0042214E">
                    <w:t>Financial impacts (costs)</w:t>
                  </w:r>
                </w:p>
              </w:tc>
              <w:tc>
                <w:tcPr>
                  <w:tcW w:w="1867" w:type="dxa"/>
                </w:tcPr>
                <w:p w14:paraId="668112DF" w14:textId="77777777" w:rsidR="00EF49E9" w:rsidRPr="0042214E" w:rsidRDefault="00EF49E9" w:rsidP="00EF49E9">
                  <w:pPr>
                    <w:pStyle w:val="Tabletext"/>
                    <w:cnfStyle w:val="000000000000" w:firstRow="0" w:lastRow="0" w:firstColumn="0" w:lastColumn="0" w:oddVBand="0" w:evenVBand="0" w:oddHBand="0" w:evenHBand="0" w:firstRowFirstColumn="0" w:firstRowLastColumn="0" w:lastRowFirstColumn="0" w:lastRowLastColumn="0"/>
                  </w:pPr>
                  <w:r w:rsidRPr="0042214E">
                    <w:t>($820 million)</w:t>
                  </w:r>
                </w:p>
              </w:tc>
              <w:tc>
                <w:tcPr>
                  <w:tcW w:w="1867" w:type="dxa"/>
                </w:tcPr>
                <w:p w14:paraId="00BDD48D" w14:textId="77777777" w:rsidR="00EF49E9" w:rsidRPr="0042214E" w:rsidRDefault="00EF49E9" w:rsidP="00EF49E9">
                  <w:pPr>
                    <w:pStyle w:val="Tabletext"/>
                    <w:cnfStyle w:val="000000000000" w:firstRow="0" w:lastRow="0" w:firstColumn="0" w:lastColumn="0" w:oddVBand="0" w:evenVBand="0" w:oddHBand="0" w:evenHBand="0" w:firstRowFirstColumn="0" w:firstRowLastColumn="0" w:lastRowFirstColumn="0" w:lastRowLastColumn="0"/>
                  </w:pPr>
                  <w:r w:rsidRPr="0042214E">
                    <w:t>($920 million)</w:t>
                  </w:r>
                </w:p>
              </w:tc>
            </w:tr>
            <w:tr w:rsidR="00EF49E9" w:rsidRPr="0042214E" w14:paraId="00BB7800" w14:textId="77777777" w:rsidTr="00586BA5">
              <w:tc>
                <w:tcPr>
                  <w:cnfStyle w:val="001000000000" w:firstRow="0" w:lastRow="0" w:firstColumn="1" w:lastColumn="0" w:oddVBand="0" w:evenVBand="0" w:oddHBand="0" w:evenHBand="0" w:firstRowFirstColumn="0" w:firstRowLastColumn="0" w:lastRowFirstColumn="0" w:lastRowLastColumn="0"/>
                  <w:tcW w:w="4575" w:type="dxa"/>
                </w:tcPr>
                <w:p w14:paraId="602057BA" w14:textId="77777777" w:rsidR="00EF49E9" w:rsidRPr="0042214E" w:rsidRDefault="00EF49E9" w:rsidP="00EF49E9">
                  <w:pPr>
                    <w:pStyle w:val="Tabletext"/>
                  </w:pPr>
                  <w:r w:rsidRPr="0042214E">
                    <w:t>Monetised non</w:t>
                  </w:r>
                  <w:r w:rsidRPr="0042214E">
                    <w:noBreakHyphen/>
                    <w:t>financial impacts (benefit)</w:t>
                  </w:r>
                </w:p>
              </w:tc>
              <w:tc>
                <w:tcPr>
                  <w:tcW w:w="1867" w:type="dxa"/>
                </w:tcPr>
                <w:p w14:paraId="53D270C5" w14:textId="77777777" w:rsidR="00EF49E9" w:rsidRPr="0042214E" w:rsidRDefault="00EF49E9" w:rsidP="00EF49E9">
                  <w:pPr>
                    <w:pStyle w:val="Tabletext"/>
                    <w:cnfStyle w:val="000000000000" w:firstRow="0" w:lastRow="0" w:firstColumn="0" w:lastColumn="0" w:oddVBand="0" w:evenVBand="0" w:oddHBand="0" w:evenHBand="0" w:firstRowFirstColumn="0" w:firstRowLastColumn="0" w:lastRowFirstColumn="0" w:lastRowLastColumn="0"/>
                  </w:pPr>
                  <w:r w:rsidRPr="0042214E">
                    <w:t>$800 million</w:t>
                  </w:r>
                </w:p>
              </w:tc>
              <w:tc>
                <w:tcPr>
                  <w:tcW w:w="1867" w:type="dxa"/>
                </w:tcPr>
                <w:p w14:paraId="4B3D10D4" w14:textId="77777777" w:rsidR="00EF49E9" w:rsidRPr="0042214E" w:rsidRDefault="00EF49E9" w:rsidP="00EF49E9">
                  <w:pPr>
                    <w:pStyle w:val="Tabletext"/>
                    <w:cnfStyle w:val="000000000000" w:firstRow="0" w:lastRow="0" w:firstColumn="0" w:lastColumn="0" w:oddVBand="0" w:evenVBand="0" w:oddHBand="0" w:evenHBand="0" w:firstRowFirstColumn="0" w:firstRowLastColumn="0" w:lastRowFirstColumn="0" w:lastRowLastColumn="0"/>
                  </w:pPr>
                  <w:r w:rsidRPr="0042214E">
                    <w:t>$935 million</w:t>
                  </w:r>
                </w:p>
              </w:tc>
            </w:tr>
            <w:tr w:rsidR="00EF49E9" w:rsidRPr="0042214E" w14:paraId="1E33CB9F" w14:textId="77777777" w:rsidTr="00586BA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5" w:type="dxa"/>
                </w:tcPr>
                <w:p w14:paraId="32F74974" w14:textId="77777777" w:rsidR="00EF49E9" w:rsidRPr="0042214E" w:rsidRDefault="00EF49E9" w:rsidP="00EF49E9">
                  <w:pPr>
                    <w:pStyle w:val="Tabletextbold"/>
                    <w:rPr>
                      <w:b/>
                    </w:rPr>
                  </w:pPr>
                  <w:r w:rsidRPr="0042214E">
                    <w:rPr>
                      <w:b/>
                    </w:rPr>
                    <w:t>NPV</w:t>
                  </w:r>
                </w:p>
              </w:tc>
              <w:tc>
                <w:tcPr>
                  <w:tcW w:w="1867" w:type="dxa"/>
                </w:tcPr>
                <w:p w14:paraId="53C9BC7C" w14:textId="77777777" w:rsidR="00EF49E9" w:rsidRPr="0042214E" w:rsidRDefault="00EF49E9" w:rsidP="00EF49E9">
                  <w:pPr>
                    <w:pStyle w:val="Tabletextbold"/>
                    <w:cnfStyle w:val="010000000000" w:firstRow="0" w:lastRow="1" w:firstColumn="0" w:lastColumn="0" w:oddVBand="0" w:evenVBand="0" w:oddHBand="0" w:evenHBand="0" w:firstRowFirstColumn="0" w:firstRowLastColumn="0" w:lastRowFirstColumn="0" w:lastRowLastColumn="0"/>
                    <w:rPr>
                      <w:b/>
                    </w:rPr>
                  </w:pPr>
                  <w:r w:rsidRPr="0042214E">
                    <w:rPr>
                      <w:b/>
                    </w:rPr>
                    <w:t>($20 million)</w:t>
                  </w:r>
                </w:p>
              </w:tc>
              <w:tc>
                <w:tcPr>
                  <w:tcW w:w="1867" w:type="dxa"/>
                </w:tcPr>
                <w:p w14:paraId="7D50C21D" w14:textId="77777777" w:rsidR="00EF49E9" w:rsidRPr="0042214E" w:rsidRDefault="00EF49E9" w:rsidP="00EF49E9">
                  <w:pPr>
                    <w:pStyle w:val="Tabletextbold"/>
                    <w:cnfStyle w:val="010000000000" w:firstRow="0" w:lastRow="1" w:firstColumn="0" w:lastColumn="0" w:oddVBand="0" w:evenVBand="0" w:oddHBand="0" w:evenHBand="0" w:firstRowFirstColumn="0" w:firstRowLastColumn="0" w:lastRowFirstColumn="0" w:lastRowLastColumn="0"/>
                    <w:rPr>
                      <w:b/>
                    </w:rPr>
                  </w:pPr>
                  <w:r w:rsidRPr="0042214E">
                    <w:rPr>
                      <w:b/>
                    </w:rPr>
                    <w:t>$15 million</w:t>
                  </w:r>
                </w:p>
              </w:tc>
            </w:tr>
          </w:tbl>
          <w:p w14:paraId="76D41859" w14:textId="77777777" w:rsidR="00EF49E9" w:rsidRPr="0042214E" w:rsidRDefault="00EF49E9" w:rsidP="00EF49E9">
            <w:pPr>
              <w:pStyle w:val="Spacer"/>
            </w:pPr>
          </w:p>
          <w:p w14:paraId="672E60BE" w14:textId="7E663DFD" w:rsidR="00EF49E9" w:rsidRPr="0042214E" w:rsidRDefault="00EF49E9" w:rsidP="00A6778F">
            <w:pPr>
              <w:pStyle w:val="Tabletext"/>
            </w:pPr>
            <w:r w:rsidRPr="0042214E">
              <w:rPr>
                <w:b/>
              </w:rPr>
              <w:t xml:space="preserve">Project </w:t>
            </w:r>
            <w:r w:rsidR="0044651B" w:rsidRPr="0042214E">
              <w:rPr>
                <w:b/>
              </w:rPr>
              <w:t xml:space="preserve">option </w:t>
            </w:r>
            <w:r w:rsidRPr="0042214E">
              <w:rPr>
                <w:b/>
              </w:rPr>
              <w:t xml:space="preserve">2 </w:t>
            </w:r>
            <w:r w:rsidRPr="0042214E">
              <w:t xml:space="preserve">is recommended (there are no major risks that need to be </w:t>
            </w:r>
            <w:proofErr w:type="gramStart"/>
            <w:r w:rsidRPr="0042214E">
              <w:t>taken into account</w:t>
            </w:r>
            <w:proofErr w:type="gramEnd"/>
            <w:r w:rsidRPr="0042214E">
              <w:t>).</w:t>
            </w:r>
          </w:p>
        </w:tc>
      </w:tr>
      <w:tr w:rsidR="00EF49E9" w:rsidRPr="0042214E" w14:paraId="176B97C1" w14:textId="77777777" w:rsidTr="00A6778F">
        <w:trPr>
          <w:cantSplit/>
        </w:trPr>
        <w:tc>
          <w:tcPr>
            <w:cnfStyle w:val="001000000000" w:firstRow="0" w:lastRow="0" w:firstColumn="1" w:lastColumn="0" w:oddVBand="0" w:evenVBand="0" w:oddHBand="0" w:evenHBand="0" w:firstRowFirstColumn="0" w:firstRowLastColumn="0" w:lastRowFirstColumn="0" w:lastRowLastColumn="0"/>
            <w:tcW w:w="8531" w:type="dxa"/>
            <w:tcBorders>
              <w:top w:val="single" w:sz="6" w:space="0" w:color="A5A59D" w:themeColor="background2" w:themeShade="BF"/>
              <w:bottom w:val="single" w:sz="12" w:space="0" w:color="E57200" w:themeColor="accent2"/>
            </w:tcBorders>
            <w:shd w:val="clear" w:color="auto" w:fill="FDEACC" w:themeFill="accent6"/>
          </w:tcPr>
          <w:p w14:paraId="6187E6E0" w14:textId="77777777" w:rsidR="00EF49E9" w:rsidRPr="0042214E" w:rsidRDefault="00EF49E9" w:rsidP="00EF49E9">
            <w:pPr>
              <w:pStyle w:val="Tabletextbold"/>
            </w:pPr>
            <w:r w:rsidRPr="0042214E">
              <w:lastRenderedPageBreak/>
              <w:t xml:space="preserve">Sensitivity analysis </w:t>
            </w:r>
          </w:p>
          <w:p w14:paraId="35B1056E" w14:textId="77777777" w:rsidR="00EF49E9" w:rsidRPr="0042214E" w:rsidRDefault="00EF49E9" w:rsidP="00EF49E9">
            <w:pPr>
              <w:pStyle w:val="Tabletext"/>
            </w:pPr>
            <w:r w:rsidRPr="0042214E">
              <w:t xml:space="preserve">This section conducts sensitivity analysis on the socioeconomic and environmental impact assessment of project options, with a focus on the net present values (NPV). </w:t>
            </w:r>
          </w:p>
          <w:p w14:paraId="632A0F92" w14:textId="00596F57" w:rsidR="00EF49E9" w:rsidRPr="0042214E" w:rsidRDefault="00EF49E9" w:rsidP="00EF49E9">
            <w:pPr>
              <w:pStyle w:val="Tabletext"/>
            </w:pPr>
            <w:r w:rsidRPr="0042214E">
              <w:t>A key driver of the calculation of NPVs is the outputs of the transport demand modelling. That modelling underpins the calculation of project option benefits. The values shown earlier reflect best estimates. However, there is a range of uncertainties in transport demand modelling (</w:t>
            </w:r>
            <w:r w:rsidR="00FB7609" w:rsidRPr="0042214E">
              <w:t>e.g.,</w:t>
            </w:r>
            <w:r w:rsidRPr="0042214E">
              <w:t xml:space="preserve"> land use assumptions, model calibration, value of time and user sensitivities to financial costs) that may lead actual benefits to vary from the estimated values.</w:t>
            </w:r>
          </w:p>
          <w:p w14:paraId="5FA4403C" w14:textId="42CA4E76" w:rsidR="00EF49E9" w:rsidRPr="0042214E" w:rsidRDefault="00EF49E9" w:rsidP="00EF49E9">
            <w:pPr>
              <w:pStyle w:val="Tabletext"/>
            </w:pPr>
            <w:r w:rsidRPr="0042214E">
              <w:t xml:space="preserve">To evaluate the potential impact of this uncertainty, this section assesses the sensitivity of the </w:t>
            </w:r>
            <w:r w:rsidRPr="0042214E">
              <w:rPr>
                <w:i/>
              </w:rPr>
              <w:t>net present values</w:t>
            </w:r>
            <w:r w:rsidRPr="0042214E">
              <w:t xml:space="preserve"> to changes in the </w:t>
            </w:r>
            <w:r w:rsidRPr="0042214E">
              <w:rPr>
                <w:i/>
              </w:rPr>
              <w:t>monetised benefits</w:t>
            </w:r>
            <w:r w:rsidRPr="0042214E">
              <w:t>. For simplicity, the scenario analysis captures uncertainty in demand modelling by including general changes in monetised benefits (10</w:t>
            </w:r>
            <w:r w:rsidR="006B10BA" w:rsidRPr="0042214E">
              <w:t xml:space="preserve"> per cent, </w:t>
            </w:r>
            <w:r w:rsidRPr="0042214E">
              <w:t>+10</w:t>
            </w:r>
            <w:r w:rsidR="006B10BA" w:rsidRPr="0042214E">
              <w:t xml:space="preserve"> per cent) </w:t>
            </w:r>
            <w:r w:rsidRPr="0042214E">
              <w:t xml:space="preserve">that critically depend on that modelling, rather than separately modelling changes to individual demand parameters. As part of this analysis, it is assumed that the benefit item of residual asset value is not impacted by these scenarios. </w:t>
            </w:r>
          </w:p>
          <w:p w14:paraId="3B4122BA" w14:textId="7D7C1AD8" w:rsidR="00EF49E9" w:rsidRPr="0042214E" w:rsidRDefault="00EF49E9" w:rsidP="00EF49E9">
            <w:pPr>
              <w:pStyle w:val="Tabletext"/>
            </w:pPr>
            <w:r w:rsidRPr="0042214E">
              <w:t xml:space="preserve">The tables at Appendix X show how the NPVs for the project options change under these scenarios. The key findings of the sensitivity analysis are that the NPVs are indeed sensitive to the transport demand modelling. For example, when the monetised benefits are increased by 10 per cent, all project options have a net present benefit. Importantly, </w:t>
            </w:r>
            <w:r w:rsidR="0044651B" w:rsidRPr="0042214E">
              <w:t xml:space="preserve">option </w:t>
            </w:r>
            <w:r w:rsidRPr="0042214E">
              <w:t>2 retains a positive NPV even when the monetised benefits are reduced by 10 per cent.</w:t>
            </w:r>
          </w:p>
          <w:p w14:paraId="0CFE6B6B" w14:textId="68D8EB69" w:rsidR="00EF49E9" w:rsidRPr="0042214E" w:rsidRDefault="00EF49E9" w:rsidP="00EF49E9">
            <w:pPr>
              <w:pStyle w:val="Tabletext"/>
            </w:pPr>
            <w:r w:rsidRPr="0042214E">
              <w:t xml:space="preserve">This validates the earlier finding that </w:t>
            </w:r>
            <w:r w:rsidR="0044651B" w:rsidRPr="0042214E">
              <w:t xml:space="preserve">option </w:t>
            </w:r>
            <w:r w:rsidRPr="0042214E">
              <w:t>2 is the recommended approach. It retains a net present benefit under a pessimistic scenario for demand. This is before the non</w:t>
            </w:r>
            <w:r w:rsidRPr="0042214E">
              <w:noBreakHyphen/>
              <w:t>monetised benefits are included in the assessment.</w:t>
            </w:r>
          </w:p>
        </w:tc>
      </w:tr>
      <w:tr w:rsidR="00EF49E9" w:rsidRPr="0042214E" w14:paraId="3BC17892" w14:textId="77777777" w:rsidTr="00A6778F">
        <w:trPr>
          <w:cantSplit/>
        </w:trPr>
        <w:tc>
          <w:tcPr>
            <w:cnfStyle w:val="001000000000" w:firstRow="0" w:lastRow="0" w:firstColumn="1" w:lastColumn="0" w:oddVBand="0" w:evenVBand="0" w:oddHBand="0" w:evenHBand="0" w:firstRowFirstColumn="0" w:firstRowLastColumn="0" w:lastRowFirstColumn="0" w:lastRowLastColumn="0"/>
            <w:tcW w:w="8531" w:type="dxa"/>
            <w:tcBorders>
              <w:top w:val="single" w:sz="12" w:space="0" w:color="E57200" w:themeColor="accent2"/>
              <w:bottom w:val="nil"/>
            </w:tcBorders>
            <w:shd w:val="clear" w:color="auto" w:fill="FDEACC" w:themeFill="accent6"/>
          </w:tcPr>
          <w:p w14:paraId="6189A356" w14:textId="77777777" w:rsidR="00EF49E9" w:rsidRPr="0042214E" w:rsidRDefault="00EF49E9" w:rsidP="00A6778F">
            <w:pPr>
              <w:pStyle w:val="Tabletextbold"/>
              <w:spacing w:before="140"/>
              <w:rPr>
                <w:sz w:val="20"/>
              </w:rPr>
            </w:pPr>
            <w:r w:rsidRPr="0042214E">
              <w:rPr>
                <w:sz w:val="20"/>
              </w:rPr>
              <w:t>Integrated analysis – CBA combined with MCA (fictional bushfire safety example)</w:t>
            </w:r>
          </w:p>
          <w:p w14:paraId="784C17BE" w14:textId="77777777" w:rsidR="00EF49E9" w:rsidRPr="0042214E" w:rsidRDefault="00EF49E9" w:rsidP="00EF49E9">
            <w:pPr>
              <w:pStyle w:val="Tabletext"/>
            </w:pPr>
            <w:r w:rsidRPr="0042214E">
              <w:t>Note that for simplicity these examples include only two project options (other than the base case).</w:t>
            </w:r>
          </w:p>
          <w:p w14:paraId="1A37DDBF" w14:textId="77777777" w:rsidR="00EF49E9" w:rsidRPr="0042214E" w:rsidRDefault="00EF49E9" w:rsidP="00EF49E9">
            <w:pPr>
              <w:pStyle w:val="Tabletext"/>
            </w:pPr>
            <w:r w:rsidRPr="0042214E">
              <w:t>The following costs need to be included in the analysis:</w:t>
            </w:r>
          </w:p>
          <w:p w14:paraId="6C429677" w14:textId="77777777" w:rsidR="00EF49E9" w:rsidRPr="0042214E" w:rsidRDefault="00EF49E9" w:rsidP="00EF49E9">
            <w:pPr>
              <w:pStyle w:val="Tablebullet"/>
            </w:pPr>
            <w:r w:rsidRPr="0042214E">
              <w:t xml:space="preserve">investment in electricity distribution network assets in rural areas to reduce risk of these starting bushfires in </w:t>
            </w:r>
            <w:proofErr w:type="gramStart"/>
            <w:r w:rsidRPr="0042214E">
              <w:t>future;</w:t>
            </w:r>
            <w:proofErr w:type="gramEnd"/>
          </w:p>
          <w:p w14:paraId="51934845" w14:textId="77777777" w:rsidR="00EF49E9" w:rsidRPr="0042214E" w:rsidRDefault="00EF49E9" w:rsidP="00EF49E9">
            <w:pPr>
              <w:pStyle w:val="Tablebullet"/>
            </w:pPr>
            <w:r w:rsidRPr="0042214E">
              <w:t xml:space="preserve">financial impacts; and </w:t>
            </w:r>
          </w:p>
          <w:p w14:paraId="1A484E6B" w14:textId="2C15376A" w:rsidR="00EF49E9" w:rsidRPr="0042214E" w:rsidRDefault="00EF49E9" w:rsidP="00EF49E9">
            <w:pPr>
              <w:pStyle w:val="Tablebullet"/>
            </w:pPr>
            <w:r w:rsidRPr="0042214E">
              <w:t xml:space="preserve">investment costs will be paid by the Victorian Government and by electricity distributors in rural areas </w:t>
            </w:r>
            <w:r w:rsidR="00F77CCE" w:rsidRPr="0042214E">
              <w:br/>
            </w:r>
            <w:r w:rsidRPr="0042214E">
              <w:t xml:space="preserve">(to be recovered from users in those areas through network charges). </w:t>
            </w:r>
          </w:p>
          <w:tbl>
            <w:tblPr>
              <w:tblStyle w:val="DTFTextTable"/>
              <w:tblW w:w="8309" w:type="dxa"/>
              <w:tblBorders>
                <w:top w:val="single" w:sz="8" w:space="0" w:color="E35205" w:themeColor="accent1"/>
                <w:insideH w:val="single" w:sz="4" w:space="0" w:color="E57200" w:themeColor="accent2"/>
              </w:tblBorders>
              <w:tblLook w:val="06A0" w:firstRow="1" w:lastRow="0" w:firstColumn="1" w:lastColumn="0" w:noHBand="1" w:noVBand="1"/>
            </w:tblPr>
            <w:tblGrid>
              <w:gridCol w:w="1694"/>
              <w:gridCol w:w="6615"/>
            </w:tblGrid>
            <w:tr w:rsidR="00EF49E9" w:rsidRPr="0042214E" w14:paraId="38885BBF" w14:textId="77777777" w:rsidTr="00EF4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4" w:type="dxa"/>
                </w:tcPr>
                <w:p w14:paraId="62F5200F" w14:textId="77777777" w:rsidR="00EF49E9" w:rsidRPr="0042214E" w:rsidRDefault="00EF49E9" w:rsidP="00EF49E9">
                  <w:r w:rsidRPr="0042214E">
                    <w:t>Project option</w:t>
                  </w:r>
                </w:p>
              </w:tc>
              <w:tc>
                <w:tcPr>
                  <w:tcW w:w="6615" w:type="dxa"/>
                </w:tcPr>
                <w:p w14:paraId="70DBBA56" w14:textId="77777777" w:rsidR="00EF49E9" w:rsidRPr="0042214E" w:rsidRDefault="00EF49E9" w:rsidP="00EF49E9">
                  <w:pPr>
                    <w:cnfStyle w:val="100000000000" w:firstRow="1" w:lastRow="0" w:firstColumn="0" w:lastColumn="0" w:oddVBand="0" w:evenVBand="0" w:oddHBand="0" w:evenHBand="0" w:firstRowFirstColumn="0" w:firstRowLastColumn="0" w:lastRowFirstColumn="0" w:lastRowLastColumn="0"/>
                  </w:pPr>
                  <w:r w:rsidRPr="0042214E">
                    <w:t>Monetised socioeconomic impacts</w:t>
                  </w:r>
                </w:p>
              </w:tc>
            </w:tr>
            <w:tr w:rsidR="00EF49E9" w:rsidRPr="0042214E" w14:paraId="2E68C2A3" w14:textId="77777777" w:rsidTr="00EF49E9">
              <w:tc>
                <w:tcPr>
                  <w:cnfStyle w:val="001000000000" w:firstRow="0" w:lastRow="0" w:firstColumn="1" w:lastColumn="0" w:oddVBand="0" w:evenVBand="0" w:oddHBand="0" w:evenHBand="0" w:firstRowFirstColumn="0" w:firstRowLastColumn="0" w:lastRowFirstColumn="0" w:lastRowLastColumn="0"/>
                  <w:tcW w:w="1694" w:type="dxa"/>
                </w:tcPr>
                <w:p w14:paraId="62347471" w14:textId="559E610A" w:rsidR="00EF49E9" w:rsidRPr="0042214E" w:rsidRDefault="00EF49E9" w:rsidP="00EF49E9">
                  <w:pPr>
                    <w:pStyle w:val="Tabletext"/>
                  </w:pPr>
                  <w:r w:rsidRPr="0042214E">
                    <w:t xml:space="preserve">Project </w:t>
                  </w:r>
                  <w:r w:rsidR="0044651B" w:rsidRPr="0042214E">
                    <w:t xml:space="preserve">option </w:t>
                  </w:r>
                  <w:r w:rsidRPr="0042214E">
                    <w:t>1</w:t>
                  </w:r>
                </w:p>
              </w:tc>
              <w:tc>
                <w:tcPr>
                  <w:tcW w:w="6615" w:type="dxa"/>
                </w:tcPr>
                <w:p w14:paraId="11640CE3" w14:textId="77777777" w:rsidR="00EF49E9" w:rsidRPr="0042214E" w:rsidRDefault="00EF49E9" w:rsidP="00EF49E9">
                  <w:pPr>
                    <w:pStyle w:val="Tabletext"/>
                    <w:cnfStyle w:val="000000000000" w:firstRow="0" w:lastRow="0" w:firstColumn="0" w:lastColumn="0" w:oddVBand="0" w:evenVBand="0" w:oddHBand="0" w:evenHBand="0" w:firstRowFirstColumn="0" w:firstRowLastColumn="0" w:lastRowFirstColumn="0" w:lastRowLastColumn="0"/>
                  </w:pPr>
                  <w:r w:rsidRPr="0042214E">
                    <w:t>Estimated cost of $600 million (NPV)</w:t>
                  </w:r>
                </w:p>
                <w:p w14:paraId="464F2147" w14:textId="77777777" w:rsidR="00EF49E9" w:rsidRPr="0042214E" w:rsidRDefault="00EF49E9" w:rsidP="00EF49E9">
                  <w:pPr>
                    <w:pStyle w:val="Tablebullet"/>
                    <w:cnfStyle w:val="000000000000" w:firstRow="0" w:lastRow="0" w:firstColumn="0" w:lastColumn="0" w:oddVBand="0" w:evenVBand="0" w:oddHBand="0" w:evenHBand="0" w:firstRowFirstColumn="0" w:firstRowLastColumn="0" w:lastRowFirstColumn="0" w:lastRowLastColumn="0"/>
                  </w:pPr>
                  <w:r w:rsidRPr="0042214E">
                    <w:t>$215 million paid by the Victorian Government</w:t>
                  </w:r>
                </w:p>
                <w:p w14:paraId="64BC7F33" w14:textId="77777777" w:rsidR="00EF49E9" w:rsidRPr="0042214E" w:rsidRDefault="00EF49E9" w:rsidP="00EF49E9">
                  <w:pPr>
                    <w:pStyle w:val="Tablebullet"/>
                    <w:cnfStyle w:val="000000000000" w:firstRow="0" w:lastRow="0" w:firstColumn="0" w:lastColumn="0" w:oddVBand="0" w:evenVBand="0" w:oddHBand="0" w:evenHBand="0" w:firstRowFirstColumn="0" w:firstRowLastColumn="0" w:lastRowFirstColumn="0" w:lastRowLastColumn="0"/>
                    <w:rPr>
                      <w:rFonts w:cstheme="minorHAnsi"/>
                      <w:szCs w:val="18"/>
                    </w:rPr>
                  </w:pPr>
                  <w:r w:rsidRPr="0042214E">
                    <w:t>$385 million initially funded by electricity distributors and recovered from electricity users</w:t>
                  </w:r>
                </w:p>
              </w:tc>
            </w:tr>
            <w:tr w:rsidR="00EF49E9" w:rsidRPr="0042214E" w14:paraId="47FA827E" w14:textId="77777777" w:rsidTr="00EF49E9">
              <w:tc>
                <w:tcPr>
                  <w:cnfStyle w:val="001000000000" w:firstRow="0" w:lastRow="0" w:firstColumn="1" w:lastColumn="0" w:oddVBand="0" w:evenVBand="0" w:oddHBand="0" w:evenHBand="0" w:firstRowFirstColumn="0" w:firstRowLastColumn="0" w:lastRowFirstColumn="0" w:lastRowLastColumn="0"/>
                  <w:tcW w:w="1694" w:type="dxa"/>
                </w:tcPr>
                <w:p w14:paraId="03FFAB67" w14:textId="0005BC60" w:rsidR="00EF49E9" w:rsidRPr="0042214E" w:rsidRDefault="00EF49E9" w:rsidP="00EF49E9">
                  <w:pPr>
                    <w:pStyle w:val="Tabletext"/>
                    <w:rPr>
                      <w:i/>
                    </w:rPr>
                  </w:pPr>
                  <w:r w:rsidRPr="0042214E">
                    <w:t xml:space="preserve">Project </w:t>
                  </w:r>
                  <w:r w:rsidR="0044651B" w:rsidRPr="0042214E">
                    <w:t xml:space="preserve">option </w:t>
                  </w:r>
                  <w:r w:rsidRPr="0042214E">
                    <w:t>2</w:t>
                  </w:r>
                </w:p>
              </w:tc>
              <w:tc>
                <w:tcPr>
                  <w:tcW w:w="6615" w:type="dxa"/>
                </w:tcPr>
                <w:p w14:paraId="025F4D23" w14:textId="77777777" w:rsidR="00EF49E9" w:rsidRPr="0042214E" w:rsidRDefault="00EF49E9" w:rsidP="00EF49E9">
                  <w:pPr>
                    <w:pStyle w:val="Tabletext"/>
                    <w:cnfStyle w:val="000000000000" w:firstRow="0" w:lastRow="0" w:firstColumn="0" w:lastColumn="0" w:oddVBand="0" w:evenVBand="0" w:oddHBand="0" w:evenHBand="0" w:firstRowFirstColumn="0" w:firstRowLastColumn="0" w:lastRowFirstColumn="0" w:lastRowLastColumn="0"/>
                  </w:pPr>
                  <w:r w:rsidRPr="0042214E">
                    <w:t>Estimated cost of $1.18 billion (NPV)</w:t>
                  </w:r>
                </w:p>
                <w:p w14:paraId="1D1EEC78" w14:textId="77777777" w:rsidR="00EF49E9" w:rsidRPr="0042214E" w:rsidRDefault="00EF49E9" w:rsidP="00EF49E9">
                  <w:pPr>
                    <w:pStyle w:val="Tablebullet"/>
                    <w:cnfStyle w:val="000000000000" w:firstRow="0" w:lastRow="0" w:firstColumn="0" w:lastColumn="0" w:oddVBand="0" w:evenVBand="0" w:oddHBand="0" w:evenHBand="0" w:firstRowFirstColumn="0" w:firstRowLastColumn="0" w:lastRowFirstColumn="0" w:lastRowLastColumn="0"/>
                  </w:pPr>
                  <w:r w:rsidRPr="0042214E">
                    <w:t>$795 million paid by the Victorian Government</w:t>
                  </w:r>
                </w:p>
                <w:p w14:paraId="46626647" w14:textId="77777777" w:rsidR="00EF49E9" w:rsidRPr="0042214E" w:rsidRDefault="00EF49E9" w:rsidP="00EF49E9">
                  <w:pPr>
                    <w:pStyle w:val="Tablebullet"/>
                    <w:cnfStyle w:val="000000000000" w:firstRow="0" w:lastRow="0" w:firstColumn="0" w:lastColumn="0" w:oddVBand="0" w:evenVBand="0" w:oddHBand="0" w:evenHBand="0" w:firstRowFirstColumn="0" w:firstRowLastColumn="0" w:lastRowFirstColumn="0" w:lastRowLastColumn="0"/>
                    <w:rPr>
                      <w:rFonts w:cstheme="minorHAnsi"/>
                      <w:szCs w:val="18"/>
                    </w:rPr>
                  </w:pPr>
                  <w:r w:rsidRPr="0042214E">
                    <w:t>$385 million initially funded by electricity distributors and recovered from electricity users</w:t>
                  </w:r>
                </w:p>
              </w:tc>
            </w:tr>
          </w:tbl>
          <w:p w14:paraId="7E085E23" w14:textId="77777777" w:rsidR="00EF49E9" w:rsidRPr="0042214E" w:rsidRDefault="00EF49E9" w:rsidP="00EF49E9">
            <w:pPr>
              <w:pStyle w:val="Spacer"/>
            </w:pPr>
          </w:p>
          <w:p w14:paraId="5BCBFD4E" w14:textId="22D26F66" w:rsidR="00EF49E9" w:rsidRPr="0042214E" w:rsidRDefault="00EF49E9" w:rsidP="00EF49E9">
            <w:pPr>
              <w:pStyle w:val="Spacer"/>
            </w:pPr>
          </w:p>
        </w:tc>
      </w:tr>
      <w:tr w:rsidR="00EF49E9" w:rsidRPr="0042214E" w14:paraId="6ED71727" w14:textId="77777777" w:rsidTr="00EF49E9">
        <w:trPr>
          <w:cantSplit/>
        </w:trPr>
        <w:tc>
          <w:tcPr>
            <w:cnfStyle w:val="001000000000" w:firstRow="0" w:lastRow="0" w:firstColumn="1" w:lastColumn="0" w:oddVBand="0" w:evenVBand="0" w:oddHBand="0" w:evenHBand="0" w:firstRowFirstColumn="0" w:firstRowLastColumn="0" w:lastRowFirstColumn="0" w:lastRowLastColumn="0"/>
            <w:tcW w:w="8531" w:type="dxa"/>
            <w:tcBorders>
              <w:top w:val="nil"/>
              <w:bottom w:val="nil"/>
            </w:tcBorders>
            <w:shd w:val="clear" w:color="auto" w:fill="FDEACC" w:themeFill="accent6"/>
          </w:tcPr>
          <w:p w14:paraId="27114ECA" w14:textId="77777777" w:rsidR="00EF49E9" w:rsidRPr="0042214E" w:rsidRDefault="00EF49E9" w:rsidP="00EF49E9">
            <w:pPr>
              <w:pStyle w:val="Tabletextbold"/>
            </w:pPr>
            <w:r w:rsidRPr="0042214E">
              <w:lastRenderedPageBreak/>
              <w:t>Socioeconomic impacts</w:t>
            </w:r>
          </w:p>
          <w:p w14:paraId="5E085932" w14:textId="2010C0D2" w:rsidR="00EF49E9" w:rsidRPr="0042214E" w:rsidRDefault="00EF49E9" w:rsidP="00A6778F">
            <w:pPr>
              <w:pStyle w:val="Tabletext"/>
            </w:pPr>
            <w:r w:rsidRPr="0042214E">
              <w:t>The project options reduce the risk that power lines start bushfires. The non</w:t>
            </w:r>
            <w:r w:rsidRPr="0042214E">
              <w:noBreakHyphen/>
              <w:t>financial impacts (benefits) include the avoidance of future bushfires and associated costs to the community/environment.</w:t>
            </w:r>
          </w:p>
          <w:p w14:paraId="0152CDC0" w14:textId="4EAD9B86" w:rsidR="00EF49E9" w:rsidRPr="0042214E" w:rsidRDefault="00EF49E9" w:rsidP="00A6778F">
            <w:pPr>
              <w:pStyle w:val="Tabletext"/>
            </w:pPr>
            <w:r w:rsidRPr="0042214E">
              <w:t xml:space="preserve">These impacts include a mix of social, </w:t>
            </w:r>
            <w:proofErr w:type="gramStart"/>
            <w:r w:rsidRPr="0042214E">
              <w:t>economic</w:t>
            </w:r>
            <w:proofErr w:type="gramEnd"/>
            <w:r w:rsidRPr="0042214E">
              <w:t xml:space="preserve"> and environmental impacts</w:t>
            </w:r>
            <w:r w:rsidR="0048575E" w:rsidRPr="0042214E">
              <w:t>.</w:t>
            </w:r>
          </w:p>
          <w:p w14:paraId="60ABF885" w14:textId="76F97F71" w:rsidR="00EF49E9" w:rsidRPr="0042214E" w:rsidRDefault="00EF49E9" w:rsidP="00A6778F">
            <w:pPr>
              <w:pStyle w:val="Tabletext"/>
            </w:pPr>
            <w:r w:rsidRPr="0042214E">
              <w:t>Estimated social and economic impacts of the project options have been monetised – based on a literature review of the cost of major bushfires, the expected reductions in power line bushfire risks from the project options and other assumptions (</w:t>
            </w:r>
            <w:r w:rsidR="00FB7609" w:rsidRPr="0042214E">
              <w:t>e.g.,</w:t>
            </w:r>
            <w:r w:rsidRPr="0042214E">
              <w:t xml:space="preserve"> the frequency of major bushfires in future).</w:t>
            </w:r>
          </w:p>
          <w:p w14:paraId="4069E1E1" w14:textId="77777777" w:rsidR="00EF49E9" w:rsidRPr="0042214E" w:rsidRDefault="00EF49E9" w:rsidP="00A6778F">
            <w:pPr>
              <w:pStyle w:val="Tabletext"/>
            </w:pPr>
            <w:r w:rsidRPr="0042214E">
              <w:t xml:space="preserve">Environmental impacts of the project options have not been monetised – because there is limited research to draw upon on the impacts of major bushfires on the environment (greenhouse gas emissions, water yields, water quality, soil quality, native species, etc.) and the appropriate monetary value to assign to these. </w:t>
            </w:r>
          </w:p>
          <w:p w14:paraId="390B58B2" w14:textId="77777777" w:rsidR="00EF49E9" w:rsidRPr="0042214E" w:rsidRDefault="00EF49E9" w:rsidP="00A6778F">
            <w:pPr>
              <w:pStyle w:val="Tabletext"/>
            </w:pPr>
            <w:r w:rsidRPr="0042214E">
              <w:t>Non</w:t>
            </w:r>
            <w:r w:rsidRPr="0042214E">
              <w:noBreakHyphen/>
              <w:t>financial impacts have been calculated as shown.</w:t>
            </w:r>
          </w:p>
          <w:tbl>
            <w:tblPr>
              <w:tblStyle w:val="DTFTextTable"/>
              <w:tblW w:w="8309" w:type="dxa"/>
              <w:tblLook w:val="06A0" w:firstRow="1" w:lastRow="0" w:firstColumn="1" w:lastColumn="0" w:noHBand="1" w:noVBand="1"/>
            </w:tblPr>
            <w:tblGrid>
              <w:gridCol w:w="1919"/>
              <w:gridCol w:w="6390"/>
            </w:tblGrid>
            <w:tr w:rsidR="00EF49E9" w:rsidRPr="0042214E" w14:paraId="3A03AFDD" w14:textId="77777777" w:rsidTr="00586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9" w:type="dxa"/>
                </w:tcPr>
                <w:p w14:paraId="035663FC" w14:textId="77777777" w:rsidR="00EF49E9" w:rsidRPr="0042214E" w:rsidRDefault="00EF49E9" w:rsidP="00EF49E9">
                  <w:r w:rsidRPr="0042214E">
                    <w:t>Project option</w:t>
                  </w:r>
                </w:p>
              </w:tc>
              <w:tc>
                <w:tcPr>
                  <w:tcW w:w="6390" w:type="dxa"/>
                </w:tcPr>
                <w:p w14:paraId="24465A52" w14:textId="77777777" w:rsidR="00EF49E9" w:rsidRPr="0042214E" w:rsidRDefault="00EF49E9" w:rsidP="00EF49E9">
                  <w:pPr>
                    <w:cnfStyle w:val="100000000000" w:firstRow="1" w:lastRow="0" w:firstColumn="0" w:lastColumn="0" w:oddVBand="0" w:evenVBand="0" w:oddHBand="0" w:evenHBand="0" w:firstRowFirstColumn="0" w:firstRowLastColumn="0" w:lastRowFirstColumn="0" w:lastRowLastColumn="0"/>
                  </w:pPr>
                  <w:r w:rsidRPr="0042214E">
                    <w:t>Monetised socioeconomic impacts</w:t>
                  </w:r>
                </w:p>
              </w:tc>
            </w:tr>
            <w:tr w:rsidR="00EF49E9" w:rsidRPr="0042214E" w14:paraId="189B498E" w14:textId="77777777" w:rsidTr="00586BA5">
              <w:tc>
                <w:tcPr>
                  <w:cnfStyle w:val="001000000000" w:firstRow="0" w:lastRow="0" w:firstColumn="1" w:lastColumn="0" w:oddVBand="0" w:evenVBand="0" w:oddHBand="0" w:evenHBand="0" w:firstRowFirstColumn="0" w:firstRowLastColumn="0" w:lastRowFirstColumn="0" w:lastRowLastColumn="0"/>
                  <w:tcW w:w="1919" w:type="dxa"/>
                </w:tcPr>
                <w:p w14:paraId="3A7E9457" w14:textId="7124D4E5" w:rsidR="00EF49E9" w:rsidRPr="0042214E" w:rsidRDefault="00EF49E9" w:rsidP="00A6778F">
                  <w:pPr>
                    <w:pStyle w:val="Tabletext"/>
                  </w:pPr>
                  <w:r w:rsidRPr="0042214E">
                    <w:t xml:space="preserve">Project </w:t>
                  </w:r>
                  <w:r w:rsidR="0044651B" w:rsidRPr="0042214E">
                    <w:t xml:space="preserve">option </w:t>
                  </w:r>
                  <w:r w:rsidRPr="0042214E">
                    <w:t>1</w:t>
                  </w:r>
                </w:p>
              </w:tc>
              <w:tc>
                <w:tcPr>
                  <w:tcW w:w="6390" w:type="dxa"/>
                </w:tcPr>
                <w:p w14:paraId="250DAC64" w14:textId="28D8FD7F"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$1.12 billion estimated reduction in future bushfire costs (social and economic) from reducing the environmental costs of bushfires in future (greenhouse gas emissions, water yields, water quality, native species, etc.)</w:t>
                  </w:r>
                  <w:r w:rsidR="0048575E" w:rsidRPr="0042214E">
                    <w:t>.</w:t>
                  </w:r>
                </w:p>
              </w:tc>
            </w:tr>
            <w:tr w:rsidR="00EF49E9" w:rsidRPr="0042214E" w14:paraId="6B90671F" w14:textId="77777777" w:rsidTr="00586BA5">
              <w:tc>
                <w:tcPr>
                  <w:cnfStyle w:val="001000000000" w:firstRow="0" w:lastRow="0" w:firstColumn="1" w:lastColumn="0" w:oddVBand="0" w:evenVBand="0" w:oddHBand="0" w:evenHBand="0" w:firstRowFirstColumn="0" w:firstRowLastColumn="0" w:lastRowFirstColumn="0" w:lastRowLastColumn="0"/>
                  <w:tcW w:w="1919" w:type="dxa"/>
                </w:tcPr>
                <w:p w14:paraId="18617C2B" w14:textId="6CA68E57" w:rsidR="00EF49E9" w:rsidRPr="0042214E" w:rsidRDefault="00EF49E9" w:rsidP="00A6778F">
                  <w:pPr>
                    <w:pStyle w:val="Tabletext"/>
                    <w:rPr>
                      <w:i/>
                    </w:rPr>
                  </w:pPr>
                  <w:r w:rsidRPr="0042214E">
                    <w:t xml:space="preserve">Project </w:t>
                  </w:r>
                  <w:r w:rsidR="0044651B" w:rsidRPr="0042214E">
                    <w:t xml:space="preserve">option </w:t>
                  </w:r>
                  <w:r w:rsidRPr="0042214E">
                    <w:t>2</w:t>
                  </w:r>
                </w:p>
              </w:tc>
              <w:tc>
                <w:tcPr>
                  <w:tcW w:w="6390" w:type="dxa"/>
                </w:tcPr>
                <w:p w14:paraId="6EE53E35" w14:textId="2781B373"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$1.25 billion estimated reduction in future bushfire costs (social and economic) from reducing the environmental costs of bushfires in future (greenhouse gas emissions, water yields, water quality, native species, etc.)</w:t>
                  </w:r>
                  <w:r w:rsidR="0048575E" w:rsidRPr="0042214E">
                    <w:t>.</w:t>
                  </w:r>
                </w:p>
              </w:tc>
            </w:tr>
          </w:tbl>
          <w:p w14:paraId="1DD0F172" w14:textId="77777777" w:rsidR="00EF49E9" w:rsidRPr="0042214E" w:rsidRDefault="00EF49E9" w:rsidP="00A6778F">
            <w:pPr>
              <w:pStyle w:val="Tabletext"/>
            </w:pPr>
            <w:r w:rsidRPr="0042214E">
              <w:t>MCA is used in addition to a CBA because not all major non</w:t>
            </w:r>
            <w:r w:rsidRPr="0042214E">
              <w:noBreakHyphen/>
              <w:t>financial impacts can be monetised.</w:t>
            </w:r>
          </w:p>
          <w:p w14:paraId="4A27AAFA" w14:textId="77777777" w:rsidR="00EF49E9" w:rsidRPr="0042214E" w:rsidRDefault="00EF49E9" w:rsidP="00A6778F">
            <w:pPr>
              <w:pStyle w:val="Spacer"/>
            </w:pPr>
          </w:p>
        </w:tc>
      </w:tr>
      <w:tr w:rsidR="00EF49E9" w:rsidRPr="0042214E" w14:paraId="16672FCE" w14:textId="77777777" w:rsidTr="00EF49E9">
        <w:trPr>
          <w:cantSplit/>
        </w:trPr>
        <w:tc>
          <w:tcPr>
            <w:cnfStyle w:val="001000000000" w:firstRow="0" w:lastRow="0" w:firstColumn="1" w:lastColumn="0" w:oddVBand="0" w:evenVBand="0" w:oddHBand="0" w:evenHBand="0" w:firstRowFirstColumn="0" w:firstRowLastColumn="0" w:lastRowFirstColumn="0" w:lastRowLastColumn="0"/>
            <w:tcW w:w="8531" w:type="dxa"/>
            <w:tcBorders>
              <w:top w:val="nil"/>
              <w:bottom w:val="nil"/>
            </w:tcBorders>
            <w:shd w:val="clear" w:color="auto" w:fill="FDEACC" w:themeFill="accent6"/>
          </w:tcPr>
          <w:p w14:paraId="4EF675F2" w14:textId="77777777" w:rsidR="00EF49E9" w:rsidRPr="0042214E" w:rsidRDefault="00EF49E9" w:rsidP="00EF49E9">
            <w:pPr>
              <w:pStyle w:val="Tabletextbold"/>
            </w:pPr>
            <w:r w:rsidRPr="0042214E">
              <w:t>Scoring of monetised impacts</w:t>
            </w:r>
          </w:p>
          <w:p w14:paraId="6017923D" w14:textId="77777777" w:rsidR="00EF49E9" w:rsidRPr="0042214E" w:rsidRDefault="00EF49E9" w:rsidP="00A6778F">
            <w:pPr>
              <w:pStyle w:val="Tabletext"/>
            </w:pPr>
            <w:r w:rsidRPr="0042214E">
              <w:t>NPV of monetised impacts is scored according to the scale shown. The highest monetary impact in the assessment is $1.25 billion, so the scale is set to ensure this impact scores close to 4. Note that anything equivalent to the base case is scored at 0.</w:t>
            </w:r>
          </w:p>
          <w:tbl>
            <w:tblPr>
              <w:tblStyle w:val="DTFTextTable"/>
              <w:tblW w:w="8338" w:type="dxa"/>
              <w:tblLook w:val="06A0" w:firstRow="1" w:lastRow="0" w:firstColumn="1" w:lastColumn="0" w:noHBand="1" w:noVBand="1"/>
            </w:tblPr>
            <w:tblGrid>
              <w:gridCol w:w="2909"/>
              <w:gridCol w:w="4140"/>
              <w:gridCol w:w="1289"/>
            </w:tblGrid>
            <w:tr w:rsidR="00EF49E9" w:rsidRPr="0042214E" w14:paraId="123029A6" w14:textId="77777777" w:rsidTr="00586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9" w:type="dxa"/>
                </w:tcPr>
                <w:p w14:paraId="03521963" w14:textId="7FF014F9" w:rsidR="00EF49E9" w:rsidRPr="0042214E" w:rsidRDefault="00EF49E9" w:rsidP="00EF49E9">
                  <w:pPr>
                    <w:spacing w:before="60"/>
                  </w:pPr>
                  <w:r w:rsidRPr="0042214E">
                    <w:t>Impact range (NPV, $’000</w:t>
                  </w:r>
                  <w:r w:rsidR="00A6778F" w:rsidRPr="0042214E">
                    <w:t> </w:t>
                  </w:r>
                  <w:r w:rsidRPr="0042214E">
                    <w:t>000)</w:t>
                  </w:r>
                </w:p>
              </w:tc>
              <w:tc>
                <w:tcPr>
                  <w:tcW w:w="4140" w:type="dxa"/>
                </w:tcPr>
                <w:p w14:paraId="7FA49BAA" w14:textId="77777777" w:rsidR="00EF49E9" w:rsidRPr="0042214E" w:rsidRDefault="00EF49E9" w:rsidP="00EF49E9">
                  <w:pPr>
                    <w:spacing w:before="60"/>
                    <w:cnfStyle w:val="100000000000" w:firstRow="1" w:lastRow="0" w:firstColumn="0" w:lastColumn="0" w:oddVBand="0" w:evenVBand="0" w:oddHBand="0" w:evenHBand="0" w:firstRowFirstColumn="0" w:firstRowLastColumn="0" w:lastRowFirstColumn="0" w:lastRowLastColumn="0"/>
                  </w:pPr>
                  <w:r w:rsidRPr="0042214E">
                    <w:t>Conclusion</w:t>
                  </w:r>
                </w:p>
              </w:tc>
              <w:tc>
                <w:tcPr>
                  <w:tcW w:w="1289" w:type="dxa"/>
                </w:tcPr>
                <w:p w14:paraId="68F4CB82" w14:textId="77777777" w:rsidR="00EF49E9" w:rsidRPr="0042214E" w:rsidRDefault="00EF49E9" w:rsidP="00EF49E9">
                  <w:pPr>
                    <w:spacing w:before="60"/>
                    <w:cnfStyle w:val="100000000000" w:firstRow="1" w:lastRow="0" w:firstColumn="0" w:lastColumn="0" w:oddVBand="0" w:evenVBand="0" w:oddHBand="0" w:evenHBand="0" w:firstRowFirstColumn="0" w:firstRowLastColumn="0" w:lastRowFirstColumn="0" w:lastRowLastColumn="0"/>
                  </w:pPr>
                  <w:r w:rsidRPr="0042214E">
                    <w:t>Score</w:t>
                  </w:r>
                </w:p>
              </w:tc>
            </w:tr>
            <w:tr w:rsidR="00EF49E9" w:rsidRPr="0042214E" w14:paraId="6939D1D8" w14:textId="77777777" w:rsidTr="00586BA5">
              <w:tc>
                <w:tcPr>
                  <w:cnfStyle w:val="001000000000" w:firstRow="0" w:lastRow="0" w:firstColumn="1" w:lastColumn="0" w:oddVBand="0" w:evenVBand="0" w:oddHBand="0" w:evenHBand="0" w:firstRowFirstColumn="0" w:firstRowLastColumn="0" w:lastRowFirstColumn="0" w:lastRowLastColumn="0"/>
                  <w:tcW w:w="2909" w:type="dxa"/>
                </w:tcPr>
                <w:p w14:paraId="5CBA7C9A" w14:textId="68C48074" w:rsidR="00EF49E9" w:rsidRPr="0042214E" w:rsidRDefault="00EF49E9" w:rsidP="00A6778F">
                  <w:pPr>
                    <w:pStyle w:val="Tabletext"/>
                  </w:pPr>
                  <w:r w:rsidRPr="0042214E">
                    <w:t>$975 to $1</w:t>
                  </w:r>
                  <w:r w:rsidR="0048575E" w:rsidRPr="0042214E">
                    <w:t xml:space="preserve"> </w:t>
                  </w:r>
                  <w:r w:rsidRPr="0042214E">
                    <w:t>300</w:t>
                  </w:r>
                </w:p>
              </w:tc>
              <w:tc>
                <w:tcPr>
                  <w:tcW w:w="4140" w:type="dxa"/>
                </w:tcPr>
                <w:p w14:paraId="794AFBBB"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‘Very much better than the base case’</w:t>
                  </w:r>
                </w:p>
              </w:tc>
              <w:tc>
                <w:tcPr>
                  <w:tcW w:w="1289" w:type="dxa"/>
                </w:tcPr>
                <w:p w14:paraId="4CA82254"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+3 to +4</w:t>
                  </w:r>
                </w:p>
              </w:tc>
            </w:tr>
            <w:tr w:rsidR="00EF49E9" w:rsidRPr="0042214E" w14:paraId="60A140E4" w14:textId="77777777" w:rsidTr="00586BA5">
              <w:tc>
                <w:tcPr>
                  <w:cnfStyle w:val="001000000000" w:firstRow="0" w:lastRow="0" w:firstColumn="1" w:lastColumn="0" w:oddVBand="0" w:evenVBand="0" w:oddHBand="0" w:evenHBand="0" w:firstRowFirstColumn="0" w:firstRowLastColumn="0" w:lastRowFirstColumn="0" w:lastRowLastColumn="0"/>
                  <w:tcW w:w="2909" w:type="dxa"/>
                </w:tcPr>
                <w:p w14:paraId="6A3449CC" w14:textId="77777777" w:rsidR="00EF49E9" w:rsidRPr="0042214E" w:rsidRDefault="00EF49E9" w:rsidP="00A6778F">
                  <w:pPr>
                    <w:pStyle w:val="Tabletext"/>
                  </w:pPr>
                  <w:r w:rsidRPr="0042214E">
                    <w:t>$650 to $975</w:t>
                  </w:r>
                </w:p>
              </w:tc>
              <w:tc>
                <w:tcPr>
                  <w:tcW w:w="4140" w:type="dxa"/>
                </w:tcPr>
                <w:p w14:paraId="72FFFA63"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‘Much better than the base case’</w:t>
                  </w:r>
                </w:p>
              </w:tc>
              <w:tc>
                <w:tcPr>
                  <w:tcW w:w="1289" w:type="dxa"/>
                </w:tcPr>
                <w:p w14:paraId="61359BA7"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+2 to +3</w:t>
                  </w:r>
                </w:p>
              </w:tc>
            </w:tr>
            <w:tr w:rsidR="00EF49E9" w:rsidRPr="0042214E" w14:paraId="410C9370" w14:textId="77777777" w:rsidTr="00586BA5">
              <w:tc>
                <w:tcPr>
                  <w:cnfStyle w:val="001000000000" w:firstRow="0" w:lastRow="0" w:firstColumn="1" w:lastColumn="0" w:oddVBand="0" w:evenVBand="0" w:oddHBand="0" w:evenHBand="0" w:firstRowFirstColumn="0" w:firstRowLastColumn="0" w:lastRowFirstColumn="0" w:lastRowLastColumn="0"/>
                  <w:tcW w:w="2909" w:type="dxa"/>
                </w:tcPr>
                <w:p w14:paraId="254341E6" w14:textId="77777777" w:rsidR="00EF49E9" w:rsidRPr="0042214E" w:rsidRDefault="00EF49E9" w:rsidP="00A6778F">
                  <w:pPr>
                    <w:pStyle w:val="Tabletext"/>
                  </w:pPr>
                  <w:r w:rsidRPr="0042214E">
                    <w:t>$325 to $650</w:t>
                  </w:r>
                </w:p>
              </w:tc>
              <w:tc>
                <w:tcPr>
                  <w:tcW w:w="4140" w:type="dxa"/>
                </w:tcPr>
                <w:p w14:paraId="2043CA95"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‘Moderately better than the base case’</w:t>
                  </w:r>
                </w:p>
              </w:tc>
              <w:tc>
                <w:tcPr>
                  <w:tcW w:w="1289" w:type="dxa"/>
                </w:tcPr>
                <w:p w14:paraId="63BF682E"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+1 to +2</w:t>
                  </w:r>
                </w:p>
              </w:tc>
            </w:tr>
            <w:tr w:rsidR="00EF49E9" w:rsidRPr="0042214E" w14:paraId="09E19648" w14:textId="77777777" w:rsidTr="00586BA5">
              <w:tc>
                <w:tcPr>
                  <w:cnfStyle w:val="001000000000" w:firstRow="0" w:lastRow="0" w:firstColumn="1" w:lastColumn="0" w:oddVBand="0" w:evenVBand="0" w:oddHBand="0" w:evenHBand="0" w:firstRowFirstColumn="0" w:firstRowLastColumn="0" w:lastRowFirstColumn="0" w:lastRowLastColumn="0"/>
                  <w:tcW w:w="2909" w:type="dxa"/>
                </w:tcPr>
                <w:p w14:paraId="1A810AA7" w14:textId="77777777" w:rsidR="00EF49E9" w:rsidRPr="0042214E" w:rsidRDefault="00EF49E9" w:rsidP="00A6778F">
                  <w:pPr>
                    <w:pStyle w:val="Tabletext"/>
                  </w:pPr>
                  <w:r w:rsidRPr="0042214E">
                    <w:t>$0 to $325</w:t>
                  </w:r>
                </w:p>
              </w:tc>
              <w:tc>
                <w:tcPr>
                  <w:tcW w:w="4140" w:type="dxa"/>
                </w:tcPr>
                <w:p w14:paraId="63826FC6"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‘Little better than the base case’</w:t>
                  </w:r>
                </w:p>
              </w:tc>
              <w:tc>
                <w:tcPr>
                  <w:tcW w:w="1289" w:type="dxa"/>
                </w:tcPr>
                <w:p w14:paraId="1E06E73B"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0 to +1</w:t>
                  </w:r>
                </w:p>
              </w:tc>
            </w:tr>
            <w:tr w:rsidR="00EF49E9" w:rsidRPr="0042214E" w14:paraId="20E1C054" w14:textId="77777777" w:rsidTr="00586BA5">
              <w:tc>
                <w:tcPr>
                  <w:cnfStyle w:val="001000000000" w:firstRow="0" w:lastRow="0" w:firstColumn="1" w:lastColumn="0" w:oddVBand="0" w:evenVBand="0" w:oddHBand="0" w:evenHBand="0" w:firstRowFirstColumn="0" w:firstRowLastColumn="0" w:lastRowFirstColumn="0" w:lastRowLastColumn="0"/>
                  <w:tcW w:w="2909" w:type="dxa"/>
                </w:tcPr>
                <w:p w14:paraId="2E4F0573" w14:textId="77777777" w:rsidR="00EF49E9" w:rsidRPr="0042214E" w:rsidRDefault="00EF49E9" w:rsidP="00A6778F">
                  <w:pPr>
                    <w:pStyle w:val="Tabletext"/>
                  </w:pPr>
                  <w:r w:rsidRPr="0042214E">
                    <w:t>$0 to ($325)</w:t>
                  </w:r>
                </w:p>
              </w:tc>
              <w:tc>
                <w:tcPr>
                  <w:tcW w:w="4140" w:type="dxa"/>
                </w:tcPr>
                <w:p w14:paraId="2890D695"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‘Little worse than the base case’</w:t>
                  </w:r>
                </w:p>
              </w:tc>
              <w:tc>
                <w:tcPr>
                  <w:tcW w:w="1289" w:type="dxa"/>
                </w:tcPr>
                <w:p w14:paraId="5784E8BF"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 xml:space="preserve">0 to </w:t>
                  </w:r>
                  <w:r w:rsidRPr="0042214E">
                    <w:noBreakHyphen/>
                    <w:t>1</w:t>
                  </w:r>
                </w:p>
              </w:tc>
            </w:tr>
            <w:tr w:rsidR="00EF49E9" w:rsidRPr="0042214E" w14:paraId="32174C9F" w14:textId="77777777" w:rsidTr="00586BA5">
              <w:tc>
                <w:tcPr>
                  <w:cnfStyle w:val="001000000000" w:firstRow="0" w:lastRow="0" w:firstColumn="1" w:lastColumn="0" w:oddVBand="0" w:evenVBand="0" w:oddHBand="0" w:evenHBand="0" w:firstRowFirstColumn="0" w:firstRowLastColumn="0" w:lastRowFirstColumn="0" w:lastRowLastColumn="0"/>
                  <w:tcW w:w="2909" w:type="dxa"/>
                </w:tcPr>
                <w:p w14:paraId="0F9C214C" w14:textId="77777777" w:rsidR="00EF49E9" w:rsidRPr="0042214E" w:rsidRDefault="00EF49E9" w:rsidP="00A6778F">
                  <w:pPr>
                    <w:pStyle w:val="Tabletext"/>
                  </w:pPr>
                  <w:r w:rsidRPr="0042214E">
                    <w:t>($325) to ($650)</w:t>
                  </w:r>
                </w:p>
              </w:tc>
              <w:tc>
                <w:tcPr>
                  <w:tcW w:w="4140" w:type="dxa"/>
                </w:tcPr>
                <w:p w14:paraId="73B61EB9"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‘Moderately worse than the base case’</w:t>
                  </w:r>
                </w:p>
              </w:tc>
              <w:tc>
                <w:tcPr>
                  <w:tcW w:w="1289" w:type="dxa"/>
                </w:tcPr>
                <w:p w14:paraId="2CC58F4D"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noBreakHyphen/>
                    <w:t xml:space="preserve">1 to </w:t>
                  </w:r>
                  <w:r w:rsidRPr="0042214E">
                    <w:noBreakHyphen/>
                    <w:t>2</w:t>
                  </w:r>
                </w:p>
              </w:tc>
            </w:tr>
            <w:tr w:rsidR="00EF49E9" w:rsidRPr="0042214E" w14:paraId="25DD7454" w14:textId="77777777" w:rsidTr="00586BA5">
              <w:tc>
                <w:tcPr>
                  <w:cnfStyle w:val="001000000000" w:firstRow="0" w:lastRow="0" w:firstColumn="1" w:lastColumn="0" w:oddVBand="0" w:evenVBand="0" w:oddHBand="0" w:evenHBand="0" w:firstRowFirstColumn="0" w:firstRowLastColumn="0" w:lastRowFirstColumn="0" w:lastRowLastColumn="0"/>
                  <w:tcW w:w="2909" w:type="dxa"/>
                </w:tcPr>
                <w:p w14:paraId="42E34CD3" w14:textId="77777777" w:rsidR="00EF49E9" w:rsidRPr="0042214E" w:rsidRDefault="00EF49E9" w:rsidP="00A6778F">
                  <w:pPr>
                    <w:pStyle w:val="Tabletext"/>
                  </w:pPr>
                  <w:r w:rsidRPr="0042214E">
                    <w:t>($650) to ($975)</w:t>
                  </w:r>
                </w:p>
              </w:tc>
              <w:tc>
                <w:tcPr>
                  <w:tcW w:w="4140" w:type="dxa"/>
                </w:tcPr>
                <w:p w14:paraId="2507050F"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‘Much worse than the base case’</w:t>
                  </w:r>
                </w:p>
              </w:tc>
              <w:tc>
                <w:tcPr>
                  <w:tcW w:w="1289" w:type="dxa"/>
                </w:tcPr>
                <w:p w14:paraId="1959D217"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noBreakHyphen/>
                    <w:t xml:space="preserve">2 to </w:t>
                  </w:r>
                  <w:r w:rsidRPr="0042214E">
                    <w:noBreakHyphen/>
                    <w:t>3</w:t>
                  </w:r>
                </w:p>
              </w:tc>
            </w:tr>
            <w:tr w:rsidR="00EF49E9" w:rsidRPr="0042214E" w14:paraId="0CEDC8BC" w14:textId="77777777" w:rsidTr="00586BA5">
              <w:tc>
                <w:tcPr>
                  <w:cnfStyle w:val="001000000000" w:firstRow="0" w:lastRow="0" w:firstColumn="1" w:lastColumn="0" w:oddVBand="0" w:evenVBand="0" w:oddHBand="0" w:evenHBand="0" w:firstRowFirstColumn="0" w:firstRowLastColumn="0" w:lastRowFirstColumn="0" w:lastRowLastColumn="0"/>
                  <w:tcW w:w="2909" w:type="dxa"/>
                </w:tcPr>
                <w:p w14:paraId="3BC4884B" w14:textId="398D86BA" w:rsidR="00EF49E9" w:rsidRPr="0042214E" w:rsidRDefault="00EF49E9" w:rsidP="00A6778F">
                  <w:pPr>
                    <w:pStyle w:val="Tabletext"/>
                  </w:pPr>
                  <w:r w:rsidRPr="0042214E">
                    <w:t>($975) to ($1</w:t>
                  </w:r>
                  <w:r w:rsidR="0048575E" w:rsidRPr="0042214E">
                    <w:t xml:space="preserve"> </w:t>
                  </w:r>
                  <w:r w:rsidRPr="0042214E">
                    <w:t>300)</w:t>
                  </w:r>
                </w:p>
              </w:tc>
              <w:tc>
                <w:tcPr>
                  <w:tcW w:w="4140" w:type="dxa"/>
                </w:tcPr>
                <w:p w14:paraId="7DAD6D8C"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‘Very much worse than the base case’</w:t>
                  </w:r>
                </w:p>
              </w:tc>
              <w:tc>
                <w:tcPr>
                  <w:tcW w:w="1289" w:type="dxa"/>
                </w:tcPr>
                <w:p w14:paraId="01509EEE"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noBreakHyphen/>
                    <w:t xml:space="preserve">3 to </w:t>
                  </w:r>
                  <w:r w:rsidRPr="0042214E">
                    <w:noBreakHyphen/>
                    <w:t>4</w:t>
                  </w:r>
                </w:p>
              </w:tc>
            </w:tr>
          </w:tbl>
          <w:p w14:paraId="0CAA6A3C" w14:textId="77777777" w:rsidR="00A6778F" w:rsidRPr="0042214E" w:rsidRDefault="00A6778F" w:rsidP="00A6778F">
            <w:pPr>
              <w:pStyle w:val="Spacer"/>
            </w:pPr>
          </w:p>
          <w:p w14:paraId="193A9796" w14:textId="62B9619A" w:rsidR="00EF49E9" w:rsidRPr="0042214E" w:rsidRDefault="00EF49E9" w:rsidP="00A6778F">
            <w:pPr>
              <w:pStyle w:val="Tabletext"/>
            </w:pPr>
            <w:r w:rsidRPr="0042214E">
              <w:t>This leads to scoring for monetised impacts as shown:</w:t>
            </w:r>
          </w:p>
          <w:p w14:paraId="7CE24E99" w14:textId="77777777" w:rsidR="00A6778F" w:rsidRPr="0042214E" w:rsidRDefault="00A6778F" w:rsidP="00A6778F">
            <w:pPr>
              <w:pStyle w:val="Spacer"/>
            </w:pPr>
          </w:p>
          <w:tbl>
            <w:tblPr>
              <w:tblStyle w:val="DTFTextTable"/>
              <w:tblW w:w="8338" w:type="dxa"/>
              <w:tblLook w:val="06A0" w:firstRow="1" w:lastRow="0" w:firstColumn="1" w:lastColumn="0" w:noHBand="1" w:noVBand="1"/>
            </w:tblPr>
            <w:tblGrid>
              <w:gridCol w:w="1739"/>
              <w:gridCol w:w="5310"/>
              <w:gridCol w:w="1289"/>
            </w:tblGrid>
            <w:tr w:rsidR="00EF49E9" w:rsidRPr="0042214E" w14:paraId="6252DB56" w14:textId="77777777" w:rsidTr="00586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Pr>
                <w:p w14:paraId="77D618D0" w14:textId="77777777" w:rsidR="00EF49E9" w:rsidRPr="0042214E" w:rsidRDefault="00EF49E9" w:rsidP="00EF49E9">
                  <w:pPr>
                    <w:spacing w:before="60"/>
                  </w:pPr>
                </w:p>
              </w:tc>
              <w:tc>
                <w:tcPr>
                  <w:tcW w:w="5310" w:type="dxa"/>
                </w:tcPr>
                <w:p w14:paraId="6B82D869" w14:textId="77777777" w:rsidR="00EF49E9" w:rsidRPr="0042214E" w:rsidRDefault="00EF49E9" w:rsidP="00EF49E9">
                  <w:pPr>
                    <w:spacing w:before="60"/>
                    <w:cnfStyle w:val="100000000000" w:firstRow="1" w:lastRow="0" w:firstColumn="0" w:lastColumn="0" w:oddVBand="0" w:evenVBand="0" w:oddHBand="0" w:evenHBand="0" w:firstRowFirstColumn="0" w:firstRowLastColumn="0" w:lastRowFirstColumn="0" w:lastRowLastColumn="0"/>
                  </w:pPr>
                  <w:r w:rsidRPr="0042214E">
                    <w:t>Monetised impacts</w:t>
                  </w:r>
                </w:p>
              </w:tc>
              <w:tc>
                <w:tcPr>
                  <w:tcW w:w="1289" w:type="dxa"/>
                </w:tcPr>
                <w:p w14:paraId="15B52B82" w14:textId="77777777" w:rsidR="00EF49E9" w:rsidRPr="0042214E" w:rsidRDefault="00EF49E9" w:rsidP="00EF49E9">
                  <w:pPr>
                    <w:spacing w:before="60"/>
                    <w:cnfStyle w:val="100000000000" w:firstRow="1" w:lastRow="0" w:firstColumn="0" w:lastColumn="0" w:oddVBand="0" w:evenVBand="0" w:oddHBand="0" w:evenHBand="0" w:firstRowFirstColumn="0" w:firstRowLastColumn="0" w:lastRowFirstColumn="0" w:lastRowLastColumn="0"/>
                  </w:pPr>
                  <w:r w:rsidRPr="0042214E">
                    <w:t>Score</w:t>
                  </w:r>
                </w:p>
              </w:tc>
            </w:tr>
            <w:tr w:rsidR="00EF49E9" w:rsidRPr="0042214E" w14:paraId="5D8AC7CF" w14:textId="77777777" w:rsidTr="00586BA5">
              <w:tc>
                <w:tcPr>
                  <w:cnfStyle w:val="001000000000" w:firstRow="0" w:lastRow="0" w:firstColumn="1" w:lastColumn="0" w:oddVBand="0" w:evenVBand="0" w:oddHBand="0" w:evenHBand="0" w:firstRowFirstColumn="0" w:firstRowLastColumn="0" w:lastRowFirstColumn="0" w:lastRowLastColumn="0"/>
                  <w:tcW w:w="1739" w:type="dxa"/>
                </w:tcPr>
                <w:p w14:paraId="1FB56C87" w14:textId="68ECD75A" w:rsidR="00EF49E9" w:rsidRPr="0042214E" w:rsidRDefault="00EF49E9" w:rsidP="00A6778F">
                  <w:pPr>
                    <w:pStyle w:val="Tabletext"/>
                  </w:pPr>
                  <w:r w:rsidRPr="0042214E">
                    <w:t xml:space="preserve">Project </w:t>
                  </w:r>
                  <w:r w:rsidR="0044651B" w:rsidRPr="0042214E">
                    <w:t xml:space="preserve">option </w:t>
                  </w:r>
                  <w:r w:rsidRPr="0042214E">
                    <w:t>1</w:t>
                  </w:r>
                </w:p>
              </w:tc>
              <w:tc>
                <w:tcPr>
                  <w:tcW w:w="5310" w:type="dxa"/>
                </w:tcPr>
                <w:p w14:paraId="0E113B4E"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Estimated cost of $600 million (NPV)</w:t>
                  </w:r>
                </w:p>
              </w:tc>
              <w:tc>
                <w:tcPr>
                  <w:tcW w:w="1289" w:type="dxa"/>
                </w:tcPr>
                <w:p w14:paraId="461CE505"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(1.85)</w:t>
                  </w:r>
                </w:p>
              </w:tc>
            </w:tr>
            <w:tr w:rsidR="00EF49E9" w:rsidRPr="0042214E" w14:paraId="434D61D5" w14:textId="77777777" w:rsidTr="00586BA5">
              <w:tc>
                <w:tcPr>
                  <w:cnfStyle w:val="001000000000" w:firstRow="0" w:lastRow="0" w:firstColumn="1" w:lastColumn="0" w:oddVBand="0" w:evenVBand="0" w:oddHBand="0" w:evenHBand="0" w:firstRowFirstColumn="0" w:firstRowLastColumn="0" w:lastRowFirstColumn="0" w:lastRowLastColumn="0"/>
                  <w:tcW w:w="1739" w:type="dxa"/>
                </w:tcPr>
                <w:p w14:paraId="3020259E" w14:textId="77777777" w:rsidR="00EF49E9" w:rsidRPr="0042214E" w:rsidRDefault="00EF49E9" w:rsidP="00A6778F">
                  <w:pPr>
                    <w:pStyle w:val="Tabletext"/>
                  </w:pPr>
                </w:p>
              </w:tc>
              <w:tc>
                <w:tcPr>
                  <w:tcW w:w="5310" w:type="dxa"/>
                </w:tcPr>
                <w:p w14:paraId="5C4FFAEF"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Estimated social and economic benefits of $1.12 billion (NPV)</w:t>
                  </w:r>
                </w:p>
              </w:tc>
              <w:tc>
                <w:tcPr>
                  <w:tcW w:w="1289" w:type="dxa"/>
                </w:tcPr>
                <w:p w14:paraId="035A892E"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3.45</w:t>
                  </w:r>
                </w:p>
              </w:tc>
            </w:tr>
            <w:tr w:rsidR="00EF49E9" w:rsidRPr="0042214E" w14:paraId="0BEFDBEB" w14:textId="77777777" w:rsidTr="00586BA5">
              <w:tc>
                <w:tcPr>
                  <w:cnfStyle w:val="001000000000" w:firstRow="0" w:lastRow="0" w:firstColumn="1" w:lastColumn="0" w:oddVBand="0" w:evenVBand="0" w:oddHBand="0" w:evenHBand="0" w:firstRowFirstColumn="0" w:firstRowLastColumn="0" w:lastRowFirstColumn="0" w:lastRowLastColumn="0"/>
                  <w:tcW w:w="1739" w:type="dxa"/>
                </w:tcPr>
                <w:p w14:paraId="0AAF0418" w14:textId="0A5B84DC" w:rsidR="00EF49E9" w:rsidRPr="0042214E" w:rsidRDefault="00EF49E9" w:rsidP="00A6778F">
                  <w:pPr>
                    <w:pStyle w:val="Tabletext"/>
                  </w:pPr>
                  <w:r w:rsidRPr="0042214E">
                    <w:t xml:space="preserve">Project </w:t>
                  </w:r>
                  <w:r w:rsidR="0044651B" w:rsidRPr="0042214E">
                    <w:t xml:space="preserve">option </w:t>
                  </w:r>
                  <w:r w:rsidRPr="0042214E">
                    <w:t>2</w:t>
                  </w:r>
                </w:p>
              </w:tc>
              <w:tc>
                <w:tcPr>
                  <w:tcW w:w="5310" w:type="dxa"/>
                </w:tcPr>
                <w:p w14:paraId="773CCCC8"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Estimated cost of $1.18 billion (NPV)</w:t>
                  </w:r>
                </w:p>
              </w:tc>
              <w:tc>
                <w:tcPr>
                  <w:tcW w:w="1289" w:type="dxa"/>
                </w:tcPr>
                <w:p w14:paraId="7288FA1B"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(3.63)</w:t>
                  </w:r>
                </w:p>
              </w:tc>
            </w:tr>
            <w:tr w:rsidR="00EF49E9" w:rsidRPr="0042214E" w14:paraId="35108618" w14:textId="77777777" w:rsidTr="00586BA5">
              <w:tc>
                <w:tcPr>
                  <w:cnfStyle w:val="001000000000" w:firstRow="0" w:lastRow="0" w:firstColumn="1" w:lastColumn="0" w:oddVBand="0" w:evenVBand="0" w:oddHBand="0" w:evenHBand="0" w:firstRowFirstColumn="0" w:firstRowLastColumn="0" w:lastRowFirstColumn="0" w:lastRowLastColumn="0"/>
                  <w:tcW w:w="1739" w:type="dxa"/>
                </w:tcPr>
                <w:p w14:paraId="0BD46E76" w14:textId="77777777" w:rsidR="00EF49E9" w:rsidRPr="0042214E" w:rsidRDefault="00EF49E9" w:rsidP="00A6778F">
                  <w:pPr>
                    <w:pStyle w:val="Tabletext"/>
                  </w:pPr>
                </w:p>
              </w:tc>
              <w:tc>
                <w:tcPr>
                  <w:tcW w:w="5310" w:type="dxa"/>
                </w:tcPr>
                <w:p w14:paraId="6F9E5F29"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Estimated social and economic benefits of $1.25 billion (NPV)</w:t>
                  </w:r>
                </w:p>
              </w:tc>
              <w:tc>
                <w:tcPr>
                  <w:tcW w:w="1289" w:type="dxa"/>
                </w:tcPr>
                <w:p w14:paraId="29B58DE0"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3.85</w:t>
                  </w:r>
                </w:p>
              </w:tc>
            </w:tr>
          </w:tbl>
          <w:p w14:paraId="1C717D40" w14:textId="77777777" w:rsidR="00EF49E9" w:rsidRPr="0042214E" w:rsidRDefault="00EF49E9" w:rsidP="00EF49E9">
            <w:pPr>
              <w:pStyle w:val="Spacer"/>
            </w:pPr>
          </w:p>
          <w:p w14:paraId="531637CA" w14:textId="60F119A3" w:rsidR="00EF49E9" w:rsidRPr="0042214E" w:rsidRDefault="00EF49E9" w:rsidP="00EF49E9">
            <w:pPr>
              <w:pStyle w:val="Spacer"/>
            </w:pPr>
          </w:p>
        </w:tc>
      </w:tr>
      <w:tr w:rsidR="00EF49E9" w:rsidRPr="0042214E" w14:paraId="1C6D250A" w14:textId="77777777" w:rsidTr="00EF49E9">
        <w:trPr>
          <w:cantSplit/>
        </w:trPr>
        <w:tc>
          <w:tcPr>
            <w:cnfStyle w:val="001000000000" w:firstRow="0" w:lastRow="0" w:firstColumn="1" w:lastColumn="0" w:oddVBand="0" w:evenVBand="0" w:oddHBand="0" w:evenHBand="0" w:firstRowFirstColumn="0" w:firstRowLastColumn="0" w:lastRowFirstColumn="0" w:lastRowLastColumn="0"/>
            <w:tcW w:w="8531" w:type="dxa"/>
            <w:tcBorders>
              <w:top w:val="nil"/>
              <w:bottom w:val="nil"/>
            </w:tcBorders>
            <w:shd w:val="clear" w:color="auto" w:fill="FDEACC" w:themeFill="accent6"/>
          </w:tcPr>
          <w:p w14:paraId="7258F7A7" w14:textId="77777777" w:rsidR="00EF49E9" w:rsidRPr="0042214E" w:rsidRDefault="00EF49E9" w:rsidP="00EF49E9">
            <w:pPr>
              <w:pStyle w:val="Tabletextbold"/>
            </w:pPr>
            <w:r w:rsidRPr="0042214E">
              <w:lastRenderedPageBreak/>
              <w:t>Scoring of non</w:t>
            </w:r>
            <w:r w:rsidRPr="0042214E">
              <w:noBreakHyphen/>
              <w:t>monetised impacts</w:t>
            </w:r>
          </w:p>
          <w:p w14:paraId="5A21B163" w14:textId="07A3E130" w:rsidR="00EF49E9" w:rsidRPr="0042214E" w:rsidRDefault="00EF49E9" w:rsidP="00A6778F">
            <w:pPr>
              <w:pStyle w:val="Tabletext"/>
            </w:pPr>
            <w:r w:rsidRPr="0042214E">
              <w:t>Environmental impacts are scored based on the expected reduction in power line bushfire risks under the project options against the following scale (note that thing equivalent to the base case is scored at 0.)</w:t>
            </w:r>
          </w:p>
          <w:tbl>
            <w:tblPr>
              <w:tblStyle w:val="DTFTextTable"/>
              <w:tblW w:w="8338" w:type="dxa"/>
              <w:tblLook w:val="06A0" w:firstRow="1" w:lastRow="0" w:firstColumn="1" w:lastColumn="0" w:noHBand="1" w:noVBand="1"/>
            </w:tblPr>
            <w:tblGrid>
              <w:gridCol w:w="3674"/>
              <w:gridCol w:w="3510"/>
              <w:gridCol w:w="1154"/>
            </w:tblGrid>
            <w:tr w:rsidR="00EF49E9" w:rsidRPr="0042214E" w14:paraId="2F5789C8" w14:textId="77777777" w:rsidTr="00A67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4" w:type="dxa"/>
                </w:tcPr>
                <w:p w14:paraId="599EF635" w14:textId="77777777" w:rsidR="00EF49E9" w:rsidRPr="0042214E" w:rsidRDefault="00EF49E9" w:rsidP="00EF49E9">
                  <w:pPr>
                    <w:spacing w:before="60"/>
                  </w:pPr>
                  <w:r w:rsidRPr="0042214E">
                    <w:t>Reduction in power line bushfire risks</w:t>
                  </w:r>
                </w:p>
              </w:tc>
              <w:tc>
                <w:tcPr>
                  <w:tcW w:w="3510" w:type="dxa"/>
                </w:tcPr>
                <w:p w14:paraId="425847E3" w14:textId="77777777" w:rsidR="00EF49E9" w:rsidRPr="0042214E" w:rsidRDefault="00EF49E9" w:rsidP="00EF49E9">
                  <w:pPr>
                    <w:spacing w:before="60"/>
                    <w:cnfStyle w:val="100000000000" w:firstRow="1" w:lastRow="0" w:firstColumn="0" w:lastColumn="0" w:oddVBand="0" w:evenVBand="0" w:oddHBand="0" w:evenHBand="0" w:firstRowFirstColumn="0" w:firstRowLastColumn="0" w:lastRowFirstColumn="0" w:lastRowLastColumn="0"/>
                  </w:pPr>
                  <w:r w:rsidRPr="0042214E">
                    <w:t>Conclusion</w:t>
                  </w:r>
                </w:p>
              </w:tc>
              <w:tc>
                <w:tcPr>
                  <w:tcW w:w="1154" w:type="dxa"/>
                </w:tcPr>
                <w:p w14:paraId="4FCABA3D" w14:textId="77777777" w:rsidR="00EF49E9" w:rsidRPr="0042214E" w:rsidRDefault="00EF49E9" w:rsidP="00EF49E9">
                  <w:pPr>
                    <w:spacing w:before="60"/>
                    <w:cnfStyle w:val="100000000000" w:firstRow="1" w:lastRow="0" w:firstColumn="0" w:lastColumn="0" w:oddVBand="0" w:evenVBand="0" w:oddHBand="0" w:evenHBand="0" w:firstRowFirstColumn="0" w:firstRowLastColumn="0" w:lastRowFirstColumn="0" w:lastRowLastColumn="0"/>
                  </w:pPr>
                  <w:r w:rsidRPr="0042214E">
                    <w:t>Score</w:t>
                  </w:r>
                </w:p>
              </w:tc>
            </w:tr>
            <w:tr w:rsidR="00EF49E9" w:rsidRPr="0042214E" w14:paraId="5B9B0B12" w14:textId="77777777" w:rsidTr="00A6778F">
              <w:tc>
                <w:tcPr>
                  <w:cnfStyle w:val="001000000000" w:firstRow="0" w:lastRow="0" w:firstColumn="1" w:lastColumn="0" w:oddVBand="0" w:evenVBand="0" w:oddHBand="0" w:evenHBand="0" w:firstRowFirstColumn="0" w:firstRowLastColumn="0" w:lastRowFirstColumn="0" w:lastRowLastColumn="0"/>
                  <w:tcW w:w="3674" w:type="dxa"/>
                </w:tcPr>
                <w:p w14:paraId="4C4D8C68" w14:textId="77777777" w:rsidR="00EF49E9" w:rsidRPr="0042214E" w:rsidRDefault="00EF49E9" w:rsidP="00A6778F">
                  <w:pPr>
                    <w:pStyle w:val="Tabletext"/>
                  </w:pPr>
                  <w:r w:rsidRPr="0042214E">
                    <w:t>75% to 100%</w:t>
                  </w:r>
                </w:p>
              </w:tc>
              <w:tc>
                <w:tcPr>
                  <w:tcW w:w="3510" w:type="dxa"/>
                </w:tcPr>
                <w:p w14:paraId="561047F3"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‘Very much better than the base case’</w:t>
                  </w:r>
                </w:p>
              </w:tc>
              <w:tc>
                <w:tcPr>
                  <w:tcW w:w="1154" w:type="dxa"/>
                </w:tcPr>
                <w:p w14:paraId="49A50AC5"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+3 to +4</w:t>
                  </w:r>
                </w:p>
              </w:tc>
            </w:tr>
            <w:tr w:rsidR="00EF49E9" w:rsidRPr="0042214E" w14:paraId="3F7DD334" w14:textId="77777777" w:rsidTr="00A6778F">
              <w:tc>
                <w:tcPr>
                  <w:cnfStyle w:val="001000000000" w:firstRow="0" w:lastRow="0" w:firstColumn="1" w:lastColumn="0" w:oddVBand="0" w:evenVBand="0" w:oddHBand="0" w:evenHBand="0" w:firstRowFirstColumn="0" w:firstRowLastColumn="0" w:lastRowFirstColumn="0" w:lastRowLastColumn="0"/>
                  <w:tcW w:w="3674" w:type="dxa"/>
                </w:tcPr>
                <w:p w14:paraId="660493C5" w14:textId="77777777" w:rsidR="00EF49E9" w:rsidRPr="0042214E" w:rsidRDefault="00EF49E9" w:rsidP="00A6778F">
                  <w:pPr>
                    <w:pStyle w:val="Tabletext"/>
                  </w:pPr>
                  <w:r w:rsidRPr="0042214E">
                    <w:t>50% to 75%</w:t>
                  </w:r>
                </w:p>
              </w:tc>
              <w:tc>
                <w:tcPr>
                  <w:tcW w:w="3510" w:type="dxa"/>
                </w:tcPr>
                <w:p w14:paraId="58A5CB6D"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‘Much better than the base case’</w:t>
                  </w:r>
                </w:p>
              </w:tc>
              <w:tc>
                <w:tcPr>
                  <w:tcW w:w="1154" w:type="dxa"/>
                </w:tcPr>
                <w:p w14:paraId="6B79ECC9"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+2 to +3</w:t>
                  </w:r>
                </w:p>
              </w:tc>
            </w:tr>
            <w:tr w:rsidR="00EF49E9" w:rsidRPr="0042214E" w14:paraId="2FAE32C0" w14:textId="77777777" w:rsidTr="00A6778F">
              <w:tc>
                <w:tcPr>
                  <w:cnfStyle w:val="001000000000" w:firstRow="0" w:lastRow="0" w:firstColumn="1" w:lastColumn="0" w:oddVBand="0" w:evenVBand="0" w:oddHBand="0" w:evenHBand="0" w:firstRowFirstColumn="0" w:firstRowLastColumn="0" w:lastRowFirstColumn="0" w:lastRowLastColumn="0"/>
                  <w:tcW w:w="3674" w:type="dxa"/>
                  <w:tcBorders>
                    <w:bottom w:val="nil"/>
                  </w:tcBorders>
                </w:tcPr>
                <w:p w14:paraId="591C5937" w14:textId="77777777" w:rsidR="00EF49E9" w:rsidRPr="0042214E" w:rsidRDefault="00EF49E9" w:rsidP="00A6778F">
                  <w:pPr>
                    <w:pStyle w:val="Tabletext"/>
                  </w:pPr>
                  <w:r w:rsidRPr="0042214E">
                    <w:t>25% to 50%</w:t>
                  </w:r>
                </w:p>
              </w:tc>
              <w:tc>
                <w:tcPr>
                  <w:tcW w:w="3510" w:type="dxa"/>
                  <w:tcBorders>
                    <w:bottom w:val="nil"/>
                  </w:tcBorders>
                </w:tcPr>
                <w:p w14:paraId="2F977F54"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‘Moderately better than the base case’</w:t>
                  </w:r>
                </w:p>
              </w:tc>
              <w:tc>
                <w:tcPr>
                  <w:tcW w:w="1154" w:type="dxa"/>
                  <w:tcBorders>
                    <w:bottom w:val="nil"/>
                  </w:tcBorders>
                </w:tcPr>
                <w:p w14:paraId="61FC8604"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+1 to +2</w:t>
                  </w:r>
                </w:p>
              </w:tc>
            </w:tr>
            <w:tr w:rsidR="00EF49E9" w:rsidRPr="0042214E" w14:paraId="7C26AEE7" w14:textId="77777777" w:rsidTr="00A6778F">
              <w:tc>
                <w:tcPr>
                  <w:cnfStyle w:val="001000000000" w:firstRow="0" w:lastRow="0" w:firstColumn="1" w:lastColumn="0" w:oddVBand="0" w:evenVBand="0" w:oddHBand="0" w:evenHBand="0" w:firstRowFirstColumn="0" w:firstRowLastColumn="0" w:lastRowFirstColumn="0" w:lastRowLastColumn="0"/>
                  <w:tcW w:w="3674" w:type="dxa"/>
                  <w:tcBorders>
                    <w:bottom w:val="nil"/>
                  </w:tcBorders>
                </w:tcPr>
                <w:p w14:paraId="48DDCDC9" w14:textId="77777777" w:rsidR="00EF49E9" w:rsidRPr="0042214E" w:rsidRDefault="00EF49E9" w:rsidP="00A6778F">
                  <w:pPr>
                    <w:pStyle w:val="Tabletext"/>
                  </w:pPr>
                  <w:r w:rsidRPr="0042214E">
                    <w:t>0% to 25%</w:t>
                  </w:r>
                </w:p>
              </w:tc>
              <w:tc>
                <w:tcPr>
                  <w:tcW w:w="3510" w:type="dxa"/>
                  <w:tcBorders>
                    <w:bottom w:val="nil"/>
                  </w:tcBorders>
                </w:tcPr>
                <w:p w14:paraId="002C704A"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‘Little better than the base case’</w:t>
                  </w:r>
                </w:p>
              </w:tc>
              <w:tc>
                <w:tcPr>
                  <w:tcW w:w="1154" w:type="dxa"/>
                  <w:tcBorders>
                    <w:bottom w:val="nil"/>
                  </w:tcBorders>
                </w:tcPr>
                <w:p w14:paraId="43DC794F"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0 to +1</w:t>
                  </w:r>
                </w:p>
              </w:tc>
            </w:tr>
            <w:tr w:rsidR="00EF49E9" w:rsidRPr="0042214E" w14:paraId="12CA942F" w14:textId="77777777" w:rsidTr="00A6778F">
              <w:tc>
                <w:tcPr>
                  <w:cnfStyle w:val="001000000000" w:firstRow="0" w:lastRow="0" w:firstColumn="1" w:lastColumn="0" w:oddVBand="0" w:evenVBand="0" w:oddHBand="0" w:evenHBand="0" w:firstRowFirstColumn="0" w:firstRowLastColumn="0" w:lastRowFirstColumn="0" w:lastRowLastColumn="0"/>
                  <w:tcW w:w="3674" w:type="dxa"/>
                  <w:tcBorders>
                    <w:top w:val="nil"/>
                  </w:tcBorders>
                </w:tcPr>
                <w:p w14:paraId="7310CF06" w14:textId="5132D3AE" w:rsidR="00EF49E9" w:rsidRPr="0042214E" w:rsidRDefault="00EF49E9" w:rsidP="00A6778F">
                  <w:pPr>
                    <w:pStyle w:val="Tabletext"/>
                  </w:pPr>
                  <w:r w:rsidRPr="0042214E">
                    <w:t>($975) to ($1</w:t>
                  </w:r>
                  <w:r w:rsidR="0048575E" w:rsidRPr="0042214E">
                    <w:t xml:space="preserve"> </w:t>
                  </w:r>
                  <w:r w:rsidRPr="0042214E">
                    <w:t>300)</w:t>
                  </w:r>
                </w:p>
              </w:tc>
              <w:tc>
                <w:tcPr>
                  <w:tcW w:w="3510" w:type="dxa"/>
                  <w:tcBorders>
                    <w:top w:val="nil"/>
                  </w:tcBorders>
                </w:tcPr>
                <w:p w14:paraId="66E303CD"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‘Very much worse than the base case’</w:t>
                  </w:r>
                </w:p>
              </w:tc>
              <w:tc>
                <w:tcPr>
                  <w:tcW w:w="1154" w:type="dxa"/>
                  <w:tcBorders>
                    <w:top w:val="nil"/>
                  </w:tcBorders>
                </w:tcPr>
                <w:p w14:paraId="2E15BB98"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noBreakHyphen/>
                    <w:t xml:space="preserve">3 to </w:t>
                  </w:r>
                  <w:r w:rsidRPr="0042214E">
                    <w:noBreakHyphen/>
                    <w:t>4</w:t>
                  </w:r>
                </w:p>
              </w:tc>
            </w:tr>
          </w:tbl>
          <w:p w14:paraId="00A37A03" w14:textId="77777777" w:rsidR="00EF49E9" w:rsidRPr="0042214E" w:rsidRDefault="00EF49E9" w:rsidP="00EF49E9">
            <w:pPr>
              <w:rPr>
                <w:color w:val="000000" w:themeColor="text1"/>
              </w:rPr>
            </w:pPr>
            <w:r w:rsidRPr="0042214E">
              <w:rPr>
                <w:color w:val="000000" w:themeColor="text1"/>
              </w:rPr>
              <w:t>This leads to scoring for non</w:t>
            </w:r>
            <w:r w:rsidRPr="0042214E">
              <w:rPr>
                <w:color w:val="000000" w:themeColor="text1"/>
              </w:rPr>
              <w:noBreakHyphen/>
              <w:t>monetised impacts as shown:</w:t>
            </w:r>
          </w:p>
          <w:tbl>
            <w:tblPr>
              <w:tblStyle w:val="DTFTextTable"/>
              <w:tblW w:w="8338" w:type="dxa"/>
              <w:tblLook w:val="06A0" w:firstRow="1" w:lastRow="0" w:firstColumn="1" w:lastColumn="0" w:noHBand="1" w:noVBand="1"/>
            </w:tblPr>
            <w:tblGrid>
              <w:gridCol w:w="1739"/>
              <w:gridCol w:w="5445"/>
              <w:gridCol w:w="1154"/>
            </w:tblGrid>
            <w:tr w:rsidR="00EF49E9" w:rsidRPr="0042214E" w14:paraId="4D91F2E5" w14:textId="77777777" w:rsidTr="00A67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Pr>
                <w:p w14:paraId="1A8C7BA4" w14:textId="77777777" w:rsidR="00EF49E9" w:rsidRPr="0042214E" w:rsidRDefault="00EF49E9" w:rsidP="00EF49E9">
                  <w:pPr>
                    <w:spacing w:before="60"/>
                  </w:pPr>
                </w:p>
              </w:tc>
              <w:tc>
                <w:tcPr>
                  <w:tcW w:w="5445" w:type="dxa"/>
                </w:tcPr>
                <w:p w14:paraId="1A6FFF0D" w14:textId="77777777" w:rsidR="00EF49E9" w:rsidRPr="0042214E" w:rsidRDefault="00EF49E9" w:rsidP="00EF49E9">
                  <w:pPr>
                    <w:spacing w:before="60"/>
                    <w:cnfStyle w:val="100000000000" w:firstRow="1" w:lastRow="0" w:firstColumn="0" w:lastColumn="0" w:oddVBand="0" w:evenVBand="0" w:oddHBand="0" w:evenHBand="0" w:firstRowFirstColumn="0" w:firstRowLastColumn="0" w:lastRowFirstColumn="0" w:lastRowLastColumn="0"/>
                  </w:pPr>
                  <w:r w:rsidRPr="0042214E">
                    <w:t>Non</w:t>
                  </w:r>
                  <w:r w:rsidRPr="0042214E">
                    <w:noBreakHyphen/>
                    <w:t>monetised impact</w:t>
                  </w:r>
                </w:p>
              </w:tc>
              <w:tc>
                <w:tcPr>
                  <w:tcW w:w="1154" w:type="dxa"/>
                </w:tcPr>
                <w:p w14:paraId="559844BD" w14:textId="77777777" w:rsidR="00EF49E9" w:rsidRPr="0042214E" w:rsidRDefault="00EF49E9" w:rsidP="00EF49E9">
                  <w:pPr>
                    <w:spacing w:before="60"/>
                    <w:cnfStyle w:val="100000000000" w:firstRow="1" w:lastRow="0" w:firstColumn="0" w:lastColumn="0" w:oddVBand="0" w:evenVBand="0" w:oddHBand="0" w:evenHBand="0" w:firstRowFirstColumn="0" w:firstRowLastColumn="0" w:lastRowFirstColumn="0" w:lastRowLastColumn="0"/>
                  </w:pPr>
                  <w:r w:rsidRPr="0042214E">
                    <w:t>Score</w:t>
                  </w:r>
                </w:p>
              </w:tc>
            </w:tr>
            <w:tr w:rsidR="00EF49E9" w:rsidRPr="0042214E" w14:paraId="12A7A843" w14:textId="77777777" w:rsidTr="00A6778F">
              <w:tc>
                <w:tcPr>
                  <w:cnfStyle w:val="001000000000" w:firstRow="0" w:lastRow="0" w:firstColumn="1" w:lastColumn="0" w:oddVBand="0" w:evenVBand="0" w:oddHBand="0" w:evenHBand="0" w:firstRowFirstColumn="0" w:firstRowLastColumn="0" w:lastRowFirstColumn="0" w:lastRowLastColumn="0"/>
                  <w:tcW w:w="1739" w:type="dxa"/>
                </w:tcPr>
                <w:p w14:paraId="73201075" w14:textId="5A4E9677" w:rsidR="00EF49E9" w:rsidRPr="0042214E" w:rsidRDefault="00EF49E9" w:rsidP="00A6778F">
                  <w:pPr>
                    <w:pStyle w:val="Tabletext"/>
                  </w:pPr>
                  <w:r w:rsidRPr="0042214E">
                    <w:t xml:space="preserve">Project </w:t>
                  </w:r>
                  <w:r w:rsidR="0044651B" w:rsidRPr="0042214E">
                    <w:t xml:space="preserve">option </w:t>
                  </w:r>
                  <w:r w:rsidRPr="0042214E">
                    <w:t>1</w:t>
                  </w:r>
                </w:p>
              </w:tc>
              <w:tc>
                <w:tcPr>
                  <w:tcW w:w="5445" w:type="dxa"/>
                </w:tcPr>
                <w:p w14:paraId="30244D78" w14:textId="592B9386" w:rsidR="00EF49E9" w:rsidRPr="0042214E" w:rsidRDefault="00EF49E9" w:rsidP="0048575E">
                  <w:pPr>
                    <w:pStyle w:val="Tabletext"/>
                    <w:cnfStyle w:val="000000000000" w:firstRow="0" w:lastRow="0" w:firstColumn="0" w:lastColumn="0" w:oddVBand="0" w:evenVBand="0" w:oddHBand="0" w:evenHBand="0" w:firstRowFirstColumn="0" w:firstRowLastColumn="0" w:lastRowFirstColumn="0" w:lastRowLastColumn="0"/>
                  </w:pPr>
                  <w:r w:rsidRPr="0042214E">
                    <w:t>Reduction in the environmental costs of bushfires in future (estimated 55</w:t>
                  </w:r>
                  <w:r w:rsidR="0048575E" w:rsidRPr="0042214E">
                    <w:t xml:space="preserve"> per cent </w:t>
                  </w:r>
                  <w:r w:rsidRPr="0042214E">
                    <w:t>reduction in power line bushfire risks)</w:t>
                  </w:r>
                </w:p>
              </w:tc>
              <w:tc>
                <w:tcPr>
                  <w:tcW w:w="1154" w:type="dxa"/>
                </w:tcPr>
                <w:p w14:paraId="7BBCBCE5"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2.20</w:t>
                  </w:r>
                </w:p>
              </w:tc>
            </w:tr>
            <w:tr w:rsidR="00EF49E9" w:rsidRPr="0042214E" w14:paraId="63B96DA8" w14:textId="77777777" w:rsidTr="00A6778F">
              <w:tc>
                <w:tcPr>
                  <w:cnfStyle w:val="001000000000" w:firstRow="0" w:lastRow="0" w:firstColumn="1" w:lastColumn="0" w:oddVBand="0" w:evenVBand="0" w:oddHBand="0" w:evenHBand="0" w:firstRowFirstColumn="0" w:firstRowLastColumn="0" w:lastRowFirstColumn="0" w:lastRowLastColumn="0"/>
                  <w:tcW w:w="1739" w:type="dxa"/>
                </w:tcPr>
                <w:p w14:paraId="44EECA9C" w14:textId="41289630" w:rsidR="00EF49E9" w:rsidRPr="0042214E" w:rsidRDefault="00EF49E9" w:rsidP="00A6778F">
                  <w:pPr>
                    <w:pStyle w:val="Tabletext"/>
                  </w:pPr>
                  <w:r w:rsidRPr="0042214E">
                    <w:t xml:space="preserve">Project </w:t>
                  </w:r>
                  <w:r w:rsidR="0044651B" w:rsidRPr="0042214E">
                    <w:t xml:space="preserve">option </w:t>
                  </w:r>
                  <w:r w:rsidRPr="0042214E">
                    <w:t>2</w:t>
                  </w:r>
                </w:p>
              </w:tc>
              <w:tc>
                <w:tcPr>
                  <w:tcW w:w="5445" w:type="dxa"/>
                </w:tcPr>
                <w:p w14:paraId="17DFAC53" w14:textId="38B59EE5" w:rsidR="00EF49E9" w:rsidRPr="0042214E" w:rsidRDefault="00EF49E9" w:rsidP="0048575E">
                  <w:pPr>
                    <w:pStyle w:val="Tabletext"/>
                    <w:cnfStyle w:val="000000000000" w:firstRow="0" w:lastRow="0" w:firstColumn="0" w:lastColumn="0" w:oddVBand="0" w:evenVBand="0" w:oddHBand="0" w:evenHBand="0" w:firstRowFirstColumn="0" w:firstRowLastColumn="0" w:lastRowFirstColumn="0" w:lastRowLastColumn="0"/>
                  </w:pPr>
                  <w:r w:rsidRPr="0042214E">
                    <w:t>Reduction in the environmental costs of bushfires in future (estimated 62</w:t>
                  </w:r>
                  <w:r w:rsidR="0048575E" w:rsidRPr="0042214E">
                    <w:t xml:space="preserve"> per cent </w:t>
                  </w:r>
                  <w:r w:rsidRPr="0042214E">
                    <w:t>reduction in power line bushfire risks)</w:t>
                  </w:r>
                </w:p>
              </w:tc>
              <w:tc>
                <w:tcPr>
                  <w:tcW w:w="1154" w:type="dxa"/>
                </w:tcPr>
                <w:p w14:paraId="7AE2A3F8"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2.48</w:t>
                  </w:r>
                </w:p>
              </w:tc>
            </w:tr>
          </w:tbl>
          <w:p w14:paraId="6D03CB2F" w14:textId="77777777" w:rsidR="00EF49E9" w:rsidRPr="0042214E" w:rsidRDefault="00EF49E9" w:rsidP="00A6778F">
            <w:pPr>
              <w:pStyle w:val="Spacer"/>
            </w:pPr>
          </w:p>
          <w:p w14:paraId="15F96A3B" w14:textId="3D291B29" w:rsidR="00EF49E9" w:rsidRPr="0042214E" w:rsidRDefault="00EF49E9" w:rsidP="00EF49E9">
            <w:pPr>
              <w:pStyle w:val="Spacer"/>
            </w:pPr>
          </w:p>
        </w:tc>
      </w:tr>
      <w:tr w:rsidR="00EF49E9" w:rsidRPr="0042214E" w14:paraId="41FFDC87" w14:textId="77777777" w:rsidTr="00EF49E9">
        <w:trPr>
          <w:cantSplit/>
        </w:trPr>
        <w:tc>
          <w:tcPr>
            <w:cnfStyle w:val="001000000000" w:firstRow="0" w:lastRow="0" w:firstColumn="1" w:lastColumn="0" w:oddVBand="0" w:evenVBand="0" w:oddHBand="0" w:evenHBand="0" w:firstRowFirstColumn="0" w:firstRowLastColumn="0" w:lastRowFirstColumn="0" w:lastRowLastColumn="0"/>
            <w:tcW w:w="8531" w:type="dxa"/>
            <w:tcBorders>
              <w:top w:val="nil"/>
            </w:tcBorders>
            <w:shd w:val="clear" w:color="auto" w:fill="FDEACC" w:themeFill="accent6"/>
          </w:tcPr>
          <w:p w14:paraId="76C98584" w14:textId="77777777" w:rsidR="00EF49E9" w:rsidRPr="0042214E" w:rsidRDefault="00EF49E9" w:rsidP="00EF49E9">
            <w:pPr>
              <w:pStyle w:val="Tabletextbold"/>
            </w:pPr>
            <w:r w:rsidRPr="0042214E">
              <w:t xml:space="preserve">Weighting of financial, </w:t>
            </w:r>
            <w:proofErr w:type="gramStart"/>
            <w:r w:rsidRPr="0042214E">
              <w:t>socioeconomic</w:t>
            </w:r>
            <w:proofErr w:type="gramEnd"/>
            <w:r w:rsidRPr="0042214E">
              <w:t xml:space="preserve"> and other impacts</w:t>
            </w:r>
          </w:p>
          <w:p w14:paraId="2C1405D4" w14:textId="77777777" w:rsidR="00EF49E9" w:rsidRPr="0042214E" w:rsidRDefault="00EF49E9" w:rsidP="00A6778F">
            <w:pPr>
              <w:pStyle w:val="Tabletext"/>
            </w:pPr>
            <w:r w:rsidRPr="0042214E">
              <w:t>Each impact (benefit) should be weighted according to their relative value to the Victorian community.</w:t>
            </w:r>
          </w:p>
          <w:p w14:paraId="17305D93" w14:textId="12CF3F13" w:rsidR="00EF49E9" w:rsidRPr="0042214E" w:rsidRDefault="00EF49E9" w:rsidP="00A6778F">
            <w:pPr>
              <w:pStyle w:val="Tabletext"/>
            </w:pPr>
            <w:r w:rsidRPr="0042214E">
              <w:t xml:space="preserve">The monetised socioeconomic impacts (social and economic benefits – </w:t>
            </w:r>
            <w:r w:rsidR="00825CA5" w:rsidRPr="0042214E">
              <w:t>e.g.,</w:t>
            </w:r>
            <w:r w:rsidRPr="0042214E">
              <w:t xml:space="preserve"> human lives, damage to assets) are expected to have much greater value to the Victorian community than non</w:t>
            </w:r>
            <w:r w:rsidRPr="0042214E">
              <w:noBreakHyphen/>
              <w:t>monetised impacts (environmental benefits). Based on this consideration, the impacts are weighted as follows:</w:t>
            </w:r>
          </w:p>
          <w:p w14:paraId="358295C9" w14:textId="1E1C592B" w:rsidR="00EF49E9" w:rsidRPr="0042214E" w:rsidRDefault="00EF49E9" w:rsidP="00A6778F">
            <w:pPr>
              <w:pStyle w:val="Tablebullet"/>
            </w:pPr>
            <w:r w:rsidRPr="0042214E">
              <w:t>Financial – 50</w:t>
            </w:r>
            <w:r w:rsidR="005E12B3" w:rsidRPr="0042214E">
              <w:t xml:space="preserve"> per cent</w:t>
            </w:r>
          </w:p>
          <w:p w14:paraId="6DB92180" w14:textId="48CFDB3B" w:rsidR="00EF49E9" w:rsidRPr="0042214E" w:rsidRDefault="00EF49E9" w:rsidP="00A6778F">
            <w:pPr>
              <w:pStyle w:val="Tablebullet"/>
            </w:pPr>
            <w:r w:rsidRPr="0042214E">
              <w:t>Monetised non</w:t>
            </w:r>
            <w:r w:rsidRPr="0042214E">
              <w:noBreakHyphen/>
              <w:t>financial impacts (reduced social and economic costs of bushfires) – 40</w:t>
            </w:r>
            <w:r w:rsidR="005E12B3" w:rsidRPr="0042214E">
              <w:t xml:space="preserve"> per cent</w:t>
            </w:r>
          </w:p>
          <w:p w14:paraId="72471166" w14:textId="3DF54B2C" w:rsidR="00EF49E9" w:rsidRPr="0042214E" w:rsidRDefault="00EF49E9" w:rsidP="00A6778F">
            <w:pPr>
              <w:pStyle w:val="Tablebullet"/>
              <w:rPr>
                <w:b/>
              </w:rPr>
            </w:pPr>
            <w:r w:rsidRPr="0042214E">
              <w:t>Qualitative non</w:t>
            </w:r>
            <w:r w:rsidRPr="0042214E">
              <w:noBreakHyphen/>
              <w:t>financial impacts (reduced environmental costs of bushfires) – 10</w:t>
            </w:r>
            <w:r w:rsidR="005E12B3" w:rsidRPr="0042214E">
              <w:t xml:space="preserve"> per cent</w:t>
            </w:r>
          </w:p>
          <w:tbl>
            <w:tblPr>
              <w:tblStyle w:val="DTFTextTable"/>
              <w:tblW w:w="8345" w:type="dxa"/>
              <w:tblLook w:val="06E0" w:firstRow="1" w:lastRow="1" w:firstColumn="1" w:lastColumn="0" w:noHBand="1" w:noVBand="1"/>
            </w:tblPr>
            <w:tblGrid>
              <w:gridCol w:w="4619"/>
              <w:gridCol w:w="1890"/>
              <w:gridCol w:w="1836"/>
            </w:tblGrid>
            <w:tr w:rsidR="00EF49E9" w:rsidRPr="0042214E" w14:paraId="17438807" w14:textId="77777777" w:rsidTr="00586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9" w:type="dxa"/>
                </w:tcPr>
                <w:p w14:paraId="2B737775" w14:textId="77777777" w:rsidR="00EF49E9" w:rsidRPr="0042214E" w:rsidRDefault="00EF49E9" w:rsidP="00EF49E9">
                  <w:r w:rsidRPr="0042214E">
                    <w:t>Impact</w:t>
                  </w:r>
                </w:p>
              </w:tc>
              <w:tc>
                <w:tcPr>
                  <w:tcW w:w="1890" w:type="dxa"/>
                </w:tcPr>
                <w:p w14:paraId="07BA91A8" w14:textId="77777777" w:rsidR="00EF49E9" w:rsidRPr="0042214E" w:rsidRDefault="00EF49E9" w:rsidP="00EF49E9">
                  <w:pPr>
                    <w:ind w:left="170" w:hanging="170"/>
                    <w:cnfStyle w:val="100000000000" w:firstRow="1" w:lastRow="0" w:firstColumn="0" w:lastColumn="0" w:oddVBand="0" w:evenVBand="0" w:oddHBand="0" w:evenHBand="0" w:firstRowFirstColumn="0" w:firstRowLastColumn="0" w:lastRowFirstColumn="0" w:lastRowLastColumn="0"/>
                  </w:pPr>
                  <w:r w:rsidRPr="0042214E">
                    <w:t>Project option 1</w:t>
                  </w:r>
                </w:p>
              </w:tc>
              <w:tc>
                <w:tcPr>
                  <w:tcW w:w="1836" w:type="dxa"/>
                </w:tcPr>
                <w:p w14:paraId="1B729ED1" w14:textId="77777777" w:rsidR="00EF49E9" w:rsidRPr="0042214E" w:rsidRDefault="00EF49E9" w:rsidP="00EF49E9">
                  <w:pPr>
                    <w:ind w:left="170" w:hanging="170"/>
                    <w:cnfStyle w:val="100000000000" w:firstRow="1" w:lastRow="0" w:firstColumn="0" w:lastColumn="0" w:oddVBand="0" w:evenVBand="0" w:oddHBand="0" w:evenHBand="0" w:firstRowFirstColumn="0" w:firstRowLastColumn="0" w:lastRowFirstColumn="0" w:lastRowLastColumn="0"/>
                  </w:pPr>
                  <w:r w:rsidRPr="0042214E">
                    <w:t>Project option 2</w:t>
                  </w:r>
                </w:p>
              </w:tc>
            </w:tr>
            <w:tr w:rsidR="00EF49E9" w:rsidRPr="0042214E" w14:paraId="6AF6CDBE" w14:textId="77777777" w:rsidTr="00586BA5">
              <w:tc>
                <w:tcPr>
                  <w:cnfStyle w:val="001000000000" w:firstRow="0" w:lastRow="0" w:firstColumn="1" w:lastColumn="0" w:oddVBand="0" w:evenVBand="0" w:oddHBand="0" w:evenHBand="0" w:firstRowFirstColumn="0" w:firstRowLastColumn="0" w:lastRowFirstColumn="0" w:lastRowLastColumn="0"/>
                  <w:tcW w:w="4619" w:type="dxa"/>
                </w:tcPr>
                <w:p w14:paraId="14C62EB1" w14:textId="5F61D3CD" w:rsidR="00EF49E9" w:rsidRPr="0042214E" w:rsidRDefault="00EF49E9" w:rsidP="00F97A75">
                  <w:pPr>
                    <w:pStyle w:val="Tabletext"/>
                  </w:pPr>
                  <w:r w:rsidRPr="0042214E">
                    <w:t>Financial impacts (costs) – 50</w:t>
                  </w:r>
                  <w:r w:rsidR="00F97A75" w:rsidRPr="0042214E">
                    <w:t xml:space="preserve"> per cent</w:t>
                  </w:r>
                </w:p>
              </w:tc>
              <w:tc>
                <w:tcPr>
                  <w:tcW w:w="1890" w:type="dxa"/>
                </w:tcPr>
                <w:p w14:paraId="11F9EDFB"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(0.92)</w:t>
                  </w:r>
                </w:p>
              </w:tc>
              <w:tc>
                <w:tcPr>
                  <w:tcW w:w="1836" w:type="dxa"/>
                </w:tcPr>
                <w:p w14:paraId="3C2B7A12"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(1.82)</w:t>
                  </w:r>
                </w:p>
              </w:tc>
            </w:tr>
            <w:tr w:rsidR="00EF49E9" w:rsidRPr="0042214E" w14:paraId="1C7E1EFA" w14:textId="77777777" w:rsidTr="00586BA5">
              <w:tc>
                <w:tcPr>
                  <w:cnfStyle w:val="001000000000" w:firstRow="0" w:lastRow="0" w:firstColumn="1" w:lastColumn="0" w:oddVBand="0" w:evenVBand="0" w:oddHBand="0" w:evenHBand="0" w:firstRowFirstColumn="0" w:firstRowLastColumn="0" w:lastRowFirstColumn="0" w:lastRowLastColumn="0"/>
                  <w:tcW w:w="4619" w:type="dxa"/>
                </w:tcPr>
                <w:p w14:paraId="193FDDA0" w14:textId="16B2F599" w:rsidR="00EF49E9" w:rsidRPr="0042214E" w:rsidRDefault="00EF49E9" w:rsidP="00F97A75">
                  <w:pPr>
                    <w:pStyle w:val="Tabletext"/>
                  </w:pPr>
                  <w:r w:rsidRPr="0042214E">
                    <w:t>Social and economic impacts (benefits) – 40</w:t>
                  </w:r>
                  <w:r w:rsidR="00F97A75" w:rsidRPr="0042214E">
                    <w:t xml:space="preserve"> per cent</w:t>
                  </w:r>
                </w:p>
              </w:tc>
              <w:tc>
                <w:tcPr>
                  <w:tcW w:w="1890" w:type="dxa"/>
                </w:tcPr>
                <w:p w14:paraId="4225F04F"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1.38</w:t>
                  </w:r>
                </w:p>
              </w:tc>
              <w:tc>
                <w:tcPr>
                  <w:tcW w:w="1836" w:type="dxa"/>
                </w:tcPr>
                <w:p w14:paraId="4480CE7B"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1.54</w:t>
                  </w:r>
                </w:p>
              </w:tc>
            </w:tr>
            <w:tr w:rsidR="00EF49E9" w:rsidRPr="0042214E" w14:paraId="6D18304F" w14:textId="77777777" w:rsidTr="00A6778F">
              <w:tc>
                <w:tcPr>
                  <w:cnfStyle w:val="001000000000" w:firstRow="0" w:lastRow="0" w:firstColumn="1" w:lastColumn="0" w:oddVBand="0" w:evenVBand="0" w:oddHBand="0" w:evenHBand="0" w:firstRowFirstColumn="0" w:firstRowLastColumn="0" w:lastRowFirstColumn="0" w:lastRowLastColumn="0"/>
                  <w:tcW w:w="4619" w:type="dxa"/>
                  <w:tcBorders>
                    <w:bottom w:val="single" w:sz="6" w:space="0" w:color="E57200" w:themeColor="accent2"/>
                  </w:tcBorders>
                </w:tcPr>
                <w:p w14:paraId="2D770B94" w14:textId="73A5B90E" w:rsidR="00EF49E9" w:rsidRPr="0042214E" w:rsidRDefault="00EF49E9" w:rsidP="00F97A75">
                  <w:pPr>
                    <w:pStyle w:val="Tabletext"/>
                  </w:pPr>
                  <w:r w:rsidRPr="0042214E">
                    <w:t>Environmental impacts (benefits) – 10</w:t>
                  </w:r>
                  <w:r w:rsidR="00F97A75" w:rsidRPr="0042214E">
                    <w:t xml:space="preserve"> per cent</w:t>
                  </w:r>
                </w:p>
              </w:tc>
              <w:tc>
                <w:tcPr>
                  <w:tcW w:w="1890" w:type="dxa"/>
                  <w:tcBorders>
                    <w:bottom w:val="single" w:sz="6" w:space="0" w:color="E57200" w:themeColor="accent2"/>
                  </w:tcBorders>
                </w:tcPr>
                <w:p w14:paraId="4B03ED6E"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0.22</w:t>
                  </w:r>
                </w:p>
              </w:tc>
              <w:tc>
                <w:tcPr>
                  <w:tcW w:w="1836" w:type="dxa"/>
                  <w:tcBorders>
                    <w:bottom w:val="single" w:sz="6" w:space="0" w:color="E57200" w:themeColor="accent2"/>
                  </w:tcBorders>
                </w:tcPr>
                <w:p w14:paraId="70B8656E" w14:textId="77777777" w:rsidR="00EF49E9" w:rsidRPr="0042214E" w:rsidRDefault="00EF49E9" w:rsidP="00A6778F">
                  <w:pPr>
                    <w:pStyle w:val="Tabletext"/>
                    <w:cnfStyle w:val="000000000000" w:firstRow="0" w:lastRow="0" w:firstColumn="0" w:lastColumn="0" w:oddVBand="0" w:evenVBand="0" w:oddHBand="0" w:evenHBand="0" w:firstRowFirstColumn="0" w:firstRowLastColumn="0" w:lastRowFirstColumn="0" w:lastRowLastColumn="0"/>
                  </w:pPr>
                  <w:r w:rsidRPr="0042214E">
                    <w:t>0.25</w:t>
                  </w:r>
                </w:p>
              </w:tc>
            </w:tr>
            <w:tr w:rsidR="00EF49E9" w:rsidRPr="0042214E" w14:paraId="1D732395" w14:textId="77777777" w:rsidTr="00A6778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9" w:type="dxa"/>
                  <w:tcBorders>
                    <w:top w:val="single" w:sz="6" w:space="0" w:color="E57200" w:themeColor="accent2"/>
                    <w:bottom w:val="single" w:sz="12" w:space="0" w:color="E57200" w:themeColor="accent2"/>
                  </w:tcBorders>
                </w:tcPr>
                <w:p w14:paraId="54023092" w14:textId="77777777" w:rsidR="00EF49E9" w:rsidRPr="0042214E" w:rsidRDefault="00EF49E9" w:rsidP="00A6778F">
                  <w:pPr>
                    <w:pStyle w:val="Tabletext"/>
                  </w:pPr>
                  <w:r w:rsidRPr="0042214E">
                    <w:t>Net score</w:t>
                  </w:r>
                </w:p>
              </w:tc>
              <w:tc>
                <w:tcPr>
                  <w:tcW w:w="1890" w:type="dxa"/>
                  <w:tcBorders>
                    <w:top w:val="single" w:sz="6" w:space="0" w:color="E57200" w:themeColor="accent2"/>
                    <w:bottom w:val="single" w:sz="12" w:space="0" w:color="E57200" w:themeColor="accent2"/>
                  </w:tcBorders>
                </w:tcPr>
                <w:p w14:paraId="730E4433" w14:textId="77777777" w:rsidR="00EF49E9" w:rsidRPr="0042214E" w:rsidRDefault="00EF49E9" w:rsidP="00A6778F">
                  <w:pPr>
                    <w:pStyle w:val="Tabletext"/>
                    <w:cnfStyle w:val="010000000000" w:firstRow="0" w:lastRow="1" w:firstColumn="0" w:lastColumn="0" w:oddVBand="0" w:evenVBand="0" w:oddHBand="0" w:evenHBand="0" w:firstRowFirstColumn="0" w:firstRowLastColumn="0" w:lastRowFirstColumn="0" w:lastRowLastColumn="0"/>
                  </w:pPr>
                  <w:r w:rsidRPr="0042214E">
                    <w:t>0.68</w:t>
                  </w:r>
                </w:p>
              </w:tc>
              <w:tc>
                <w:tcPr>
                  <w:tcW w:w="1836" w:type="dxa"/>
                  <w:tcBorders>
                    <w:top w:val="single" w:sz="6" w:space="0" w:color="E57200" w:themeColor="accent2"/>
                    <w:bottom w:val="single" w:sz="12" w:space="0" w:color="E57200" w:themeColor="accent2"/>
                  </w:tcBorders>
                </w:tcPr>
                <w:p w14:paraId="055B5FB4" w14:textId="77777777" w:rsidR="00EF49E9" w:rsidRPr="0042214E" w:rsidRDefault="00EF49E9" w:rsidP="00A6778F">
                  <w:pPr>
                    <w:pStyle w:val="Tabletext"/>
                    <w:cnfStyle w:val="010000000000" w:firstRow="0" w:lastRow="1" w:firstColumn="0" w:lastColumn="0" w:oddVBand="0" w:evenVBand="0" w:oddHBand="0" w:evenHBand="0" w:firstRowFirstColumn="0" w:firstRowLastColumn="0" w:lastRowFirstColumn="0" w:lastRowLastColumn="0"/>
                  </w:pPr>
                  <w:r w:rsidRPr="0042214E">
                    <w:t>(0.03)</w:t>
                  </w:r>
                </w:p>
              </w:tc>
            </w:tr>
          </w:tbl>
          <w:p w14:paraId="6F805BB7" w14:textId="77777777" w:rsidR="00A6778F" w:rsidRPr="0042214E" w:rsidRDefault="00A6778F" w:rsidP="00A6778F">
            <w:pPr>
              <w:pStyle w:val="Spacer"/>
            </w:pPr>
          </w:p>
          <w:p w14:paraId="6528BE87" w14:textId="41A2DC8A" w:rsidR="00EF49E9" w:rsidRPr="0042214E" w:rsidRDefault="00EF49E9" w:rsidP="00A6778F">
            <w:pPr>
              <w:pStyle w:val="Tabletext"/>
            </w:pPr>
            <w:r w:rsidRPr="0042214E">
              <w:t xml:space="preserve">Project </w:t>
            </w:r>
            <w:r w:rsidR="00C86821" w:rsidRPr="0042214E">
              <w:t xml:space="preserve">option </w:t>
            </w:r>
            <w:r w:rsidRPr="0042214E">
              <w:t>1 is recommended as it achieves the highest score in the MCA. (It also has the highest NPV</w:t>
            </w:r>
            <w:r w:rsidR="00453C05" w:rsidRPr="0042214E">
              <w:t>.</w:t>
            </w:r>
            <w:r w:rsidRPr="0042214E">
              <w:t xml:space="preserve">) </w:t>
            </w:r>
          </w:p>
          <w:p w14:paraId="6722321C" w14:textId="77777777" w:rsidR="00EF49E9" w:rsidRPr="0042214E" w:rsidRDefault="00EF49E9" w:rsidP="00EF49E9">
            <w:r w:rsidRPr="0042214E">
              <w:t>Sensitivity analysis of the option might be conducted by varying any number of relevant parameters, such as:</w:t>
            </w:r>
          </w:p>
          <w:p w14:paraId="25E939AF" w14:textId="77777777" w:rsidR="00EF49E9" w:rsidRPr="0042214E" w:rsidRDefault="00EF49E9" w:rsidP="00A6778F">
            <w:pPr>
              <w:pStyle w:val="Tablebullet"/>
            </w:pPr>
            <w:r w:rsidRPr="0042214E">
              <w:t>the estimated cost of a major bushfire in future (affects estimated value of social and economic impacts</w:t>
            </w:r>
            <w:proofErr w:type="gramStart"/>
            <w:r w:rsidRPr="0042214E">
              <w:t>);</w:t>
            </w:r>
            <w:proofErr w:type="gramEnd"/>
          </w:p>
          <w:p w14:paraId="7F56BC6C" w14:textId="77777777" w:rsidR="00EF49E9" w:rsidRPr="0042214E" w:rsidRDefault="00EF49E9" w:rsidP="00A6778F">
            <w:pPr>
              <w:pStyle w:val="Tablebullet"/>
            </w:pPr>
            <w:r w:rsidRPr="0042214E">
              <w:t>the degree of bushfire risk reduction achieved by the project options (affects estimated value of all non</w:t>
            </w:r>
            <w:r w:rsidRPr="0042214E">
              <w:noBreakHyphen/>
              <w:t>financial impacts); and</w:t>
            </w:r>
          </w:p>
          <w:p w14:paraId="61A2EA35" w14:textId="3D8770DF" w:rsidR="00EF49E9" w:rsidRPr="0042214E" w:rsidRDefault="00EF49E9" w:rsidP="00A6778F">
            <w:pPr>
              <w:pStyle w:val="Tablebullet"/>
            </w:pPr>
            <w:r w:rsidRPr="0042214E">
              <w:t>discount rates used in the calculation of net present values (for both financial and non</w:t>
            </w:r>
            <w:r w:rsidRPr="0042214E">
              <w:noBreakHyphen/>
              <w:t>financial impacts).</w:t>
            </w:r>
          </w:p>
        </w:tc>
      </w:tr>
    </w:tbl>
    <w:p w14:paraId="4D18DBFE" w14:textId="47CA3108" w:rsidR="000D2485" w:rsidRPr="0042214E" w:rsidRDefault="000D2485" w:rsidP="005E1934">
      <w:pPr>
        <w:pStyle w:val="Heading3numbered"/>
      </w:pPr>
      <w:bookmarkStart w:id="155" w:name="_Toc121415322"/>
      <w:bookmarkStart w:id="156" w:name="_Toc499215102"/>
      <w:r w:rsidRPr="0042214E">
        <w:lastRenderedPageBreak/>
        <w:t>Detailed economic evaluation of the project solution</w:t>
      </w:r>
      <w:bookmarkEnd w:id="155"/>
    </w:p>
    <w:p w14:paraId="4DBC900A" w14:textId="77777777" w:rsidR="000D2485" w:rsidRPr="0042214E" w:rsidRDefault="000D2485" w:rsidP="00A6778F">
      <w:pPr>
        <w:pStyle w:val="NormalIndent"/>
        <w:keepNext/>
      </w:pPr>
      <w:r w:rsidRPr="0042214E">
        <w:t xml:space="preserve">The economic evaluation undertaken to compare project options can now be formally tested using the more detailed valuation of costs and benefits developed for the project solution. </w:t>
      </w:r>
    </w:p>
    <w:p w14:paraId="55EEB7A2" w14:textId="666B8BFF" w:rsidR="000D2485" w:rsidRPr="0042214E" w:rsidRDefault="000D2485" w:rsidP="006B713F">
      <w:pPr>
        <w:pStyle w:val="NormalIndent"/>
      </w:pPr>
      <w:r w:rsidRPr="0042214E">
        <w:t xml:space="preserve">The measures of costs and benefits need to be compared with a no policy change base case over a relevant </w:t>
      </w:r>
      <w:proofErr w:type="gramStart"/>
      <w:r w:rsidRPr="0042214E">
        <w:t>period of time</w:t>
      </w:r>
      <w:proofErr w:type="gramEnd"/>
      <w:r w:rsidRPr="0042214E">
        <w:t xml:space="preserve"> to capture whole</w:t>
      </w:r>
      <w:r w:rsidR="00C86821">
        <w:t xml:space="preserve"> </w:t>
      </w:r>
      <w:r w:rsidRPr="0042214E">
        <w:t>of</w:t>
      </w:r>
      <w:r w:rsidR="00C86821">
        <w:t xml:space="preserve"> </w:t>
      </w:r>
      <w:r w:rsidRPr="0042214E">
        <w:t>life impacts. This analysis is used to determine whether the investment makes a positive contribution to society’s welfare. The amount of this contribution will also be used by Government as part of the information to help support decisions about which investments should be supported, for example</w:t>
      </w:r>
      <w:r w:rsidR="001F6CB7" w:rsidRPr="0042214E">
        <w:t>,</w:t>
      </w:r>
      <w:r w:rsidRPr="0042214E">
        <w:t xml:space="preserve"> whether to invest in transport initiatives or schools (or which investment to support from a range of options within a particular portfolio). This will include which investment has the potential for the greater impact on society’s welfare and what is the likely distribution of that impact.</w:t>
      </w:r>
    </w:p>
    <w:p w14:paraId="4207A030" w14:textId="77777777" w:rsidR="000D2485" w:rsidRPr="0042214E" w:rsidRDefault="000D2485" w:rsidP="006B713F">
      <w:pPr>
        <w:pStyle w:val="NormalIndent"/>
      </w:pPr>
      <w:r w:rsidRPr="0042214E">
        <w:t xml:space="preserve">If the cost benefit analysis based on detailed costing and valuation of benefits is inconsistent with the project options analysis of concept estimates and no longer presents a value for money investment, the project options may need to be revisited to find a more viable option or the investment may need to be abandoned. </w:t>
      </w:r>
    </w:p>
    <w:p w14:paraId="7E9C96A3" w14:textId="063713D9" w:rsidR="000D2485" w:rsidRPr="0042214E" w:rsidRDefault="000D2485" w:rsidP="006B713F">
      <w:pPr>
        <w:pStyle w:val="NormalIndent"/>
      </w:pPr>
      <w:r w:rsidRPr="00C86821">
        <w:rPr>
          <w:color w:val="000000" w:themeColor="text1"/>
        </w:rPr>
        <w:t xml:space="preserve">The </w:t>
      </w:r>
      <w:r w:rsidRPr="00922978">
        <w:rPr>
          <w:b/>
          <w:color w:val="E57200" w:themeColor="accent2"/>
        </w:rPr>
        <w:t>Economic Evaluation</w:t>
      </w:r>
      <w:r w:rsidRPr="00922978">
        <w:rPr>
          <w:color w:val="E57200" w:themeColor="accent2"/>
        </w:rPr>
        <w:t xml:space="preserve"> </w:t>
      </w:r>
      <w:r w:rsidRPr="00C86821">
        <w:rPr>
          <w:color w:val="000000" w:themeColor="text1"/>
        </w:rPr>
        <w:t xml:space="preserve">technical guide provides useful guidance on valuation techniques and assessment methodologies. For asset projects, refer to the </w:t>
      </w:r>
      <w:r w:rsidRPr="00922978">
        <w:rPr>
          <w:b/>
          <w:color w:val="E57200" w:themeColor="accent2"/>
        </w:rPr>
        <w:t>Project Budget</w:t>
      </w:r>
      <w:r w:rsidRPr="00922978">
        <w:rPr>
          <w:color w:val="E57200" w:themeColor="accent2"/>
        </w:rPr>
        <w:t xml:space="preserve"> </w:t>
      </w:r>
      <w:r w:rsidRPr="00C86821">
        <w:rPr>
          <w:color w:val="000000" w:themeColor="text1"/>
        </w:rPr>
        <w:t>technical guide</w:t>
      </w:r>
      <w:r w:rsidR="001F6CB7" w:rsidRPr="00C86821">
        <w:rPr>
          <w:color w:val="000000" w:themeColor="text1"/>
        </w:rPr>
        <w:t>,</w:t>
      </w:r>
      <w:r w:rsidRPr="00C86821">
        <w:rPr>
          <w:color w:val="000000" w:themeColor="text1"/>
        </w:rPr>
        <w:t xml:space="preserve"> which provides specific guidance on development of the project budget. </w:t>
      </w:r>
      <w:r w:rsidRPr="0042214E">
        <w:t>Further guidance on this is also provided in Step 9. The tables below are based on that guidance and may be modified to incorporate appropriate details.</w:t>
      </w:r>
    </w:p>
    <w:p w14:paraId="3ED907E6" w14:textId="00AE8ACF" w:rsidR="006155F7" w:rsidRPr="0042214E" w:rsidRDefault="006155F7" w:rsidP="005E1934">
      <w:pPr>
        <w:pStyle w:val="Heading1numbered"/>
      </w:pPr>
      <w:bookmarkStart w:id="157" w:name="_Toc121415323"/>
      <w:bookmarkEnd w:id="156"/>
      <w:r w:rsidRPr="0042214E">
        <w:t xml:space="preserve">What is a </w:t>
      </w:r>
      <w:r w:rsidR="003D68EE" w:rsidRPr="0042214E">
        <w:t>delivery</w:t>
      </w:r>
      <w:r w:rsidRPr="0042214E">
        <w:t xml:space="preserve"> case</w:t>
      </w:r>
      <w:bookmarkEnd w:id="69"/>
      <w:r w:rsidR="003D68EE" w:rsidRPr="0042214E">
        <w:t>?</w:t>
      </w:r>
      <w:bookmarkEnd w:id="157"/>
    </w:p>
    <w:p w14:paraId="7B9DFEC6" w14:textId="1E5DF147" w:rsidR="003D68EE" w:rsidRPr="0042214E" w:rsidRDefault="003D68EE" w:rsidP="006B713F">
      <w:pPr>
        <w:pStyle w:val="NormalIndent"/>
      </w:pPr>
      <w:r w:rsidRPr="0042214E">
        <w:t>The delivery case focuses on demonstrating whether the investment can be delivered.</w:t>
      </w:r>
    </w:p>
    <w:p w14:paraId="43E088E6" w14:textId="6B898BDE" w:rsidR="003D68EE" w:rsidRPr="0042214E" w:rsidRDefault="003D68EE" w:rsidP="006B713F">
      <w:pPr>
        <w:pStyle w:val="NormalIndent"/>
      </w:pPr>
      <w:r w:rsidRPr="0042214E">
        <w:t>The preliminary business case contains high</w:t>
      </w:r>
      <w:r w:rsidR="00034452" w:rsidRPr="0042214E">
        <w:noBreakHyphen/>
      </w:r>
      <w:r w:rsidRPr="0042214E">
        <w:t>level information on the project</w:t>
      </w:r>
      <w:r w:rsidR="00847541" w:rsidRPr="0042214E">
        <w:t>’</w:t>
      </w:r>
      <w:r w:rsidRPr="0042214E">
        <w:t>s deliverability such as order of magnitude costs.</w:t>
      </w:r>
    </w:p>
    <w:p w14:paraId="2710D281" w14:textId="705B206B" w:rsidR="006155F7" w:rsidRPr="0042214E" w:rsidRDefault="006155F7" w:rsidP="006B713F">
      <w:pPr>
        <w:pStyle w:val="NormalIndent"/>
      </w:pPr>
      <w:r w:rsidRPr="0042214E">
        <w:t xml:space="preserve">The full business case contains the substantial evidence base required to establish the case to invest and to provide the confidence that it can be delivered as planned. Its content is accumulated over the entire period of shaping a new investment proposal. </w:t>
      </w:r>
    </w:p>
    <w:p w14:paraId="5D963337" w14:textId="1E0F4394" w:rsidR="00A65213" w:rsidRPr="0042214E" w:rsidRDefault="00A65213" w:rsidP="006B713F">
      <w:pPr>
        <w:pStyle w:val="NormalIndent"/>
      </w:pPr>
      <w:r w:rsidRPr="0042214E">
        <w:t xml:space="preserve">The checklist below is for business case developers and assessors. Its purpose is to guide the thinking in the business case as the delivery proposal is developed and to assess proposals once complete. </w:t>
      </w:r>
    </w:p>
    <w:p w14:paraId="240B3204" w14:textId="77777777" w:rsidR="00AA13D1" w:rsidRPr="0042214E" w:rsidRDefault="00AA13D1">
      <w:pPr>
        <w:keepLines w:val="0"/>
        <w:spacing w:line="264" w:lineRule="auto"/>
        <w:rPr>
          <w:b/>
          <w:bCs/>
          <w:color w:val="383834" w:themeColor="background2" w:themeShade="40"/>
          <w:sz w:val="18"/>
          <w:szCs w:val="18"/>
        </w:rPr>
      </w:pPr>
      <w:r w:rsidRPr="0042214E">
        <w:br w:type="page"/>
      </w:r>
    </w:p>
    <w:p w14:paraId="5309DC5A" w14:textId="3486E72B" w:rsidR="00922951" w:rsidRPr="0042214E" w:rsidRDefault="001F6CB7" w:rsidP="00A6778F">
      <w:pPr>
        <w:pStyle w:val="Caption"/>
        <w:ind w:left="792"/>
      </w:pPr>
      <w:bookmarkStart w:id="158" w:name="_Ref24627833"/>
      <w:r w:rsidRPr="0042214E">
        <w:lastRenderedPageBreak/>
        <w:t>T</w:t>
      </w:r>
      <w:r w:rsidR="00C965B0" w:rsidRPr="0042214E">
        <w:t xml:space="preserve">able </w:t>
      </w:r>
      <w:fldSimple w:instr=" SEQ Table \* ARABIC ">
        <w:r w:rsidR="00295E8F">
          <w:rPr>
            <w:noProof/>
          </w:rPr>
          <w:t>10</w:t>
        </w:r>
      </w:fldSimple>
      <w:bookmarkEnd w:id="158"/>
      <w:r w:rsidR="00C965B0" w:rsidRPr="0042214E">
        <w:t>:</w:t>
      </w:r>
      <w:r w:rsidR="00922951" w:rsidRPr="0042214E">
        <w:t xml:space="preserve"> The 16 </w:t>
      </w:r>
      <w:r w:rsidRPr="0042214E">
        <w:t xml:space="preserve">questions </w:t>
      </w:r>
      <w:r w:rsidR="00922951" w:rsidRPr="0042214E">
        <w:t>for the delivery case</w:t>
      </w:r>
    </w:p>
    <w:tbl>
      <w:tblPr>
        <w:tblStyle w:val="TableGrid"/>
        <w:tblW w:w="0" w:type="auto"/>
        <w:tblInd w:w="792" w:type="dxa"/>
        <w:tblLook w:val="04A0" w:firstRow="1" w:lastRow="0" w:firstColumn="1" w:lastColumn="0" w:noHBand="0" w:noVBand="1"/>
      </w:tblPr>
      <w:tblGrid>
        <w:gridCol w:w="2101"/>
        <w:gridCol w:w="2102"/>
        <w:gridCol w:w="2101"/>
        <w:gridCol w:w="2102"/>
      </w:tblGrid>
      <w:tr w:rsidR="00AA13D1" w:rsidRPr="0042214E" w14:paraId="65CD1C81" w14:textId="77777777" w:rsidTr="00586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7200" w:themeFill="accent2"/>
          </w:tcPr>
          <w:p w14:paraId="5251A64A" w14:textId="30A97837" w:rsidR="00AA13D1" w:rsidRPr="0042214E" w:rsidRDefault="00AA13D1" w:rsidP="00AA13D1">
            <w:pPr>
              <w:pStyle w:val="Tableheader"/>
              <w:rPr>
                <w:b/>
              </w:rPr>
            </w:pPr>
            <w:r w:rsidRPr="0042214E">
              <w:rPr>
                <w:b/>
              </w:rPr>
              <w:t>Value for money</w:t>
            </w:r>
          </w:p>
        </w:tc>
        <w:tc>
          <w:tcPr>
            <w:tcW w:w="21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7200" w:themeFill="accent2"/>
          </w:tcPr>
          <w:p w14:paraId="216545B2" w14:textId="69355304" w:rsidR="00AA13D1" w:rsidRPr="0042214E" w:rsidRDefault="00AA13D1" w:rsidP="00AA13D1">
            <w:pPr>
              <w:pStyle w:val="Tableheader"/>
              <w:cnfStyle w:val="100000000000" w:firstRow="1" w:lastRow="0" w:firstColumn="0" w:lastColumn="0" w:oddVBand="0" w:evenVBand="0" w:oddHBand="0" w:evenHBand="0" w:firstRowFirstColumn="0" w:firstRowLastColumn="0" w:lastRowFirstColumn="0" w:lastRowLastColumn="0"/>
              <w:rPr>
                <w:b/>
              </w:rPr>
            </w:pPr>
            <w:r w:rsidRPr="0042214E">
              <w:rPr>
                <w:b/>
              </w:rPr>
              <w:t>Commercial and financial</w:t>
            </w:r>
          </w:p>
        </w:tc>
        <w:tc>
          <w:tcPr>
            <w:tcW w:w="21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7200" w:themeFill="accent2"/>
          </w:tcPr>
          <w:p w14:paraId="452F7BDB" w14:textId="5950C5F2" w:rsidR="00AA13D1" w:rsidRPr="0042214E" w:rsidRDefault="00AA13D1" w:rsidP="00AA13D1">
            <w:pPr>
              <w:pStyle w:val="Tableheader"/>
              <w:cnfStyle w:val="100000000000" w:firstRow="1" w:lastRow="0" w:firstColumn="0" w:lastColumn="0" w:oddVBand="0" w:evenVBand="0" w:oddHBand="0" w:evenHBand="0" w:firstRowFirstColumn="0" w:firstRowLastColumn="0" w:lastRowFirstColumn="0" w:lastRowLastColumn="0"/>
              <w:rPr>
                <w:b/>
              </w:rPr>
            </w:pPr>
            <w:r w:rsidRPr="0042214E">
              <w:rPr>
                <w:b/>
              </w:rPr>
              <w:t>Management</w:t>
            </w:r>
          </w:p>
        </w:tc>
        <w:tc>
          <w:tcPr>
            <w:tcW w:w="21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57200" w:themeFill="accent2"/>
          </w:tcPr>
          <w:p w14:paraId="49AF5142" w14:textId="0330B388" w:rsidR="00AA13D1" w:rsidRPr="0042214E" w:rsidRDefault="00AA13D1" w:rsidP="00AA13D1">
            <w:pPr>
              <w:pStyle w:val="Tableheader"/>
              <w:cnfStyle w:val="100000000000" w:firstRow="1" w:lastRow="0" w:firstColumn="0" w:lastColumn="0" w:oddVBand="0" w:evenVBand="0" w:oddHBand="0" w:evenHBand="0" w:firstRowFirstColumn="0" w:firstRowLastColumn="0" w:lastRowFirstColumn="0" w:lastRowLastColumn="0"/>
              <w:rPr>
                <w:b/>
              </w:rPr>
            </w:pPr>
            <w:r w:rsidRPr="0042214E">
              <w:rPr>
                <w:b/>
              </w:rPr>
              <w:t>Delivery</w:t>
            </w:r>
          </w:p>
        </w:tc>
      </w:tr>
      <w:tr w:rsidR="00AA13D1" w:rsidRPr="0042214E" w14:paraId="6E83093B" w14:textId="77777777" w:rsidTr="00586BA5">
        <w:tc>
          <w:tcPr>
            <w:cnfStyle w:val="001000000000" w:firstRow="0" w:lastRow="0" w:firstColumn="1" w:lastColumn="0" w:oddVBand="0" w:evenVBand="0" w:oddHBand="0" w:evenHBand="0" w:firstRowFirstColumn="0" w:firstRowLastColumn="0" w:lastRowFirstColumn="0" w:lastRowLastColumn="0"/>
            <w:tcW w:w="2101" w:type="dxa"/>
            <w:tcBorders>
              <w:top w:val="single" w:sz="8" w:space="0" w:color="FFFFFF" w:themeColor="background1"/>
            </w:tcBorders>
          </w:tcPr>
          <w:p w14:paraId="08CB5E4D" w14:textId="2A939EE6" w:rsidR="00AA13D1" w:rsidRPr="0042214E" w:rsidRDefault="00AA13D1" w:rsidP="00AA13D1">
            <w:pPr>
              <w:pStyle w:val="Tabletext"/>
            </w:pPr>
            <w:r w:rsidRPr="0042214E">
              <w:rPr>
                <w:b/>
                <w:color w:val="E35205" w:themeColor="accent1"/>
              </w:rPr>
              <w:t>1</w:t>
            </w:r>
            <w:r w:rsidRPr="0042214E">
              <w:rPr>
                <w:color w:val="E35205" w:themeColor="accent1"/>
              </w:rPr>
              <w:t>.</w:t>
            </w:r>
            <w:r w:rsidRPr="0042214E">
              <w:t xml:space="preserve"> Have the project options been specified clearly, including key risks, assumptions, </w:t>
            </w:r>
            <w:proofErr w:type="gramStart"/>
            <w:r w:rsidRPr="0042214E">
              <w:t>constraints</w:t>
            </w:r>
            <w:proofErr w:type="gramEnd"/>
            <w:r w:rsidRPr="0042214E">
              <w:t xml:space="preserve"> and dependencies?</w:t>
            </w:r>
          </w:p>
        </w:tc>
        <w:tc>
          <w:tcPr>
            <w:tcW w:w="2102" w:type="dxa"/>
            <w:tcBorders>
              <w:top w:val="single" w:sz="8" w:space="0" w:color="FFFFFF" w:themeColor="background1"/>
            </w:tcBorders>
          </w:tcPr>
          <w:p w14:paraId="7CED76DA" w14:textId="73226673" w:rsidR="00AA13D1" w:rsidRPr="0042214E" w:rsidRDefault="00AA13D1" w:rsidP="00AA13D1">
            <w:pPr>
              <w:pStyle w:val="Tabletext"/>
              <w:cnfStyle w:val="000000000000" w:firstRow="0" w:lastRow="0" w:firstColumn="0" w:lastColumn="0" w:oddVBand="0" w:evenVBand="0" w:oddHBand="0" w:evenHBand="0" w:firstRowFirstColumn="0" w:firstRowLastColumn="0" w:lastRowFirstColumn="0" w:lastRowLastColumn="0"/>
            </w:pPr>
            <w:r w:rsidRPr="0042214E">
              <w:rPr>
                <w:b/>
                <w:color w:val="E35205" w:themeColor="accent1"/>
              </w:rPr>
              <w:t>5</w:t>
            </w:r>
            <w:r w:rsidRPr="0042214E">
              <w:rPr>
                <w:color w:val="E35205" w:themeColor="accent1"/>
              </w:rPr>
              <w:t>.</w:t>
            </w:r>
            <w:r w:rsidRPr="0042214E">
              <w:t xml:space="preserve"> Is the solution specified clearly and fully (all business changes and assets)?</w:t>
            </w:r>
          </w:p>
        </w:tc>
        <w:tc>
          <w:tcPr>
            <w:tcW w:w="2101" w:type="dxa"/>
            <w:tcBorders>
              <w:top w:val="single" w:sz="8" w:space="0" w:color="FFFFFF" w:themeColor="background1"/>
            </w:tcBorders>
          </w:tcPr>
          <w:p w14:paraId="3CF582F4" w14:textId="2DBB23D1" w:rsidR="00AA13D1" w:rsidRPr="0042214E" w:rsidRDefault="00AA13D1" w:rsidP="00AA13D1">
            <w:pPr>
              <w:pStyle w:val="Tabletext"/>
              <w:cnfStyle w:val="000000000000" w:firstRow="0" w:lastRow="0" w:firstColumn="0" w:lastColumn="0" w:oddVBand="0" w:evenVBand="0" w:oddHBand="0" w:evenHBand="0" w:firstRowFirstColumn="0" w:firstRowLastColumn="0" w:lastRowFirstColumn="0" w:lastRowLastColumn="0"/>
            </w:pPr>
            <w:r w:rsidRPr="0042214E">
              <w:rPr>
                <w:b/>
                <w:color w:val="E35205" w:themeColor="accent1"/>
              </w:rPr>
              <w:t>9</w:t>
            </w:r>
            <w:r w:rsidRPr="0042214E">
              <w:rPr>
                <w:color w:val="E35205" w:themeColor="accent1"/>
              </w:rPr>
              <w:t>.</w:t>
            </w:r>
            <w:r w:rsidRPr="0042214E">
              <w:t xml:space="preserve"> Is the governance structure identified and is it appropriate for this investment?</w:t>
            </w:r>
          </w:p>
        </w:tc>
        <w:tc>
          <w:tcPr>
            <w:tcW w:w="2102" w:type="dxa"/>
            <w:tcBorders>
              <w:top w:val="single" w:sz="8" w:space="0" w:color="FFFFFF" w:themeColor="background1"/>
            </w:tcBorders>
          </w:tcPr>
          <w:p w14:paraId="31ADAAED" w14:textId="33272FDD" w:rsidR="00AA13D1" w:rsidRPr="0042214E" w:rsidRDefault="00AA13D1" w:rsidP="00AA13D1">
            <w:pPr>
              <w:pStyle w:val="Tabletext"/>
              <w:cnfStyle w:val="000000000000" w:firstRow="0" w:lastRow="0" w:firstColumn="0" w:lastColumn="0" w:oddVBand="0" w:evenVBand="0" w:oddHBand="0" w:evenHBand="0" w:firstRowFirstColumn="0" w:firstRowLastColumn="0" w:lastRowFirstColumn="0" w:lastRowLastColumn="0"/>
            </w:pPr>
            <w:r w:rsidRPr="0042214E">
              <w:rPr>
                <w:b/>
                <w:color w:val="E35205" w:themeColor="accent1"/>
              </w:rPr>
              <w:t>13</w:t>
            </w:r>
            <w:r w:rsidRPr="0042214E">
              <w:rPr>
                <w:color w:val="E35205" w:themeColor="accent1"/>
              </w:rPr>
              <w:t>.</w:t>
            </w:r>
            <w:r w:rsidRPr="0042214E">
              <w:t xml:space="preserve"> Has an appropriate change management strategy been provided to support benefit delivery?</w:t>
            </w:r>
          </w:p>
        </w:tc>
      </w:tr>
      <w:tr w:rsidR="00AA13D1" w:rsidRPr="0042214E" w14:paraId="6F97E5BE" w14:textId="77777777" w:rsidTr="00586BA5">
        <w:tc>
          <w:tcPr>
            <w:cnfStyle w:val="001000000000" w:firstRow="0" w:lastRow="0" w:firstColumn="1" w:lastColumn="0" w:oddVBand="0" w:evenVBand="0" w:oddHBand="0" w:evenHBand="0" w:firstRowFirstColumn="0" w:firstRowLastColumn="0" w:lastRowFirstColumn="0" w:lastRowLastColumn="0"/>
            <w:tcW w:w="2101" w:type="dxa"/>
          </w:tcPr>
          <w:p w14:paraId="3406130C" w14:textId="74622F6F" w:rsidR="00AA13D1" w:rsidRPr="0042214E" w:rsidRDefault="00AA13D1" w:rsidP="00AA13D1">
            <w:pPr>
              <w:pStyle w:val="Tabletext"/>
            </w:pPr>
            <w:r w:rsidRPr="0042214E">
              <w:rPr>
                <w:b/>
                <w:color w:val="E35205" w:themeColor="accent1"/>
              </w:rPr>
              <w:t>2</w:t>
            </w:r>
            <w:r w:rsidRPr="0042214E">
              <w:rPr>
                <w:color w:val="E35205" w:themeColor="accent1"/>
              </w:rPr>
              <w:t>.</w:t>
            </w:r>
            <w:r w:rsidRPr="0042214E">
              <w:t xml:space="preserve"> Consistent with the preferred response option, has a reasonable spread of project options been analysed?</w:t>
            </w:r>
          </w:p>
        </w:tc>
        <w:tc>
          <w:tcPr>
            <w:tcW w:w="2102" w:type="dxa"/>
          </w:tcPr>
          <w:p w14:paraId="68157B83" w14:textId="491420D4" w:rsidR="00AA13D1" w:rsidRPr="0042214E" w:rsidRDefault="00AA13D1" w:rsidP="00AA13D1">
            <w:pPr>
              <w:pStyle w:val="Tabletext"/>
              <w:cnfStyle w:val="000000000000" w:firstRow="0" w:lastRow="0" w:firstColumn="0" w:lastColumn="0" w:oddVBand="0" w:evenVBand="0" w:oddHBand="0" w:evenHBand="0" w:firstRowFirstColumn="0" w:firstRowLastColumn="0" w:lastRowFirstColumn="0" w:lastRowLastColumn="0"/>
            </w:pPr>
            <w:r w:rsidRPr="0042214E">
              <w:rPr>
                <w:b/>
                <w:color w:val="E35205" w:themeColor="accent1"/>
              </w:rPr>
              <w:t>6</w:t>
            </w:r>
            <w:r w:rsidRPr="0042214E">
              <w:rPr>
                <w:color w:val="E35205" w:themeColor="accent1"/>
              </w:rPr>
              <w:t>.</w:t>
            </w:r>
            <w:r w:rsidRPr="0042214E">
              <w:t xml:space="preserve"> Have all significant risks been identified along with strategies for their management?</w:t>
            </w:r>
          </w:p>
        </w:tc>
        <w:tc>
          <w:tcPr>
            <w:tcW w:w="2101" w:type="dxa"/>
          </w:tcPr>
          <w:p w14:paraId="1B304DB9" w14:textId="386C1067" w:rsidR="00AA13D1" w:rsidRPr="0042214E" w:rsidRDefault="00AA13D1" w:rsidP="00AA13D1">
            <w:pPr>
              <w:pStyle w:val="Tabletext"/>
              <w:cnfStyle w:val="000000000000" w:firstRow="0" w:lastRow="0" w:firstColumn="0" w:lastColumn="0" w:oddVBand="0" w:evenVBand="0" w:oddHBand="0" w:evenHBand="0" w:firstRowFirstColumn="0" w:firstRowLastColumn="0" w:lastRowFirstColumn="0" w:lastRowLastColumn="0"/>
            </w:pPr>
            <w:r w:rsidRPr="0042214E">
              <w:rPr>
                <w:b/>
                <w:color w:val="E35205" w:themeColor="accent1"/>
              </w:rPr>
              <w:t>10</w:t>
            </w:r>
            <w:r w:rsidRPr="0042214E">
              <w:rPr>
                <w:color w:val="E35205" w:themeColor="accent1"/>
              </w:rPr>
              <w:t>.</w:t>
            </w:r>
            <w:r w:rsidRPr="0042214E">
              <w:t xml:space="preserve"> Is there evidence that the implementing organisation has the capability and capacity to mobilise and deliver this investment?</w:t>
            </w:r>
          </w:p>
        </w:tc>
        <w:tc>
          <w:tcPr>
            <w:tcW w:w="2102" w:type="dxa"/>
          </w:tcPr>
          <w:p w14:paraId="272272B9" w14:textId="2832B4CF" w:rsidR="00AA13D1" w:rsidRPr="0042214E" w:rsidRDefault="00AA13D1" w:rsidP="00AA13D1">
            <w:pPr>
              <w:pStyle w:val="Tabletext"/>
              <w:cnfStyle w:val="000000000000" w:firstRow="0" w:lastRow="0" w:firstColumn="0" w:lastColumn="0" w:oddVBand="0" w:evenVBand="0" w:oddHBand="0" w:evenHBand="0" w:firstRowFirstColumn="0" w:firstRowLastColumn="0" w:lastRowFirstColumn="0" w:lastRowLastColumn="0"/>
            </w:pPr>
            <w:r w:rsidRPr="0042214E">
              <w:rPr>
                <w:b/>
                <w:color w:val="E35205" w:themeColor="accent1"/>
              </w:rPr>
              <w:t>14</w:t>
            </w:r>
            <w:r w:rsidRPr="0042214E">
              <w:rPr>
                <w:color w:val="E35205" w:themeColor="accent1"/>
              </w:rPr>
              <w:t>.</w:t>
            </w:r>
            <w:r w:rsidRPr="0042214E">
              <w:t xml:space="preserve"> Are the proposed timelines and investment milestones reasonable?</w:t>
            </w:r>
          </w:p>
        </w:tc>
      </w:tr>
      <w:tr w:rsidR="00AA13D1" w:rsidRPr="0042214E" w14:paraId="641F1169" w14:textId="77777777" w:rsidTr="00586BA5">
        <w:tc>
          <w:tcPr>
            <w:cnfStyle w:val="001000000000" w:firstRow="0" w:lastRow="0" w:firstColumn="1" w:lastColumn="0" w:oddVBand="0" w:evenVBand="0" w:oddHBand="0" w:evenHBand="0" w:firstRowFirstColumn="0" w:firstRowLastColumn="0" w:lastRowFirstColumn="0" w:lastRowLastColumn="0"/>
            <w:tcW w:w="2101" w:type="dxa"/>
          </w:tcPr>
          <w:p w14:paraId="31558F41" w14:textId="47D727CA" w:rsidR="00AA13D1" w:rsidRPr="0042214E" w:rsidRDefault="00AA13D1" w:rsidP="00AA13D1">
            <w:pPr>
              <w:pStyle w:val="Tabletext"/>
            </w:pPr>
            <w:r w:rsidRPr="0042214E">
              <w:rPr>
                <w:b/>
                <w:color w:val="E35205" w:themeColor="accent1"/>
              </w:rPr>
              <w:t>3</w:t>
            </w:r>
            <w:r w:rsidRPr="0042214E">
              <w:rPr>
                <w:color w:val="E35205" w:themeColor="accent1"/>
              </w:rPr>
              <w:t>.</w:t>
            </w:r>
            <w:r w:rsidRPr="0042214E">
              <w:t xml:space="preserve"> Is the recommended project solution the best value for money way to respond to the problem and deliver the expected benefits?</w:t>
            </w:r>
          </w:p>
        </w:tc>
        <w:tc>
          <w:tcPr>
            <w:tcW w:w="2102" w:type="dxa"/>
          </w:tcPr>
          <w:p w14:paraId="3A657360" w14:textId="36889B9B" w:rsidR="00AA13D1" w:rsidRPr="0042214E" w:rsidRDefault="00AA13D1" w:rsidP="00AA13D1">
            <w:pPr>
              <w:pStyle w:val="Tabletext"/>
              <w:cnfStyle w:val="000000000000" w:firstRow="0" w:lastRow="0" w:firstColumn="0" w:lastColumn="0" w:oddVBand="0" w:evenVBand="0" w:oddHBand="0" w:evenHBand="0" w:firstRowFirstColumn="0" w:firstRowLastColumn="0" w:lastRowFirstColumn="0" w:lastRowLastColumn="0"/>
            </w:pPr>
            <w:r w:rsidRPr="0042214E">
              <w:rPr>
                <w:b/>
                <w:color w:val="E35205" w:themeColor="accent1"/>
              </w:rPr>
              <w:t>7</w:t>
            </w:r>
            <w:r w:rsidRPr="0042214E">
              <w:rPr>
                <w:color w:val="E35205" w:themeColor="accent1"/>
              </w:rPr>
              <w:t>.</w:t>
            </w:r>
            <w:r w:rsidRPr="0042214E">
              <w:rPr>
                <w:color w:val="000000"/>
              </w:rPr>
              <w:t xml:space="preserve"> </w:t>
            </w:r>
            <w:r w:rsidRPr="0042214E">
              <w:t>Has the project solution been appropriately costed (including risk adjustment)?</w:t>
            </w:r>
          </w:p>
        </w:tc>
        <w:tc>
          <w:tcPr>
            <w:tcW w:w="2101" w:type="dxa"/>
          </w:tcPr>
          <w:p w14:paraId="6107FDA5" w14:textId="23739D6B" w:rsidR="00AA13D1" w:rsidRPr="0042214E" w:rsidRDefault="00AA13D1" w:rsidP="00AA13D1">
            <w:pPr>
              <w:pStyle w:val="Tabletext"/>
              <w:cnfStyle w:val="000000000000" w:firstRow="0" w:lastRow="0" w:firstColumn="0" w:lastColumn="0" w:oddVBand="0" w:evenVBand="0" w:oddHBand="0" w:evenHBand="0" w:firstRowFirstColumn="0" w:firstRowLastColumn="0" w:lastRowFirstColumn="0" w:lastRowLastColumn="0"/>
            </w:pPr>
            <w:r w:rsidRPr="0042214E">
              <w:rPr>
                <w:b/>
                <w:color w:val="E35205" w:themeColor="accent1"/>
              </w:rPr>
              <w:t>11</w:t>
            </w:r>
            <w:r w:rsidRPr="0042214E">
              <w:rPr>
                <w:color w:val="E35205" w:themeColor="accent1"/>
              </w:rPr>
              <w:t>.</w:t>
            </w:r>
            <w:r w:rsidRPr="0042214E">
              <w:rPr>
                <w:color w:val="000000"/>
              </w:rPr>
              <w:t xml:space="preserve"> </w:t>
            </w:r>
            <w:r w:rsidRPr="0042214E">
              <w:t xml:space="preserve">Have relevant </w:t>
            </w:r>
            <w:r w:rsidRPr="00EF642B">
              <w:t xml:space="preserve">stakeholders </w:t>
            </w:r>
            <w:r w:rsidR="00293688" w:rsidRPr="00EF642B">
              <w:t>(</w:t>
            </w:r>
            <w:r w:rsidR="00A0768B" w:rsidRPr="00EF642B">
              <w:t>including regulators</w:t>
            </w:r>
            <w:r w:rsidR="00293688" w:rsidRPr="00EF642B">
              <w:t>)</w:t>
            </w:r>
            <w:r w:rsidR="00A0768B" w:rsidRPr="00EF642B">
              <w:t xml:space="preserve"> </w:t>
            </w:r>
            <w:r w:rsidRPr="00EF642B">
              <w:t>been identified along with</w:t>
            </w:r>
            <w:r w:rsidRPr="0042214E">
              <w:t xml:space="preserve"> strategies to manage their engagement?</w:t>
            </w:r>
          </w:p>
        </w:tc>
        <w:tc>
          <w:tcPr>
            <w:tcW w:w="2102" w:type="dxa"/>
          </w:tcPr>
          <w:p w14:paraId="0A9A7FA2" w14:textId="0D5F76EC" w:rsidR="00AA13D1" w:rsidRPr="0042214E" w:rsidRDefault="00AA13D1" w:rsidP="00AA13D1">
            <w:pPr>
              <w:pStyle w:val="Tabletext"/>
              <w:cnfStyle w:val="000000000000" w:firstRow="0" w:lastRow="0" w:firstColumn="0" w:lastColumn="0" w:oddVBand="0" w:evenVBand="0" w:oddHBand="0" w:evenHBand="0" w:firstRowFirstColumn="0" w:firstRowLastColumn="0" w:lastRowFirstColumn="0" w:lastRowLastColumn="0"/>
            </w:pPr>
            <w:r w:rsidRPr="0042214E">
              <w:rPr>
                <w:b/>
                <w:color w:val="E35205" w:themeColor="accent1"/>
              </w:rPr>
              <w:t>15</w:t>
            </w:r>
            <w:r w:rsidRPr="0042214E">
              <w:rPr>
                <w:color w:val="E35205" w:themeColor="accent1"/>
              </w:rPr>
              <w:t>.</w:t>
            </w:r>
            <w:r w:rsidRPr="0042214E">
              <w:t xml:space="preserve"> Has an appropriate benefits management strategy been outlined?</w:t>
            </w:r>
          </w:p>
        </w:tc>
      </w:tr>
      <w:tr w:rsidR="00AA13D1" w:rsidRPr="0042214E" w14:paraId="334B1D85" w14:textId="77777777" w:rsidTr="00586BA5">
        <w:tc>
          <w:tcPr>
            <w:cnfStyle w:val="001000000000" w:firstRow="0" w:lastRow="0" w:firstColumn="1" w:lastColumn="0" w:oddVBand="0" w:evenVBand="0" w:oddHBand="0" w:evenHBand="0" w:firstRowFirstColumn="0" w:firstRowLastColumn="0" w:lastRowFirstColumn="0" w:lastRowLastColumn="0"/>
            <w:tcW w:w="2101" w:type="dxa"/>
          </w:tcPr>
          <w:p w14:paraId="16EBE5C1" w14:textId="22FD3276" w:rsidR="00AA13D1" w:rsidRPr="0042214E" w:rsidRDefault="00AA13D1" w:rsidP="00AA13D1">
            <w:pPr>
              <w:pStyle w:val="Tabletext"/>
            </w:pPr>
            <w:r w:rsidRPr="0042214E">
              <w:rPr>
                <w:b/>
                <w:color w:val="E35205" w:themeColor="accent1"/>
              </w:rPr>
              <w:t>4</w:t>
            </w:r>
            <w:r w:rsidRPr="0042214E">
              <w:rPr>
                <w:color w:val="E35205" w:themeColor="accent1"/>
              </w:rPr>
              <w:t>.</w:t>
            </w:r>
            <w:r w:rsidRPr="0042214E">
              <w:t xml:space="preserve"> Is the procurement strategy the most appropriate for this investment and attractive to the market?</w:t>
            </w:r>
          </w:p>
        </w:tc>
        <w:tc>
          <w:tcPr>
            <w:tcW w:w="2102" w:type="dxa"/>
          </w:tcPr>
          <w:p w14:paraId="72D9D335" w14:textId="3122E711" w:rsidR="00AA13D1" w:rsidRPr="0042214E" w:rsidRDefault="00AA13D1" w:rsidP="00AA13D1">
            <w:pPr>
              <w:pStyle w:val="Tabletext"/>
              <w:cnfStyle w:val="000000000000" w:firstRow="0" w:lastRow="0" w:firstColumn="0" w:lastColumn="0" w:oddVBand="0" w:evenVBand="0" w:oddHBand="0" w:evenHBand="0" w:firstRowFirstColumn="0" w:firstRowLastColumn="0" w:lastRowFirstColumn="0" w:lastRowLastColumn="0"/>
            </w:pPr>
            <w:r w:rsidRPr="0042214E">
              <w:rPr>
                <w:b/>
                <w:color w:val="E35205" w:themeColor="accent1"/>
              </w:rPr>
              <w:t>8</w:t>
            </w:r>
            <w:r w:rsidRPr="0042214E">
              <w:rPr>
                <w:color w:val="E35205" w:themeColor="accent1"/>
              </w:rPr>
              <w:t>.</w:t>
            </w:r>
            <w:r w:rsidRPr="0042214E">
              <w:t xml:space="preserve"> Have alternative sources of funding been considered?</w:t>
            </w:r>
          </w:p>
        </w:tc>
        <w:tc>
          <w:tcPr>
            <w:tcW w:w="2101" w:type="dxa"/>
          </w:tcPr>
          <w:p w14:paraId="29889E01" w14:textId="68C1EEE2" w:rsidR="00AA13D1" w:rsidRPr="0042214E" w:rsidRDefault="00AA13D1" w:rsidP="00AA13D1">
            <w:pPr>
              <w:pStyle w:val="Tabletext"/>
              <w:cnfStyle w:val="000000000000" w:firstRow="0" w:lastRow="0" w:firstColumn="0" w:lastColumn="0" w:oddVBand="0" w:evenVBand="0" w:oddHBand="0" w:evenHBand="0" w:firstRowFirstColumn="0" w:firstRowLastColumn="0" w:lastRowFirstColumn="0" w:lastRowLastColumn="0"/>
            </w:pPr>
            <w:r w:rsidRPr="0042214E">
              <w:rPr>
                <w:b/>
                <w:color w:val="E35205" w:themeColor="accent1"/>
              </w:rPr>
              <w:t>12</w:t>
            </w:r>
            <w:r w:rsidRPr="0042214E">
              <w:rPr>
                <w:color w:val="E35205" w:themeColor="accent1"/>
              </w:rPr>
              <w:t>.</w:t>
            </w:r>
            <w:r w:rsidRPr="0042214E">
              <w:t xml:space="preserve"> Has a robust project management strategy been outlined?</w:t>
            </w:r>
          </w:p>
        </w:tc>
        <w:tc>
          <w:tcPr>
            <w:tcW w:w="2102" w:type="dxa"/>
          </w:tcPr>
          <w:p w14:paraId="792248AD" w14:textId="6E71CCFD" w:rsidR="00AA13D1" w:rsidRPr="0042214E" w:rsidRDefault="00AA13D1" w:rsidP="00AA13D1">
            <w:pPr>
              <w:pStyle w:val="Tabletext"/>
              <w:cnfStyle w:val="000000000000" w:firstRow="0" w:lastRow="0" w:firstColumn="0" w:lastColumn="0" w:oddVBand="0" w:evenVBand="0" w:oddHBand="0" w:evenHBand="0" w:firstRowFirstColumn="0" w:firstRowLastColumn="0" w:lastRowFirstColumn="0" w:lastRowLastColumn="0"/>
            </w:pPr>
            <w:r w:rsidRPr="0042214E">
              <w:rPr>
                <w:b/>
                <w:color w:val="E35205" w:themeColor="accent1"/>
              </w:rPr>
              <w:t>16</w:t>
            </w:r>
            <w:r w:rsidRPr="0042214E">
              <w:rPr>
                <w:color w:val="E35205" w:themeColor="accent1"/>
              </w:rPr>
              <w:t>.</w:t>
            </w:r>
            <w:r w:rsidRPr="0042214E">
              <w:t xml:space="preserve"> Has the transition from construction to operation been adequately considered?</w:t>
            </w:r>
          </w:p>
        </w:tc>
      </w:tr>
    </w:tbl>
    <w:p w14:paraId="72F7A314" w14:textId="77777777" w:rsidR="00A65213" w:rsidRPr="0042214E" w:rsidRDefault="00A65213" w:rsidP="00AA13D1">
      <w:pPr>
        <w:pStyle w:val="Spacer"/>
      </w:pPr>
    </w:p>
    <w:p w14:paraId="1D27EC9C" w14:textId="06FC679A" w:rsidR="00927267" w:rsidRPr="0042214E" w:rsidRDefault="00927267" w:rsidP="005E1934">
      <w:pPr>
        <w:pStyle w:val="Heading2numbered"/>
      </w:pPr>
      <w:bookmarkStart w:id="159" w:name="_Toc121415324"/>
      <w:r w:rsidRPr="0042214E">
        <w:t>How long</w:t>
      </w:r>
      <w:r w:rsidR="00034452" w:rsidRPr="0042214E">
        <w:noBreakHyphen/>
      </w:r>
      <w:r w:rsidRPr="0042214E">
        <w:t>term planning relates to this stage</w:t>
      </w:r>
      <w:bookmarkEnd w:id="159"/>
    </w:p>
    <w:p w14:paraId="1FACE61B" w14:textId="3B425631" w:rsidR="00927267" w:rsidRPr="0042214E" w:rsidRDefault="00927267" w:rsidP="006B713F">
      <w:pPr>
        <w:pStyle w:val="NormalIndent"/>
      </w:pPr>
      <w:r w:rsidRPr="0042214E">
        <w:t xml:space="preserve">During the </w:t>
      </w:r>
      <w:r w:rsidR="00C81D78" w:rsidRPr="0042214E">
        <w:t xml:space="preserve">delivery </w:t>
      </w:r>
      <w:r w:rsidRPr="0042214E">
        <w:t>case stage, agencies are asked to confirm that an identified need for an investment aligns with the agency’s long</w:t>
      </w:r>
      <w:r w:rsidR="00034452" w:rsidRPr="0042214E">
        <w:noBreakHyphen/>
      </w:r>
      <w:r w:rsidRPr="0042214E">
        <w:t xml:space="preserve">term service planning to meet future service demands as well as its asset management objectives. The investment proposal should be part of a cohesive strategic response to a service delivery challenge. Asset initiatives should be included in the asset management strategy for the department’s entire asset base. It should identify and coordinate implementation with dependencies of other investment initiatives. </w:t>
      </w:r>
    </w:p>
    <w:p w14:paraId="47044D95" w14:textId="333C1B5A" w:rsidR="00927267" w:rsidRDefault="00927267" w:rsidP="006B713F">
      <w:pPr>
        <w:pStyle w:val="NormalIndent"/>
      </w:pPr>
      <w:r w:rsidRPr="0042214E">
        <w:t>For more information about asset planning</w:t>
      </w:r>
      <w:r w:rsidR="001F6CB7" w:rsidRPr="0042214E">
        <w:t>,</w:t>
      </w:r>
      <w:r w:rsidRPr="0042214E">
        <w:t xml:space="preserve"> refer to the Asset Management Accountability Framework available </w:t>
      </w:r>
      <w:r w:rsidR="00E16094" w:rsidRPr="0042214E">
        <w:t xml:space="preserve">at </w:t>
      </w:r>
      <w:hyperlink r:id="rId48" w:history="1">
        <w:r w:rsidR="00104E20">
          <w:rPr>
            <w:rStyle w:val="Hyperlink"/>
          </w:rPr>
          <w:t>https://www.dtf.vic.gov.au/infrastructure</w:t>
        </w:r>
        <w:r w:rsidR="00104E20">
          <w:rPr>
            <w:rStyle w:val="Hyperlink"/>
          </w:rPr>
          <w:noBreakHyphen/>
          <w:t>investment/ asset</w:t>
        </w:r>
        <w:r w:rsidR="00104E20">
          <w:rPr>
            <w:rStyle w:val="Hyperlink"/>
          </w:rPr>
          <w:noBreakHyphen/>
          <w:t>management</w:t>
        </w:r>
        <w:r w:rsidR="00104E20">
          <w:rPr>
            <w:rStyle w:val="Hyperlink"/>
          </w:rPr>
          <w:noBreakHyphen/>
          <w:t>accountability</w:t>
        </w:r>
        <w:r w:rsidR="00104E20">
          <w:rPr>
            <w:rStyle w:val="Hyperlink"/>
          </w:rPr>
          <w:noBreakHyphen/>
          <w:t>framework</w:t>
        </w:r>
      </w:hyperlink>
    </w:p>
    <w:p w14:paraId="35EEA952" w14:textId="71148B36" w:rsidR="003D68EE" w:rsidRPr="0042214E" w:rsidRDefault="003D68EE" w:rsidP="00104E20">
      <w:pPr>
        <w:pStyle w:val="Heading2numbered"/>
        <w:pageBreakBefore/>
      </w:pPr>
      <w:bookmarkStart w:id="160" w:name="_Toc121415325"/>
      <w:r w:rsidRPr="0042214E">
        <w:lastRenderedPageBreak/>
        <w:t>Supporting material for the delivery case</w:t>
      </w:r>
      <w:bookmarkEnd w:id="160"/>
    </w:p>
    <w:p w14:paraId="6B4AF2BD" w14:textId="2FEA5B05" w:rsidR="000B15A3" w:rsidRPr="0042214E" w:rsidRDefault="000B15A3" w:rsidP="006B713F">
      <w:pPr>
        <w:pStyle w:val="NormalIndent"/>
      </w:pPr>
      <w:r w:rsidRPr="0042214E">
        <w:t>The underlying framework of the delivery case will be submitted together with the following documents:</w:t>
      </w:r>
      <w:r w:rsidR="00D40010" w:rsidRPr="0042214E">
        <w:t xml:space="preserve"> </w:t>
      </w:r>
    </w:p>
    <w:p w14:paraId="19D13455" w14:textId="79F4ABD5" w:rsidR="003D68EE" w:rsidRPr="0042214E" w:rsidRDefault="001F6CB7" w:rsidP="00AA13D1">
      <w:pPr>
        <w:pStyle w:val="Bulletindent"/>
      </w:pPr>
      <w:r w:rsidRPr="0042214E">
        <w:t xml:space="preserve">procurement </w:t>
      </w:r>
      <w:proofErr w:type="gramStart"/>
      <w:r w:rsidR="003D68EE" w:rsidRPr="0042214E">
        <w:t>strategy</w:t>
      </w:r>
      <w:r w:rsidR="000B15A3" w:rsidRPr="0042214E">
        <w:t>;</w:t>
      </w:r>
      <w:proofErr w:type="gramEnd"/>
    </w:p>
    <w:p w14:paraId="702161B0" w14:textId="7DB5FE83" w:rsidR="00281489" w:rsidRPr="0042214E" w:rsidRDefault="001F6CB7" w:rsidP="00AA13D1">
      <w:pPr>
        <w:pStyle w:val="Bulletindent"/>
      </w:pPr>
      <w:r w:rsidRPr="0042214E">
        <w:t xml:space="preserve">risk </w:t>
      </w:r>
      <w:r w:rsidR="003D68EE" w:rsidRPr="0042214E">
        <w:t>register</w:t>
      </w:r>
      <w:r w:rsidR="000B15A3" w:rsidRPr="0042214E">
        <w:t xml:space="preserve"> (note this is a live document and should be refreshed at regular intervals</w:t>
      </w:r>
      <w:proofErr w:type="gramStart"/>
      <w:r w:rsidR="000B15A3" w:rsidRPr="0042214E">
        <w:t>);</w:t>
      </w:r>
      <w:proofErr w:type="gramEnd"/>
    </w:p>
    <w:p w14:paraId="2AF48E42" w14:textId="514FF630" w:rsidR="00D95AEA" w:rsidRPr="0042214E" w:rsidRDefault="001F6CB7" w:rsidP="00AA13D1">
      <w:pPr>
        <w:pStyle w:val="Bulletindent"/>
      </w:pPr>
      <w:r w:rsidRPr="0042214E">
        <w:t xml:space="preserve">detailed </w:t>
      </w:r>
      <w:r w:rsidR="00D95AEA" w:rsidRPr="0042214E">
        <w:t xml:space="preserve">project </w:t>
      </w:r>
      <w:proofErr w:type="gramStart"/>
      <w:r w:rsidR="00D95AEA" w:rsidRPr="0042214E">
        <w:t>schedule</w:t>
      </w:r>
      <w:r w:rsidR="000B15A3" w:rsidRPr="0042214E">
        <w:t>;</w:t>
      </w:r>
      <w:proofErr w:type="gramEnd"/>
      <w:r w:rsidR="000B15A3" w:rsidRPr="0042214E">
        <w:t xml:space="preserve"> </w:t>
      </w:r>
    </w:p>
    <w:p w14:paraId="3D9584A1" w14:textId="7B49F553" w:rsidR="003D68EE" w:rsidRPr="0042214E" w:rsidRDefault="00766391" w:rsidP="00AA13D1">
      <w:pPr>
        <w:pStyle w:val="Bulletindent"/>
      </w:pPr>
      <w:r w:rsidRPr="0042214E">
        <w:t xml:space="preserve">detailed </w:t>
      </w:r>
      <w:r w:rsidR="00D95AEA" w:rsidRPr="0042214E">
        <w:t xml:space="preserve">costings (an independent cost review may be required for some HVHR projects); </w:t>
      </w:r>
      <w:r w:rsidR="000B15A3" w:rsidRPr="0042214E">
        <w:t>and</w:t>
      </w:r>
    </w:p>
    <w:p w14:paraId="6048E50D" w14:textId="39438379" w:rsidR="00927267" w:rsidRPr="0042214E" w:rsidRDefault="00766391" w:rsidP="00AA13D1">
      <w:pPr>
        <w:pStyle w:val="Bulletindent"/>
      </w:pPr>
      <w:r w:rsidRPr="0042214E">
        <w:t>red</w:t>
      </w:r>
      <w:r w:rsidR="00FB373D">
        <w:t>-</w:t>
      </w:r>
      <w:r w:rsidR="003D68EE" w:rsidRPr="0042214E">
        <w:t xml:space="preserve">rated Gateway recommendations in the </w:t>
      </w:r>
      <w:r w:rsidR="00FB373D" w:rsidRPr="0042214E">
        <w:t>recommendation action plan</w:t>
      </w:r>
      <w:r w:rsidR="000B15A3" w:rsidRPr="0042214E">
        <w:t>.</w:t>
      </w:r>
    </w:p>
    <w:p w14:paraId="42965E90" w14:textId="77777777" w:rsidR="00927267" w:rsidRPr="0042214E" w:rsidRDefault="00927267" w:rsidP="005E1934">
      <w:pPr>
        <w:pStyle w:val="Heading3numbered"/>
      </w:pPr>
      <w:bookmarkStart w:id="161" w:name="_Toc121415326"/>
      <w:r w:rsidRPr="0042214E">
        <w:t>Carrying out research in the delivery case stage</w:t>
      </w:r>
      <w:bookmarkEnd w:id="161"/>
    </w:p>
    <w:p w14:paraId="1DB69880" w14:textId="77777777" w:rsidR="00927267" w:rsidRPr="0042214E" w:rsidRDefault="00927267" w:rsidP="006B713F">
      <w:pPr>
        <w:pStyle w:val="NormalIndent"/>
      </w:pPr>
      <w:r w:rsidRPr="0042214E">
        <w:t xml:space="preserve">Central to initiating a new investment is carrying out research, which may have been partially addressed in agency planning processes and in the investment case stage. This research will provide an evidence base for this delivery case. This includes analysing the: </w:t>
      </w:r>
    </w:p>
    <w:p w14:paraId="01052658" w14:textId="7A485BDE" w:rsidR="00927267" w:rsidRPr="0042214E" w:rsidRDefault="00927267" w:rsidP="00AA13D1">
      <w:pPr>
        <w:pStyle w:val="Bulletindent"/>
      </w:pPr>
      <w:r w:rsidRPr="0042214E">
        <w:t>current market environment (</w:t>
      </w:r>
      <w:r w:rsidR="00825CA5" w:rsidRPr="0042214E">
        <w:t>e.g.,</w:t>
      </w:r>
      <w:r w:rsidRPr="0042214E">
        <w:t xml:space="preserve"> cause of the market failure, employment levels</w:t>
      </w:r>
      <w:proofErr w:type="gramStart"/>
      <w:r w:rsidRPr="0042214E">
        <w:t>);</w:t>
      </w:r>
      <w:proofErr w:type="gramEnd"/>
    </w:p>
    <w:p w14:paraId="3D9CA827" w14:textId="77777777" w:rsidR="00927267" w:rsidRPr="0042214E" w:rsidRDefault="00927267" w:rsidP="00AA13D1">
      <w:pPr>
        <w:pStyle w:val="Bulletindent"/>
      </w:pPr>
      <w:r w:rsidRPr="0042214E">
        <w:t xml:space="preserve">impacts on </w:t>
      </w:r>
      <w:proofErr w:type="gramStart"/>
      <w:r w:rsidRPr="0042214E">
        <w:t>stakeholders;</w:t>
      </w:r>
      <w:proofErr w:type="gramEnd"/>
    </w:p>
    <w:p w14:paraId="3DEBC420" w14:textId="77777777" w:rsidR="00927267" w:rsidRPr="0042214E" w:rsidRDefault="00927267" w:rsidP="00AA13D1">
      <w:pPr>
        <w:pStyle w:val="Bulletindent"/>
      </w:pPr>
      <w:r w:rsidRPr="0042214E">
        <w:t xml:space="preserve">current and projected trends and published forecasts and </w:t>
      </w:r>
      <w:proofErr w:type="gramStart"/>
      <w:r w:rsidRPr="0042214E">
        <w:t>modelling;</w:t>
      </w:r>
      <w:proofErr w:type="gramEnd"/>
      <w:r w:rsidRPr="0042214E">
        <w:t xml:space="preserve"> </w:t>
      </w:r>
    </w:p>
    <w:p w14:paraId="18CFCA68" w14:textId="77777777" w:rsidR="00927267" w:rsidRPr="0042214E" w:rsidRDefault="00927267" w:rsidP="00AA13D1">
      <w:pPr>
        <w:pStyle w:val="Bulletindent"/>
      </w:pPr>
      <w:r w:rsidRPr="0042214E">
        <w:t xml:space="preserve">technological </w:t>
      </w:r>
      <w:proofErr w:type="gramStart"/>
      <w:r w:rsidRPr="0042214E">
        <w:t>developments;</w:t>
      </w:r>
      <w:proofErr w:type="gramEnd"/>
      <w:r w:rsidRPr="0042214E">
        <w:t xml:space="preserve"> </w:t>
      </w:r>
    </w:p>
    <w:p w14:paraId="7694B5E5" w14:textId="77777777" w:rsidR="00927267" w:rsidRPr="0042214E" w:rsidRDefault="00927267" w:rsidP="00AA13D1">
      <w:pPr>
        <w:pStyle w:val="Bulletindent"/>
      </w:pPr>
      <w:r w:rsidRPr="0042214E">
        <w:t xml:space="preserve">market </w:t>
      </w:r>
      <w:proofErr w:type="gramStart"/>
      <w:r w:rsidRPr="0042214E">
        <w:t>sounding;</w:t>
      </w:r>
      <w:proofErr w:type="gramEnd"/>
      <w:r w:rsidRPr="0042214E">
        <w:t xml:space="preserve"> </w:t>
      </w:r>
    </w:p>
    <w:p w14:paraId="42130249" w14:textId="77777777" w:rsidR="00927267" w:rsidRPr="0042214E" w:rsidRDefault="00927267" w:rsidP="00AA13D1">
      <w:pPr>
        <w:pStyle w:val="Bulletindent"/>
      </w:pPr>
      <w:r w:rsidRPr="0042214E">
        <w:t>appropriate governance and procurement options available; and</w:t>
      </w:r>
    </w:p>
    <w:p w14:paraId="6E4B7A2A" w14:textId="77777777" w:rsidR="00927267" w:rsidRPr="0042214E" w:rsidRDefault="00927267" w:rsidP="00AA13D1">
      <w:pPr>
        <w:pStyle w:val="Bulletindent"/>
      </w:pPr>
      <w:r w:rsidRPr="0042214E">
        <w:t xml:space="preserve">research of similar projects including those from interstate or overseas, to obtain lessons learned. </w:t>
      </w:r>
    </w:p>
    <w:p w14:paraId="609AA0AE" w14:textId="77777777" w:rsidR="00927267" w:rsidRPr="0042214E" w:rsidRDefault="00927267" w:rsidP="005E1934">
      <w:pPr>
        <w:pStyle w:val="Heading3numbered"/>
      </w:pPr>
      <w:bookmarkStart w:id="162" w:name="_Toc121415327"/>
      <w:r w:rsidRPr="0042214E">
        <w:t>Choosing stakeholders to help build the delivery case</w:t>
      </w:r>
      <w:bookmarkEnd w:id="162"/>
    </w:p>
    <w:p w14:paraId="27132421" w14:textId="0885B4D8" w:rsidR="00927267" w:rsidRPr="0042214E" w:rsidRDefault="00927267" w:rsidP="006B713F">
      <w:pPr>
        <w:pStyle w:val="NormalIndent"/>
      </w:pPr>
      <w:r w:rsidRPr="0042214E">
        <w:t xml:space="preserve">Agencies should consider which stakeholders are best placed to assist them in developing the business case. The role of stakeholders here should relate to the amount of influence and importance that they may have in shaping and driving the success of the proposal. They should represent a range of portfolios to contribute a broad range of perspectives to the proposal. </w:t>
      </w:r>
      <w:proofErr w:type="gramStart"/>
      <w:r w:rsidRPr="0042214E">
        <w:t xml:space="preserve">In particular, </w:t>
      </w:r>
      <w:r w:rsidRPr="0042214E">
        <w:rPr>
          <w:b/>
          <w:color w:val="E57200" w:themeColor="accent2"/>
        </w:rPr>
        <w:t>for</w:t>
      </w:r>
      <w:proofErr w:type="gramEnd"/>
      <w:r w:rsidRPr="0042214E">
        <w:rPr>
          <w:b/>
          <w:color w:val="E57200" w:themeColor="accent2"/>
        </w:rPr>
        <w:t xml:space="preserve"> HVHR projects, central agencies should be engaged early to provide a whole of government view</w:t>
      </w:r>
      <w:r w:rsidRPr="0042214E">
        <w:t>. In some cases</w:t>
      </w:r>
      <w:r w:rsidR="007A1EEA" w:rsidRPr="0042214E">
        <w:t>,</w:t>
      </w:r>
      <w:r w:rsidRPr="0042214E">
        <w:t xml:space="preserve"> it may be appropriate to involve industry stakeholders. Without the right stakeholders involved in the business case development process, </w:t>
      </w:r>
      <w:r w:rsidR="00E01E22" w:rsidRPr="0042214E">
        <w:t>the</w:t>
      </w:r>
      <w:r w:rsidRPr="0042214E">
        <w:t xml:space="preserve"> full business case may not provide clarity on the appropriateness of all key elements of the business case. </w:t>
      </w:r>
    </w:p>
    <w:p w14:paraId="245DD590" w14:textId="2AFE4FD1" w:rsidR="00927267" w:rsidRPr="0042214E" w:rsidRDefault="00927267" w:rsidP="006B713F">
      <w:pPr>
        <w:pStyle w:val="NormalIndent"/>
        <w:rPr>
          <w:rStyle w:val="Emphasis"/>
        </w:rPr>
      </w:pPr>
      <w:r w:rsidRPr="0042214E">
        <w:rPr>
          <w:rStyle w:val="Emphasis"/>
        </w:rPr>
        <w:t xml:space="preserve">Care needs to be taken, </w:t>
      </w:r>
      <w:proofErr w:type="gramStart"/>
      <w:r w:rsidRPr="0042214E">
        <w:rPr>
          <w:rStyle w:val="Emphasis"/>
        </w:rPr>
        <w:t>in particular with</w:t>
      </w:r>
      <w:proofErr w:type="gramEnd"/>
      <w:r w:rsidRPr="0042214E">
        <w:rPr>
          <w:rStyle w:val="Emphasis"/>
        </w:rPr>
        <w:t xml:space="preserve"> external stakeholders, not to indicate any aspect of government commitment, until </w:t>
      </w:r>
      <w:r w:rsidR="00AE6BA6" w:rsidRPr="0042214E">
        <w:rPr>
          <w:rStyle w:val="Emphasis"/>
        </w:rPr>
        <w:t>G</w:t>
      </w:r>
      <w:r w:rsidRPr="0042214E">
        <w:rPr>
          <w:rStyle w:val="Emphasis"/>
        </w:rPr>
        <w:t>overnment has made a clear decision on proposals.</w:t>
      </w:r>
    </w:p>
    <w:p w14:paraId="3ED6CB68" w14:textId="041FDBFE" w:rsidR="00927267" w:rsidRPr="0042214E" w:rsidRDefault="007A1EEA" w:rsidP="006B713F">
      <w:pPr>
        <w:pStyle w:val="NormalIndent"/>
      </w:pPr>
      <w:r w:rsidRPr="00FB373D">
        <w:rPr>
          <w:color w:val="000000" w:themeColor="text1"/>
        </w:rPr>
        <w:t>T</w:t>
      </w:r>
      <w:r w:rsidR="00927267" w:rsidRPr="00FB373D">
        <w:rPr>
          <w:color w:val="000000" w:themeColor="text1"/>
        </w:rPr>
        <w:t xml:space="preserve">he </w:t>
      </w:r>
      <w:r w:rsidRPr="00922978">
        <w:rPr>
          <w:b/>
          <w:color w:val="E57200" w:themeColor="accent2"/>
        </w:rPr>
        <w:t xml:space="preserve">Project </w:t>
      </w:r>
      <w:r w:rsidR="00927267" w:rsidRPr="00922978">
        <w:rPr>
          <w:b/>
          <w:color w:val="E57200" w:themeColor="accent2"/>
        </w:rPr>
        <w:t>Governance</w:t>
      </w:r>
      <w:r w:rsidR="00927267" w:rsidRPr="00922978">
        <w:rPr>
          <w:color w:val="E57200" w:themeColor="accent2"/>
        </w:rPr>
        <w:t xml:space="preserve"> </w:t>
      </w:r>
      <w:r w:rsidR="00927267" w:rsidRPr="00FB373D">
        <w:rPr>
          <w:color w:val="000000" w:themeColor="text1"/>
        </w:rPr>
        <w:t xml:space="preserve">technical </w:t>
      </w:r>
      <w:r w:rsidR="00927267" w:rsidRPr="0042214E">
        <w:t>guide</w:t>
      </w:r>
      <w:r w:rsidRPr="0042214E">
        <w:t xml:space="preserve"> provides</w:t>
      </w:r>
      <w:r w:rsidR="00927267" w:rsidRPr="0042214E">
        <w:t xml:space="preserve"> further information</w:t>
      </w:r>
      <w:r w:rsidRPr="0042214E">
        <w:t xml:space="preserve"> on engaging stakeholders</w:t>
      </w:r>
      <w:r w:rsidR="00927267" w:rsidRPr="0042214E">
        <w:t>.</w:t>
      </w:r>
    </w:p>
    <w:p w14:paraId="74EC6E72" w14:textId="6A3462E5" w:rsidR="00927267" w:rsidRPr="0042214E" w:rsidRDefault="00927267" w:rsidP="005E1934">
      <w:pPr>
        <w:pStyle w:val="Heading3numbered"/>
      </w:pPr>
      <w:bookmarkStart w:id="163" w:name="_Toc121415328"/>
      <w:r w:rsidRPr="0042214E">
        <w:lastRenderedPageBreak/>
        <w:t>Prove the deliverability</w:t>
      </w:r>
      <w:bookmarkEnd w:id="163"/>
    </w:p>
    <w:p w14:paraId="2D561210" w14:textId="02046232" w:rsidR="00927267" w:rsidRPr="0042214E" w:rsidRDefault="00927267" w:rsidP="006B713F">
      <w:pPr>
        <w:pStyle w:val="NormalIndent"/>
      </w:pPr>
      <w:r w:rsidRPr="0042214E">
        <w:t xml:space="preserve">A sound investment business case needs to lay out much more than just what a proposal intends to do. It needs to consider how it will deliver on its intent – and, indeed, how it will deliver through the life of the investment. In this section, agencies are asked to provide detailed information on the recommended </w:t>
      </w:r>
      <w:r w:rsidR="006D5DA5" w:rsidRPr="0042214E">
        <w:t xml:space="preserve">project </w:t>
      </w:r>
      <w:r w:rsidRPr="0042214E">
        <w:t>option</w:t>
      </w:r>
      <w:r w:rsidR="00610CA8" w:rsidRPr="0042214E">
        <w:t>/project solution</w:t>
      </w:r>
      <w:r w:rsidRPr="0042214E">
        <w:t xml:space="preserve"> selected at the end of the </w:t>
      </w:r>
      <w:r w:rsidR="006D5DA5" w:rsidRPr="0042214E">
        <w:t xml:space="preserve">project </w:t>
      </w:r>
      <w:r w:rsidRPr="0042214E">
        <w:t xml:space="preserve">options analysis section. The full business case is the </w:t>
      </w:r>
      <w:proofErr w:type="gramStart"/>
      <w:r w:rsidRPr="0042214E">
        <w:t>first time</w:t>
      </w:r>
      <w:proofErr w:type="gramEnd"/>
      <w:r w:rsidRPr="0042214E">
        <w:t xml:space="preserve"> agencies are asked to address the information required in </w:t>
      </w:r>
      <w:r w:rsidR="00124200" w:rsidRPr="0042214E">
        <w:t>Step 5</w:t>
      </w:r>
      <w:r w:rsidRPr="0042214E">
        <w:t xml:space="preserve"> of the full business case and speaks to the question: </w:t>
      </w:r>
      <w:r w:rsidRPr="00D821AA">
        <w:rPr>
          <w:i/>
          <w:color w:val="E57200" w:themeColor="accent2"/>
        </w:rPr>
        <w:t>‘</w:t>
      </w:r>
      <w:r w:rsidRPr="0042214E">
        <w:rPr>
          <w:i/>
          <w:color w:val="E57200" w:themeColor="accent2"/>
        </w:rPr>
        <w:t>Can the solution really be delivered?’</w:t>
      </w:r>
      <w:r w:rsidRPr="0042214E">
        <w:t>.</w:t>
      </w:r>
    </w:p>
    <w:p w14:paraId="117B9F16" w14:textId="433C77A0" w:rsidR="00C965B0" w:rsidRPr="0042214E" w:rsidRDefault="00C965B0" w:rsidP="006B713F">
      <w:pPr>
        <w:pStyle w:val="NormalIndent"/>
      </w:pPr>
      <w:r w:rsidRPr="0042214E">
        <w:t xml:space="preserve">To avoid duplication, provide references to earlier sections where appropriate and reconfirm specific assessments such as the risk assessment, the BCR and NPV calculation, in the light of detailed costing and higher level of accuracy required in presenting the </w:t>
      </w:r>
      <w:r w:rsidR="00610CA8" w:rsidRPr="0042214E">
        <w:t xml:space="preserve">project </w:t>
      </w:r>
      <w:r w:rsidRPr="0042214E">
        <w:t>solution.</w:t>
      </w:r>
    </w:p>
    <w:p w14:paraId="0B912D90" w14:textId="01A2DA19" w:rsidR="00927267" w:rsidRPr="0042214E" w:rsidRDefault="00927267" w:rsidP="00AA13D1">
      <w:pPr>
        <w:pStyle w:val="NormalIndent"/>
        <w:rPr>
          <w:rStyle w:val="Emphasis"/>
        </w:rPr>
      </w:pPr>
      <w:r w:rsidRPr="0042214E">
        <w:rPr>
          <w:rStyle w:val="Emphasis"/>
        </w:rPr>
        <w:t xml:space="preserve">The rationale for proposing the </w:t>
      </w:r>
      <w:r w:rsidR="00610CA8" w:rsidRPr="0042214E">
        <w:rPr>
          <w:rStyle w:val="Emphasis"/>
        </w:rPr>
        <w:t xml:space="preserve">project </w:t>
      </w:r>
      <w:r w:rsidRPr="0042214E">
        <w:rPr>
          <w:rStyle w:val="Emphasis"/>
        </w:rPr>
        <w:t>solution must be clear and defensible.</w:t>
      </w:r>
    </w:p>
    <w:p w14:paraId="5B8D9672" w14:textId="598B9125" w:rsidR="00927267" w:rsidRPr="0042214E" w:rsidRDefault="00927267" w:rsidP="00AA13D1">
      <w:pPr>
        <w:pStyle w:val="NormalIndent"/>
        <w:rPr>
          <w:b/>
        </w:rPr>
      </w:pPr>
      <w:r w:rsidRPr="0042214E">
        <w:rPr>
          <w:b/>
        </w:rPr>
        <w:t xml:space="preserve">Ultimately, stakeholders and </w:t>
      </w:r>
      <w:r w:rsidR="00F06E12" w:rsidRPr="0042214E">
        <w:rPr>
          <w:b/>
        </w:rPr>
        <w:t>decision-</w:t>
      </w:r>
      <w:r w:rsidRPr="0042214E">
        <w:rPr>
          <w:b/>
        </w:rPr>
        <w:t xml:space="preserve">makers should have assurance that the analysis and the selection process </w:t>
      </w:r>
      <w:r w:rsidR="00F06E12" w:rsidRPr="0042214E">
        <w:rPr>
          <w:b/>
        </w:rPr>
        <w:t xml:space="preserve">are </w:t>
      </w:r>
      <w:r w:rsidRPr="0042214E">
        <w:rPr>
          <w:b/>
        </w:rPr>
        <w:t>robust.</w:t>
      </w:r>
    </w:p>
    <w:p w14:paraId="5B7AC1C8" w14:textId="3D2ABA67" w:rsidR="00027074" w:rsidRPr="0042214E" w:rsidRDefault="001B2DBC" w:rsidP="005E1934">
      <w:pPr>
        <w:pStyle w:val="Heading2numbered"/>
      </w:pPr>
      <w:bookmarkStart w:id="164" w:name="_Toc18568617"/>
      <w:bookmarkStart w:id="165" w:name="_Toc20816366"/>
      <w:bookmarkStart w:id="166" w:name="_Toc121415329"/>
      <w:bookmarkEnd w:id="164"/>
      <w:bookmarkEnd w:id="165"/>
      <w:r w:rsidRPr="0042214E">
        <w:t>Step 5</w:t>
      </w:r>
      <w:r w:rsidR="00B846C7" w:rsidRPr="0042214E">
        <w:t>:</w:t>
      </w:r>
      <w:r w:rsidRPr="0042214E">
        <w:t xml:space="preserve"> T</w:t>
      </w:r>
      <w:r w:rsidR="00027074" w:rsidRPr="0042214E">
        <w:t xml:space="preserve">he </w:t>
      </w:r>
      <w:r w:rsidRPr="0042214E">
        <w:t>project</w:t>
      </w:r>
      <w:r w:rsidR="00027074" w:rsidRPr="0042214E">
        <w:t xml:space="preserve"> solution</w:t>
      </w:r>
      <w:bookmarkEnd w:id="166"/>
    </w:p>
    <w:p w14:paraId="0F6908F9" w14:textId="5D409401" w:rsidR="00027074" w:rsidRPr="0042214E" w:rsidRDefault="00027074" w:rsidP="006B713F">
      <w:pPr>
        <w:pStyle w:val="NormalIndent"/>
      </w:pPr>
      <w:r w:rsidRPr="0042214E">
        <w:t xml:space="preserve">This section asks agencies to present the </w:t>
      </w:r>
      <w:r w:rsidR="00610CA8" w:rsidRPr="0042214E">
        <w:t xml:space="preserve">project </w:t>
      </w:r>
      <w:r w:rsidRPr="0042214E">
        <w:t xml:space="preserve">solution in detail. If a real options analysis </w:t>
      </w:r>
      <w:r w:rsidR="00C81D78" w:rsidRPr="0042214E">
        <w:t>has been undertaken</w:t>
      </w:r>
      <w:r w:rsidRPr="0042214E">
        <w:t xml:space="preserve">, the </w:t>
      </w:r>
      <w:r w:rsidR="001F2493" w:rsidRPr="0042214E">
        <w:t xml:space="preserve">project </w:t>
      </w:r>
      <w:r w:rsidRPr="0042214E">
        <w:t>solution is the preferred real option</w:t>
      </w:r>
      <w:r w:rsidR="006E7714" w:rsidRPr="0042214E">
        <w:t xml:space="preserve">. </w:t>
      </w:r>
      <w:r w:rsidRPr="0042214E">
        <w:t xml:space="preserve">Depending on the nature of the investment, it may be useful to involve the market in scope development and constructability analysis to improve the understanding of the </w:t>
      </w:r>
      <w:r w:rsidR="00904AFB" w:rsidRPr="0042214E">
        <w:t xml:space="preserve">project </w:t>
      </w:r>
      <w:r w:rsidRPr="0042214E">
        <w:t>solution’s costs and risks, and to inform the procurement options analysis process. It may also be appropriate to involve potential contractors in scope development and constructability assessment.</w:t>
      </w:r>
    </w:p>
    <w:p w14:paraId="4B8A00D6" w14:textId="77777777" w:rsidR="00027074" w:rsidRPr="0042214E" w:rsidRDefault="00027074" w:rsidP="006B713F">
      <w:pPr>
        <w:pStyle w:val="NormalIndent"/>
      </w:pPr>
      <w:r w:rsidRPr="0042214E">
        <w:t xml:space="preserve">The information presented here should clearly present the evidence relied on in the options analysis in arriving at the recommendation, including: </w:t>
      </w:r>
    </w:p>
    <w:p w14:paraId="084EFD6B" w14:textId="20C310D4" w:rsidR="00027074" w:rsidRPr="0042214E" w:rsidRDefault="00027074" w:rsidP="00AA13D1">
      <w:pPr>
        <w:pStyle w:val="Bulletindent"/>
      </w:pPr>
      <w:r w:rsidRPr="0042214E">
        <w:t xml:space="preserve">whether a real options approach applies to the </w:t>
      </w:r>
      <w:r w:rsidR="00D21FB0" w:rsidRPr="0042214E">
        <w:t xml:space="preserve">project </w:t>
      </w:r>
      <w:r w:rsidRPr="0042214E">
        <w:t>solution (</w:t>
      </w:r>
      <w:r w:rsidR="00FB7609" w:rsidRPr="0042214E">
        <w:t>i.e.,</w:t>
      </w:r>
      <w:r w:rsidRPr="0042214E">
        <w:t xml:space="preserve"> if the option builds in flexibility to change direction in the face of uncertainty</w:t>
      </w:r>
      <w:proofErr w:type="gramStart"/>
      <w:r w:rsidRPr="0042214E">
        <w:t>);</w:t>
      </w:r>
      <w:proofErr w:type="gramEnd"/>
    </w:p>
    <w:p w14:paraId="595CA605" w14:textId="3F0BA4C6" w:rsidR="00027074" w:rsidRPr="0042214E" w:rsidRDefault="00027074" w:rsidP="00AA13D1">
      <w:pPr>
        <w:pStyle w:val="Bulletindent"/>
      </w:pPr>
      <w:r w:rsidRPr="0042214E">
        <w:t xml:space="preserve">a design intent statement that outlines the intended level of design quality and </w:t>
      </w:r>
      <w:r w:rsidR="006C30A0" w:rsidRPr="0042214E">
        <w:t xml:space="preserve">identifies </w:t>
      </w:r>
      <w:r w:rsidRPr="0042214E">
        <w:t>what design aspects of the project need special consideration (the Office of the Victorian Government Architect can assist with this if required</w:t>
      </w:r>
      <w:proofErr w:type="gramStart"/>
      <w:r w:rsidRPr="0042214E">
        <w:t>);</w:t>
      </w:r>
      <w:proofErr w:type="gramEnd"/>
      <w:r w:rsidRPr="0042214E">
        <w:t xml:space="preserve"> </w:t>
      </w:r>
    </w:p>
    <w:p w14:paraId="5259F7D7" w14:textId="77777777" w:rsidR="00027074" w:rsidRPr="0042214E" w:rsidRDefault="00027074" w:rsidP="00AA13D1">
      <w:pPr>
        <w:pStyle w:val="Bulletindent"/>
      </w:pPr>
      <w:r w:rsidRPr="0042214E">
        <w:t xml:space="preserve">all major assumptions, including the scope of the </w:t>
      </w:r>
      <w:proofErr w:type="gramStart"/>
      <w:r w:rsidRPr="0042214E">
        <w:t>analysis;</w:t>
      </w:r>
      <w:proofErr w:type="gramEnd"/>
      <w:r w:rsidRPr="0042214E">
        <w:t xml:space="preserve"> </w:t>
      </w:r>
    </w:p>
    <w:p w14:paraId="6085CDC4" w14:textId="77777777" w:rsidR="00027074" w:rsidRPr="0042214E" w:rsidRDefault="00027074" w:rsidP="00AA13D1">
      <w:pPr>
        <w:pStyle w:val="Bulletindent"/>
      </w:pPr>
      <w:r w:rsidRPr="0042214E">
        <w:t xml:space="preserve">why certain costs and benefits have been included or excluded; and </w:t>
      </w:r>
    </w:p>
    <w:p w14:paraId="0833D02B" w14:textId="301AAE83" w:rsidR="00027074" w:rsidRPr="0042214E" w:rsidRDefault="00027074" w:rsidP="00AA13D1">
      <w:pPr>
        <w:pStyle w:val="Bulletindent"/>
      </w:pPr>
      <w:r w:rsidRPr="0042214E">
        <w:t>the valuation methodologies employed to estimate costs and benefits.</w:t>
      </w:r>
    </w:p>
    <w:tbl>
      <w:tblPr>
        <w:tblStyle w:val="DTFfinancialtableindent"/>
        <w:tblW w:w="0" w:type="auto"/>
        <w:tblLook w:val="0680" w:firstRow="0" w:lastRow="0" w:firstColumn="1" w:lastColumn="0" w:noHBand="1" w:noVBand="1"/>
      </w:tblPr>
      <w:tblGrid>
        <w:gridCol w:w="8377"/>
      </w:tblGrid>
      <w:tr w:rsidR="003C6380" w:rsidRPr="0042214E" w14:paraId="094743B5" w14:textId="77777777" w:rsidTr="00AA13D1">
        <w:tc>
          <w:tcPr>
            <w:cnfStyle w:val="001000000000" w:firstRow="0" w:lastRow="0" w:firstColumn="1" w:lastColumn="0" w:oddVBand="0" w:evenVBand="0" w:oddHBand="0" w:evenHBand="0" w:firstRowFirstColumn="0" w:firstRowLastColumn="0" w:lastRowFirstColumn="0" w:lastRowLastColumn="0"/>
            <w:tcW w:w="8719" w:type="dxa"/>
          </w:tcPr>
          <w:p w14:paraId="19E0CA59" w14:textId="77777777" w:rsidR="003C6380" w:rsidRPr="0042214E" w:rsidRDefault="003C6380" w:rsidP="00104E20">
            <w:pPr>
              <w:pStyle w:val="Tabletextbold"/>
              <w:pageBreakBefore/>
              <w:rPr>
                <w:sz w:val="20"/>
              </w:rPr>
            </w:pPr>
            <w:r w:rsidRPr="0042214E">
              <w:rPr>
                <w:sz w:val="20"/>
              </w:rPr>
              <w:lastRenderedPageBreak/>
              <w:t>Statement of design intent (fictional transport example)</w:t>
            </w:r>
          </w:p>
          <w:p w14:paraId="5FBF68F5" w14:textId="5B8C7FF1" w:rsidR="003C6380" w:rsidRPr="0042214E" w:rsidRDefault="003C6380" w:rsidP="00AA13D1">
            <w:pPr>
              <w:pStyle w:val="Tabletext"/>
            </w:pPr>
            <w:r w:rsidRPr="0042214E">
              <w:t xml:space="preserve">Agencies are encouraged to submit a design intent statement that outlines the intended level of design quality and </w:t>
            </w:r>
            <w:r w:rsidR="006C30A0" w:rsidRPr="0042214E">
              <w:t xml:space="preserve">identifies </w:t>
            </w:r>
            <w:r w:rsidRPr="0042214E">
              <w:t xml:space="preserve">what design aspects of the project need special consideration (the Office of the Victorian Government Architect can assist with this if required). </w:t>
            </w:r>
          </w:p>
          <w:p w14:paraId="4D2A7AC9" w14:textId="77777777" w:rsidR="003C6380" w:rsidRPr="0042214E" w:rsidRDefault="003C6380" w:rsidP="00AA13D1">
            <w:pPr>
              <w:pStyle w:val="Tabletextbold"/>
            </w:pPr>
            <w:r w:rsidRPr="0042214E">
              <w:t>Statement of design intent</w:t>
            </w:r>
          </w:p>
          <w:p w14:paraId="71B54D8E" w14:textId="335AE6D3" w:rsidR="003C6380" w:rsidRPr="0042214E" w:rsidRDefault="003C6380" w:rsidP="00AA13D1">
            <w:pPr>
              <w:pStyle w:val="Tabletext"/>
            </w:pPr>
            <w:r w:rsidRPr="0042214E">
              <w:t>The design intent for this proposed investment is to reinvigorate the historic Harrison Central Station, improve its transport function and unlock the urban design and development potential of the precinct. The</w:t>
            </w:r>
            <w:r w:rsidR="0015038D" w:rsidRPr="0042214E">
              <w:t> </w:t>
            </w:r>
            <w:r w:rsidRPr="0042214E">
              <w:t xml:space="preserve">station is one of Australia’s most important heritage sites and one of the nation’s busiest train stations. These factors create a complex mix of demands and priorities on the site and its wider precinct. The design response is required to balance boldness of vision with a careful attention to the many opportunities and challenges of the station. A rejuvenated Harrison Central Station and precinct will act as an urban catalyst, playing a critical strategic role in enhancing essential transport services and integrating an appropriate mix of uses for a growing city. It will also play a vital role in strengthening connections between the city and the station, and beyond to the Yarra River and its expanding arts and sports precincts to the south and </w:t>
            </w:r>
            <w:proofErr w:type="gramStart"/>
            <w:r w:rsidRPr="0042214E">
              <w:t>south</w:t>
            </w:r>
            <w:r w:rsidR="00FB373D">
              <w:t> </w:t>
            </w:r>
            <w:r w:rsidRPr="0042214E">
              <w:t>east</w:t>
            </w:r>
            <w:proofErr w:type="gramEnd"/>
            <w:r w:rsidRPr="0042214E">
              <w:t>.</w:t>
            </w:r>
          </w:p>
          <w:p w14:paraId="536D26F0" w14:textId="34F8F81C" w:rsidR="003C6380" w:rsidRPr="0042214E" w:rsidRDefault="003C6380" w:rsidP="00AA13D1">
            <w:pPr>
              <w:pStyle w:val="Tabletext"/>
            </w:pPr>
            <w:r w:rsidRPr="0042214E">
              <w:t>The design intends to set an international benchmark in heritage conservation, adaptive reuse, sustainable</w:t>
            </w:r>
            <w:r w:rsidR="0015038D" w:rsidRPr="0042214E">
              <w:t> </w:t>
            </w:r>
            <w:r w:rsidRPr="0042214E">
              <w:t>urbanism and high</w:t>
            </w:r>
            <w:r w:rsidR="00034452" w:rsidRPr="0042214E">
              <w:noBreakHyphen/>
            </w:r>
            <w:r w:rsidRPr="0042214E">
              <w:t>quality architecture and urban design, adding to a legacy of award</w:t>
            </w:r>
            <w:r w:rsidR="00034452" w:rsidRPr="0042214E">
              <w:noBreakHyphen/>
            </w:r>
            <w:r w:rsidRPr="0042214E">
              <w:t>winning public buildings and spaces in Melbourne. This legacy includes recent projects such as the Harrison Museum (opposite the World Heritage</w:t>
            </w:r>
            <w:r w:rsidR="00034452" w:rsidRPr="0042214E">
              <w:noBreakHyphen/>
            </w:r>
            <w:r w:rsidRPr="0042214E">
              <w:t xml:space="preserve">listed 19th century Royal Town Hall), Harrison City Square, the Harrison City Sports </w:t>
            </w:r>
            <w:proofErr w:type="gramStart"/>
            <w:r w:rsidRPr="0042214E">
              <w:t>Centre</w:t>
            </w:r>
            <w:proofErr w:type="gramEnd"/>
            <w:r w:rsidRPr="0042214E">
              <w:t xml:space="preserve"> and the Melba Convention Centre. These architectural exemplars contribute to Harrison’s international reputation for innovative design and investment in </w:t>
            </w:r>
            <w:r w:rsidR="006C30A0" w:rsidRPr="0042214E">
              <w:t xml:space="preserve">a </w:t>
            </w:r>
            <w:r w:rsidRPr="0042214E">
              <w:t>cultural capital, which in turn frames the expectation for the Harrison Central Station design.</w:t>
            </w:r>
          </w:p>
          <w:p w14:paraId="63C772F3" w14:textId="77777777" w:rsidR="0015038D" w:rsidRPr="0042214E" w:rsidRDefault="0015038D" w:rsidP="0015038D">
            <w:pPr>
              <w:pStyle w:val="Spacer"/>
            </w:pPr>
          </w:p>
          <w:p w14:paraId="1D7BA3D3" w14:textId="77777777" w:rsidR="003C6380" w:rsidRPr="0042214E" w:rsidRDefault="003C6380" w:rsidP="00AA13D1">
            <w:pPr>
              <w:pStyle w:val="Tabletext"/>
              <w:keepNext/>
            </w:pPr>
            <w:r w:rsidRPr="0042214E">
              <w:t>The overarching objectives of the design are to:</w:t>
            </w:r>
          </w:p>
          <w:p w14:paraId="2B4898F1" w14:textId="583E7838" w:rsidR="003C6380" w:rsidRPr="0042214E" w:rsidRDefault="0015038D" w:rsidP="00AA13D1">
            <w:pPr>
              <w:pStyle w:val="Tablebullet"/>
            </w:pPr>
            <w:r w:rsidRPr="0042214E">
              <w:t xml:space="preserve">upgrade </w:t>
            </w:r>
            <w:r w:rsidR="003C6380" w:rsidRPr="0042214E">
              <w:t xml:space="preserve">the station to its former glory, in the tradition of other great cities around the world, as a </w:t>
            </w:r>
            <w:r w:rsidR="00BE68E4">
              <w:t>S</w:t>
            </w:r>
            <w:r w:rsidR="00BE68E4" w:rsidRPr="0042214E">
              <w:t xml:space="preserve">tate </w:t>
            </w:r>
            <w:r w:rsidR="003C6380" w:rsidRPr="0042214E">
              <w:t xml:space="preserve">and international icon and a focus of the Harrison </w:t>
            </w:r>
            <w:r w:rsidR="00FB373D" w:rsidRPr="0042214E">
              <w:t xml:space="preserve">central business district </w:t>
            </w:r>
            <w:r w:rsidR="003C6380" w:rsidRPr="0042214E">
              <w:t>(CBD</w:t>
            </w:r>
            <w:proofErr w:type="gramStart"/>
            <w:r w:rsidR="003C6380" w:rsidRPr="0042214E">
              <w:t>);</w:t>
            </w:r>
            <w:proofErr w:type="gramEnd"/>
          </w:p>
          <w:p w14:paraId="1B200D60" w14:textId="0A779778" w:rsidR="003C6380" w:rsidRPr="0042214E" w:rsidRDefault="0015038D" w:rsidP="00AA13D1">
            <w:pPr>
              <w:pStyle w:val="Tablebullet"/>
            </w:pPr>
            <w:r w:rsidRPr="0042214E">
              <w:t xml:space="preserve">restore </w:t>
            </w:r>
            <w:r w:rsidR="003C6380" w:rsidRPr="0042214E">
              <w:t xml:space="preserve">and protect the Administration Building and other heritage elements to include adaptive reuse of areas that have high public interest, such as the ballroom, to be accessible to the </w:t>
            </w:r>
            <w:proofErr w:type="gramStart"/>
            <w:r w:rsidR="003C6380" w:rsidRPr="0042214E">
              <w:t>public;</w:t>
            </w:r>
            <w:proofErr w:type="gramEnd"/>
          </w:p>
          <w:p w14:paraId="37ADDBB7" w14:textId="6C77CDBC" w:rsidR="003C6380" w:rsidRPr="0042214E" w:rsidRDefault="0015038D" w:rsidP="00AA13D1">
            <w:pPr>
              <w:pStyle w:val="Tablebullet"/>
            </w:pPr>
            <w:r w:rsidRPr="0042214E">
              <w:t xml:space="preserve">improve </w:t>
            </w:r>
            <w:r w:rsidR="003C6380" w:rsidRPr="0042214E">
              <w:t xml:space="preserve">all aspects of the transport function of the station and adjacent transport modes and cater for significant growth in transport </w:t>
            </w:r>
            <w:proofErr w:type="gramStart"/>
            <w:r w:rsidR="003C6380" w:rsidRPr="0042214E">
              <w:t>patronage;</w:t>
            </w:r>
            <w:proofErr w:type="gramEnd"/>
          </w:p>
          <w:p w14:paraId="23D2CC08" w14:textId="6296F613" w:rsidR="003C6380" w:rsidRPr="0042214E" w:rsidRDefault="0015038D" w:rsidP="00AA13D1">
            <w:pPr>
              <w:pStyle w:val="Tablebullet"/>
            </w:pPr>
            <w:r w:rsidRPr="0042214E">
              <w:t xml:space="preserve">better </w:t>
            </w:r>
            <w:r w:rsidR="003C6380" w:rsidRPr="0042214E">
              <w:t xml:space="preserve">integrate the station with its surrounding precincts, such as Harrison City Square, providing better linkages between the CBD and the Eyre </w:t>
            </w:r>
            <w:proofErr w:type="gramStart"/>
            <w:r w:rsidR="003C6380" w:rsidRPr="0042214E">
              <w:t>River;</w:t>
            </w:r>
            <w:proofErr w:type="gramEnd"/>
          </w:p>
          <w:p w14:paraId="68EA0C7F" w14:textId="2EFB9706" w:rsidR="003C6380" w:rsidRPr="0042214E" w:rsidRDefault="0015038D" w:rsidP="00AA13D1">
            <w:pPr>
              <w:pStyle w:val="Tablebullet"/>
            </w:pPr>
            <w:r w:rsidRPr="0042214E">
              <w:t xml:space="preserve">better </w:t>
            </w:r>
            <w:r w:rsidR="003C6380" w:rsidRPr="0042214E">
              <w:t xml:space="preserve">utilise the land adjacent to rail and air space above rail on the western portion of the </w:t>
            </w:r>
            <w:proofErr w:type="gramStart"/>
            <w:r w:rsidR="003C6380" w:rsidRPr="0042214E">
              <w:t>site;</w:t>
            </w:r>
            <w:proofErr w:type="gramEnd"/>
          </w:p>
          <w:p w14:paraId="75EE49D0" w14:textId="71ABB793" w:rsidR="003C6380" w:rsidRPr="0042214E" w:rsidRDefault="0015038D" w:rsidP="00AA13D1">
            <w:pPr>
              <w:pStyle w:val="Tablebullet"/>
            </w:pPr>
            <w:r w:rsidRPr="0042214E">
              <w:t xml:space="preserve">provide </w:t>
            </w:r>
            <w:r w:rsidR="003C6380" w:rsidRPr="0042214E">
              <w:t>significant civic space while allowing for a distinctive and memorable architectural outcome with a mix of uses; and</w:t>
            </w:r>
          </w:p>
          <w:p w14:paraId="71F619C3" w14:textId="713103CF" w:rsidR="003C6380" w:rsidRPr="0042214E" w:rsidRDefault="0015038D" w:rsidP="00AA13D1">
            <w:pPr>
              <w:pStyle w:val="Tablebullet"/>
            </w:pPr>
            <w:r w:rsidRPr="0042214E">
              <w:t xml:space="preserve">provide </w:t>
            </w:r>
            <w:r w:rsidR="003C6380" w:rsidRPr="0042214E">
              <w:t>a value for money solution capable of being (at least partially) self</w:t>
            </w:r>
            <w:r w:rsidR="00034452" w:rsidRPr="0042214E">
              <w:noBreakHyphen/>
            </w:r>
            <w:r w:rsidR="003C6380" w:rsidRPr="0042214E">
              <w:t>funding.</w:t>
            </w:r>
          </w:p>
        </w:tc>
      </w:tr>
    </w:tbl>
    <w:p w14:paraId="478B8B95" w14:textId="0F4C230E" w:rsidR="003C6380" w:rsidRPr="0042214E" w:rsidRDefault="003C6380" w:rsidP="0015038D">
      <w:pPr>
        <w:pStyle w:val="Spacer"/>
      </w:pPr>
    </w:p>
    <w:p w14:paraId="46C5ADAE" w14:textId="77777777" w:rsidR="00027074" w:rsidRPr="0042214E" w:rsidRDefault="00027074" w:rsidP="005E1934">
      <w:pPr>
        <w:pStyle w:val="Heading3numbered"/>
      </w:pPr>
      <w:bookmarkStart w:id="167" w:name="_Toc121415330"/>
      <w:r w:rsidRPr="0042214E">
        <w:t>Public interest test</w:t>
      </w:r>
      <w:bookmarkEnd w:id="167"/>
    </w:p>
    <w:p w14:paraId="28A4BE8F" w14:textId="77777777" w:rsidR="00027074" w:rsidRPr="0042214E" w:rsidRDefault="00027074" w:rsidP="006B713F">
      <w:pPr>
        <w:pStyle w:val="NormalIndent"/>
      </w:pPr>
      <w:r w:rsidRPr="0042214E">
        <w:t xml:space="preserve">In this section, agencies are asked to apply the public interest test to all investments that are the subject of a full business case. This test should be applied to the extent that is appropriate to the size and scale of the investment. The full business case should provide a summary of the test. </w:t>
      </w:r>
    </w:p>
    <w:p w14:paraId="532F3F54" w14:textId="35345341" w:rsidR="00027074" w:rsidRPr="0042214E" w:rsidRDefault="00027074" w:rsidP="0015038D">
      <w:pPr>
        <w:pStyle w:val="NormalIndent"/>
        <w:rPr>
          <w:rStyle w:val="Emphasis"/>
        </w:rPr>
      </w:pPr>
      <w:r w:rsidRPr="0042214E">
        <w:rPr>
          <w:rStyle w:val="Emphasis"/>
        </w:rPr>
        <w:t>The public interest test should be applied to all significant investments at the pre</w:t>
      </w:r>
      <w:r w:rsidR="00034452" w:rsidRPr="0042214E">
        <w:rPr>
          <w:rStyle w:val="Emphasis"/>
        </w:rPr>
        <w:noBreakHyphen/>
      </w:r>
      <w:r w:rsidRPr="0042214E">
        <w:rPr>
          <w:rStyle w:val="Emphasis"/>
        </w:rPr>
        <w:t>tender phase.</w:t>
      </w:r>
    </w:p>
    <w:p w14:paraId="569D4903" w14:textId="48045A9A" w:rsidR="00027074" w:rsidRPr="0042214E" w:rsidRDefault="00027074" w:rsidP="006B713F">
      <w:pPr>
        <w:pStyle w:val="NormalIndent"/>
      </w:pPr>
      <w:r w:rsidRPr="0042214E">
        <w:t>The public interest test involves determining whether suitable measures can be established to adequately protect the public interest. In the business case, detail the impact of the project on the eight elements of public interest: effectiveness; accountability and transparency; affected individuals and community; equity</w:t>
      </w:r>
      <w:r w:rsidR="00146895">
        <w:t>;</w:t>
      </w:r>
      <w:r w:rsidRPr="0042214E">
        <w:t xml:space="preserve"> consumer rights; public access; security</w:t>
      </w:r>
      <w:r w:rsidR="00146895">
        <w:t>;</w:t>
      </w:r>
      <w:r w:rsidRPr="0042214E">
        <w:t xml:space="preserve"> and privacy</w:t>
      </w:r>
      <w:r w:rsidR="006E7714" w:rsidRPr="0042214E">
        <w:t xml:space="preserve">. </w:t>
      </w:r>
      <w:r w:rsidRPr="0042214E">
        <w:t xml:space="preserve">Annexure 7 of the </w:t>
      </w:r>
      <w:r w:rsidRPr="0042214E">
        <w:rPr>
          <w:i/>
        </w:rPr>
        <w:t>Partnerships Victoria</w:t>
      </w:r>
      <w:r w:rsidRPr="0042214E">
        <w:t xml:space="preserve"> requirements further explain public interest issues and </w:t>
      </w:r>
      <w:bookmarkStart w:id="168" w:name="_Hlk19615649"/>
      <w:r w:rsidRPr="0042214E">
        <w:t>how to undertake a public interest test.</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3C6380" w:rsidRPr="00667D0D" w14:paraId="74A07866" w14:textId="77777777" w:rsidTr="0015038D">
        <w:trPr>
          <w:cantSplit/>
        </w:trPr>
        <w:tc>
          <w:tcPr>
            <w:tcW w:w="8719" w:type="dxa"/>
            <w:shd w:val="clear" w:color="auto" w:fill="FDF3EA" w:themeFill="accent5" w:themeFillTint="33"/>
          </w:tcPr>
          <w:p w14:paraId="2E468C89" w14:textId="5068AC59" w:rsidR="003C6380" w:rsidRPr="00667D0D" w:rsidRDefault="003C6380" w:rsidP="0015038D">
            <w:pPr>
              <w:pStyle w:val="Tabletextbold"/>
            </w:pPr>
            <w:r w:rsidRPr="00667D0D">
              <w:lastRenderedPageBreak/>
              <w:t xml:space="preserve">Business case information requirements for the </w:t>
            </w:r>
            <w:r w:rsidR="001F2493" w:rsidRPr="00667D0D">
              <w:t xml:space="preserve">project </w:t>
            </w:r>
            <w:r w:rsidRPr="00667D0D">
              <w:t>solution</w:t>
            </w:r>
          </w:p>
          <w:p w14:paraId="638A27E1" w14:textId="1B658AB0" w:rsidR="003C6380" w:rsidRPr="00667D0D" w:rsidRDefault="003C6380" w:rsidP="0015038D">
            <w:pPr>
              <w:pStyle w:val="Tablebullet"/>
            </w:pPr>
            <w:r w:rsidRPr="00667D0D">
              <w:t xml:space="preserve">Clearly state which project option is the </w:t>
            </w:r>
            <w:r w:rsidR="001F2493" w:rsidRPr="00667D0D">
              <w:t>project</w:t>
            </w:r>
            <w:r w:rsidRPr="00667D0D">
              <w:t xml:space="preserve"> solution, and clearly summarise the rationale for its selection </w:t>
            </w:r>
            <w:proofErr w:type="gramStart"/>
            <w:r w:rsidRPr="00667D0D">
              <w:t>in light of</w:t>
            </w:r>
            <w:proofErr w:type="gramEnd"/>
            <w:r w:rsidRPr="00667D0D">
              <w:t xml:space="preserve"> the </w:t>
            </w:r>
            <w:r w:rsidR="001F2493" w:rsidRPr="00667D0D">
              <w:t xml:space="preserve">project </w:t>
            </w:r>
            <w:r w:rsidRPr="00667D0D">
              <w:t xml:space="preserve">options analysis. Note that the </w:t>
            </w:r>
            <w:r w:rsidR="001F2493" w:rsidRPr="00667D0D">
              <w:t>project</w:t>
            </w:r>
            <w:r w:rsidRPr="00667D0D">
              <w:t xml:space="preserve"> solution may be a program that consists of </w:t>
            </w:r>
            <w:proofErr w:type="gramStart"/>
            <w:r w:rsidRPr="00667D0D">
              <w:t>a number of</w:t>
            </w:r>
            <w:proofErr w:type="gramEnd"/>
            <w:r w:rsidRPr="00667D0D">
              <w:t xml:space="preserve"> projects.</w:t>
            </w:r>
          </w:p>
          <w:p w14:paraId="4628C0D9" w14:textId="472BAA93" w:rsidR="003C6380" w:rsidRPr="00667D0D" w:rsidRDefault="003C6380" w:rsidP="0015038D">
            <w:pPr>
              <w:pStyle w:val="Tablebullet"/>
            </w:pPr>
            <w:r w:rsidRPr="00667D0D">
              <w:t>Provide details of</w:t>
            </w:r>
            <w:r w:rsidR="001F2493" w:rsidRPr="00667D0D">
              <w:t xml:space="preserve"> the</w:t>
            </w:r>
            <w:r w:rsidRPr="00667D0D">
              <w:t xml:space="preserve"> </w:t>
            </w:r>
            <w:r w:rsidR="001F2493" w:rsidRPr="00667D0D">
              <w:t xml:space="preserve">project </w:t>
            </w:r>
            <w:r w:rsidRPr="00667D0D">
              <w:t xml:space="preserve">solution, including its project objectives, assumptions, </w:t>
            </w:r>
            <w:proofErr w:type="gramStart"/>
            <w:r w:rsidRPr="00667D0D">
              <w:t>scope</w:t>
            </w:r>
            <w:proofErr w:type="gramEnd"/>
            <w:r w:rsidRPr="00667D0D">
              <w:t xml:space="preserve"> and locational details. </w:t>
            </w:r>
          </w:p>
          <w:p w14:paraId="247B2411" w14:textId="482342CF" w:rsidR="003C6380" w:rsidRPr="00667D0D" w:rsidRDefault="003C6380" w:rsidP="0015038D">
            <w:pPr>
              <w:pStyle w:val="Tablebullet"/>
            </w:pPr>
            <w:r w:rsidRPr="00667D0D">
              <w:t xml:space="preserve">Provide a statement of investment benefits to show how well the </w:t>
            </w:r>
            <w:r w:rsidR="001F2493" w:rsidRPr="00667D0D">
              <w:t xml:space="preserve">project </w:t>
            </w:r>
            <w:r w:rsidRPr="00667D0D">
              <w:t>solution addresses the problem</w:t>
            </w:r>
            <w:r w:rsidR="006A112B" w:rsidRPr="00667D0D">
              <w:t>,</w:t>
            </w:r>
            <w:r w:rsidRPr="00667D0D">
              <w:t xml:space="preserve"> and key benefits including the specific KPIs and benchmarks.</w:t>
            </w:r>
          </w:p>
          <w:p w14:paraId="2DF0B887" w14:textId="2FF3272D" w:rsidR="000C350F" w:rsidRPr="00667D0D" w:rsidRDefault="000C350F" w:rsidP="0015038D">
            <w:pPr>
              <w:pStyle w:val="Tablebullet"/>
            </w:pPr>
            <w:r w:rsidRPr="00667D0D">
              <w:t>Describe any interdependencies and/or interfaces.</w:t>
            </w:r>
          </w:p>
          <w:p w14:paraId="2246660D" w14:textId="6AA937F9" w:rsidR="003C6380" w:rsidRPr="00667D0D" w:rsidRDefault="003C6380" w:rsidP="006A112B">
            <w:pPr>
              <w:pStyle w:val="Tablebullet"/>
            </w:pPr>
            <w:r w:rsidRPr="00667D0D">
              <w:t>If a major asset is required, provide designs and specifications to the extent they have been developed. (Detailed designs are not expected at this stage</w:t>
            </w:r>
            <w:r w:rsidR="006A112B" w:rsidRPr="00667D0D">
              <w:t>;</w:t>
            </w:r>
            <w:r w:rsidRPr="00667D0D">
              <w:t xml:space="preserve"> however</w:t>
            </w:r>
            <w:r w:rsidR="006A112B" w:rsidRPr="00667D0D">
              <w:t>,</w:t>
            </w:r>
            <w:r w:rsidRPr="00667D0D">
              <w:t xml:space="preserve"> agencies must provide enough information on scope to enable a rigorous costing).</w:t>
            </w:r>
          </w:p>
          <w:p w14:paraId="01C5C390" w14:textId="5D7621A7" w:rsidR="003C6380" w:rsidRPr="00667D0D" w:rsidRDefault="003C6380" w:rsidP="0015038D">
            <w:pPr>
              <w:pStyle w:val="Tablebullet"/>
            </w:pPr>
            <w:r w:rsidRPr="00667D0D">
              <w:t>Provide information on preferred sequencing or staging of the project solution and justify why staging/sequencing is required.</w:t>
            </w:r>
          </w:p>
          <w:p w14:paraId="1AEC1FB1" w14:textId="78D530FB" w:rsidR="003C6380" w:rsidRPr="00667D0D" w:rsidRDefault="003C6380" w:rsidP="0015038D">
            <w:pPr>
              <w:pStyle w:val="Tablebullet"/>
            </w:pPr>
            <w:r w:rsidRPr="00667D0D">
              <w:t>Identify options to scale the project</w:t>
            </w:r>
            <w:r w:rsidR="006A112B" w:rsidRPr="00667D0D">
              <w:t>,</w:t>
            </w:r>
            <w:r w:rsidRPr="00667D0D">
              <w:t xml:space="preserve"> including possible impacts on the project benefits.</w:t>
            </w:r>
          </w:p>
          <w:p w14:paraId="6F887B81" w14:textId="481D8215" w:rsidR="003C6380" w:rsidRPr="00667D0D" w:rsidRDefault="003C6380" w:rsidP="0015038D">
            <w:pPr>
              <w:pStyle w:val="Tablebullet"/>
            </w:pPr>
            <w:r w:rsidRPr="00667D0D">
              <w:t xml:space="preserve">Describe significant broader impacts specific to the implementation of the </w:t>
            </w:r>
            <w:r w:rsidR="001F2493" w:rsidRPr="00667D0D">
              <w:t xml:space="preserve">project </w:t>
            </w:r>
            <w:r w:rsidRPr="00667D0D">
              <w:t xml:space="preserve">solution (references can be made to other sections of the business </w:t>
            </w:r>
            <w:proofErr w:type="gramStart"/>
            <w:r w:rsidRPr="00667D0D">
              <w:t>case</w:t>
            </w:r>
            <w:proofErr w:type="gramEnd"/>
            <w:r w:rsidRPr="00667D0D">
              <w:t xml:space="preserve"> if necessary, to avoid overlap)</w:t>
            </w:r>
            <w:r w:rsidR="006A112B" w:rsidRPr="00667D0D">
              <w:t>,</w:t>
            </w:r>
            <w:r w:rsidRPr="00667D0D">
              <w:t xml:space="preserve"> e.g.</w:t>
            </w:r>
            <w:r w:rsidR="00825CA5" w:rsidRPr="00667D0D">
              <w:t>,</w:t>
            </w:r>
            <w:r w:rsidRPr="00667D0D">
              <w:t xml:space="preserve"> on the sector, economy more generally, and/or other key stakeholders.</w:t>
            </w:r>
          </w:p>
          <w:p w14:paraId="61F6E92A" w14:textId="0756E310" w:rsidR="003C6380" w:rsidRPr="00667D0D" w:rsidRDefault="003C6380" w:rsidP="0015038D">
            <w:pPr>
              <w:pStyle w:val="Tablebullet"/>
              <w:keepNext/>
            </w:pPr>
            <w:r w:rsidRPr="00667D0D">
              <w:t xml:space="preserve">Agencies should include a design feasibility study </w:t>
            </w:r>
            <w:r w:rsidR="006A112B" w:rsidRPr="00667D0D">
              <w:t xml:space="preserve">that </w:t>
            </w:r>
            <w:r w:rsidRPr="00667D0D">
              <w:t>demonstrates the long</w:t>
            </w:r>
            <w:r w:rsidR="00034452" w:rsidRPr="00667D0D">
              <w:noBreakHyphen/>
            </w:r>
            <w:r w:rsidRPr="00667D0D">
              <w:t>term vision for the preferred proposal in the broader urban/environmental context. Provide a ‘</w:t>
            </w:r>
            <w:r w:rsidR="00FB373D" w:rsidRPr="00667D0D">
              <w:t xml:space="preserve">design intent statement’ </w:t>
            </w:r>
            <w:r w:rsidRPr="00667D0D">
              <w:t xml:space="preserve">to demonstrate the intended level of design quality and identify what design aspects of the project need special consideration. </w:t>
            </w:r>
          </w:p>
          <w:p w14:paraId="585BE046" w14:textId="16E2C4AA" w:rsidR="003C6380" w:rsidRPr="00667D0D" w:rsidRDefault="003C6380" w:rsidP="0015038D">
            <w:pPr>
              <w:pStyle w:val="Tablebullet"/>
            </w:pPr>
            <w:r w:rsidRPr="00667D0D">
              <w:t xml:space="preserve">Provide an overview of public interest issues across the eight elements of the public interest test: </w:t>
            </w:r>
            <w:r w:rsidR="00146895" w:rsidRPr="00667D0D">
              <w:t>effectiveness; accountability and transparency; affected individuals and community; equity; consumer rights; public access; security; and privacy</w:t>
            </w:r>
            <w:r w:rsidRPr="00667D0D">
              <w:t>.</w:t>
            </w:r>
          </w:p>
          <w:p w14:paraId="26E42D01" w14:textId="77777777" w:rsidR="003C6380" w:rsidRPr="00667D0D" w:rsidRDefault="003C6380" w:rsidP="0015038D">
            <w:pPr>
              <w:pStyle w:val="Tablebullet"/>
            </w:pPr>
            <w:r w:rsidRPr="00667D0D">
              <w:t>Identify the VCC requirements that need to be met, any activities undertaken to date, and any further activities to be undertaken.</w:t>
            </w:r>
          </w:p>
          <w:p w14:paraId="03EB4AC7" w14:textId="6A5F3573" w:rsidR="00C82E7E" w:rsidRPr="00667D0D" w:rsidRDefault="00C82E7E" w:rsidP="0015038D">
            <w:pPr>
              <w:pStyle w:val="Tablebullet"/>
            </w:pPr>
            <w:r w:rsidRPr="00667D0D">
              <w:t>Outline key</w:t>
            </w:r>
            <w:r w:rsidR="00D05C3C" w:rsidRPr="00667D0D">
              <w:t xml:space="preserve"> project requirements, such as</w:t>
            </w:r>
            <w:r w:rsidRPr="00667D0D">
              <w:t xml:space="preserve"> Commonwealth and State approvals. </w:t>
            </w:r>
          </w:p>
        </w:tc>
      </w:tr>
      <w:bookmarkEnd w:id="168"/>
    </w:tbl>
    <w:p w14:paraId="3A205ACA" w14:textId="77777777" w:rsidR="003C6380" w:rsidRPr="00667D0D" w:rsidRDefault="003C6380" w:rsidP="0015038D">
      <w:pPr>
        <w:pStyle w:val="Spacer"/>
      </w:pPr>
    </w:p>
    <w:p w14:paraId="79034BBB" w14:textId="5DB16691" w:rsidR="00E42619" w:rsidRPr="00667D0D" w:rsidRDefault="00E42619" w:rsidP="005E1934">
      <w:pPr>
        <w:pStyle w:val="Heading3numbered"/>
      </w:pPr>
      <w:bookmarkStart w:id="169" w:name="_Toc121415331"/>
      <w:r w:rsidRPr="00667D0D">
        <w:t>Lessons learnt</w:t>
      </w:r>
      <w:r w:rsidR="00DB64D3" w:rsidRPr="00667D0D">
        <w:t>/</w:t>
      </w:r>
      <w:r w:rsidR="00961C49" w:rsidRPr="00667D0D">
        <w:t>project insights</w:t>
      </w:r>
      <w:bookmarkEnd w:id="169"/>
    </w:p>
    <w:p w14:paraId="374D0DCF" w14:textId="3658884B" w:rsidR="008C1614" w:rsidRPr="0042214E" w:rsidRDefault="00E216FE" w:rsidP="006B713F">
      <w:pPr>
        <w:pStyle w:val="NormalIndent"/>
      </w:pPr>
      <w:r w:rsidRPr="0042214E">
        <w:t xml:space="preserve">Projects often face similar challenges, </w:t>
      </w:r>
      <w:r w:rsidR="008C1614" w:rsidRPr="0042214E">
        <w:t>and embedding lessons learnt into the development of new projects</w:t>
      </w:r>
      <w:r w:rsidRPr="0042214E">
        <w:t xml:space="preserve"> </w:t>
      </w:r>
      <w:r w:rsidR="008C1614" w:rsidRPr="0042214E">
        <w:t>can improve their delivery outcome.</w:t>
      </w:r>
    </w:p>
    <w:p w14:paraId="39687549" w14:textId="63F68737" w:rsidR="008C1614" w:rsidRPr="0042214E" w:rsidRDefault="00E216FE" w:rsidP="006B713F">
      <w:pPr>
        <w:pStyle w:val="NormalIndent"/>
      </w:pPr>
      <w:r w:rsidRPr="0042214E">
        <w:t xml:space="preserve">The business case should summarise internal analysis of projects </w:t>
      </w:r>
      <w:r w:rsidR="008C1614" w:rsidRPr="0042214E">
        <w:t>of a</w:t>
      </w:r>
      <w:r w:rsidRPr="0042214E">
        <w:t xml:space="preserve"> similar nature, projects that employ similar features, or projects that share similar risks. An internal analysis can also identify projects that have established best practi</w:t>
      </w:r>
      <w:r w:rsidR="008C1614" w:rsidRPr="0042214E">
        <w:t>c</w:t>
      </w:r>
      <w:r w:rsidRPr="0042214E">
        <w:t xml:space="preserve">e processes </w:t>
      </w:r>
      <w:r w:rsidR="008C1614" w:rsidRPr="0042214E">
        <w:t>such as a new governance model or a new approach to systems integration.</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8C1614" w:rsidRPr="0042214E" w14:paraId="19184ED4" w14:textId="77777777" w:rsidTr="0015038D">
        <w:tc>
          <w:tcPr>
            <w:tcW w:w="8719" w:type="dxa"/>
            <w:shd w:val="clear" w:color="auto" w:fill="FDF3EA" w:themeFill="accent5" w:themeFillTint="33"/>
          </w:tcPr>
          <w:p w14:paraId="77684BE1" w14:textId="53AC2C8A" w:rsidR="008C1614" w:rsidRPr="0042214E" w:rsidRDefault="008C1614" w:rsidP="0015038D">
            <w:pPr>
              <w:pStyle w:val="Tabletextbold"/>
            </w:pPr>
            <w:r w:rsidRPr="0042214E">
              <w:t>Business case information requirements for lessons learnt</w:t>
            </w:r>
          </w:p>
          <w:p w14:paraId="6732FF4F" w14:textId="77777777" w:rsidR="008C1614" w:rsidRPr="0042214E" w:rsidRDefault="008C1614" w:rsidP="0015038D">
            <w:pPr>
              <w:pStyle w:val="Tablebullet"/>
            </w:pPr>
            <w:r w:rsidRPr="0042214E">
              <w:t xml:space="preserve">Summarise internal analysis of past projects that are similar in nature, have employed similar features or share similar risks. </w:t>
            </w:r>
          </w:p>
          <w:p w14:paraId="7733F92F" w14:textId="45A7B456" w:rsidR="008C1614" w:rsidRPr="0042214E" w:rsidRDefault="008C1614" w:rsidP="0015038D">
            <w:pPr>
              <w:pStyle w:val="Tablebullet"/>
            </w:pPr>
            <w:r w:rsidRPr="0042214E">
              <w:t>Summarise best practice processes established through other projects that can be applied to the project.</w:t>
            </w:r>
          </w:p>
          <w:p w14:paraId="2BE486F5" w14:textId="77777777" w:rsidR="008C1614" w:rsidRPr="0042214E" w:rsidRDefault="008C1614" w:rsidP="0015038D">
            <w:pPr>
              <w:pStyle w:val="Tablebullet"/>
            </w:pPr>
            <w:r w:rsidRPr="0042214E">
              <w:t xml:space="preserve">State how each is relevant to the project, and how the lesson has been applied. </w:t>
            </w:r>
          </w:p>
          <w:p w14:paraId="3FDCEA61" w14:textId="60C60E01" w:rsidR="003B6D3C" w:rsidRPr="0042214E" w:rsidRDefault="003B6D3C" w:rsidP="0015038D">
            <w:pPr>
              <w:pStyle w:val="Tablebullet"/>
            </w:pPr>
            <w:r w:rsidRPr="0042214E">
              <w:t>Summarise lessons learnt and other project insights from similar projects. For unique investments, this can include projects in different portfolios or projects that have adopted similar technical approaches, or projects that have some similar characteristics.</w:t>
            </w:r>
          </w:p>
        </w:tc>
      </w:tr>
    </w:tbl>
    <w:p w14:paraId="0C711CC0" w14:textId="432FB9DB" w:rsidR="00FB70F3" w:rsidRPr="0042214E" w:rsidRDefault="00FB70F3" w:rsidP="005E1934">
      <w:pPr>
        <w:pStyle w:val="Heading3numbered"/>
      </w:pPr>
      <w:bookmarkStart w:id="170" w:name="_Toc121415332"/>
      <w:r w:rsidRPr="0042214E">
        <w:lastRenderedPageBreak/>
        <w:t>Project Development and Due Diligence</w:t>
      </w:r>
      <w:bookmarkEnd w:id="170"/>
    </w:p>
    <w:p w14:paraId="6A689B2F" w14:textId="77777777" w:rsidR="00FB70F3" w:rsidRPr="0042214E" w:rsidRDefault="00FB70F3" w:rsidP="0015038D">
      <w:pPr>
        <w:pStyle w:val="NormalIndent"/>
        <w:keepNext/>
      </w:pPr>
      <w:r w:rsidRPr="0042214E">
        <w:t xml:space="preserve">The successful execution and performance of a project depends heavily on the quality of its Project Development and Due Diligence (PDDD). </w:t>
      </w:r>
    </w:p>
    <w:p w14:paraId="4A164512" w14:textId="3B692411" w:rsidR="00FB70F3" w:rsidRPr="0042214E" w:rsidRDefault="00FB70F3" w:rsidP="006B713F">
      <w:pPr>
        <w:pStyle w:val="NormalIndent"/>
      </w:pPr>
      <w:r w:rsidRPr="0042214E">
        <w:t xml:space="preserve">PDDD is the basic, initial engineering and design undertaken for a project, usually following a conceptual exploration or a feasibility study. PDDD defines the specific technical requirements for a project, identifies key issues including technical, </w:t>
      </w:r>
      <w:proofErr w:type="gramStart"/>
      <w:r w:rsidRPr="0042214E">
        <w:t>contextual</w:t>
      </w:r>
      <w:proofErr w:type="gramEnd"/>
      <w:r w:rsidRPr="0042214E">
        <w:t xml:space="preserve"> and environmental matters and resolves them where possible</w:t>
      </w:r>
      <w:r w:rsidR="00A34441" w:rsidRPr="0042214E">
        <w:t>,</w:t>
      </w:r>
      <w:r w:rsidRPr="0042214E">
        <w:t xml:space="preserve"> and enables the cost of the investment to be estimated. </w:t>
      </w:r>
    </w:p>
    <w:p w14:paraId="5364AC10" w14:textId="77777777" w:rsidR="00FB70F3" w:rsidRPr="0042214E" w:rsidRDefault="00FB70F3" w:rsidP="006B713F">
      <w:pPr>
        <w:pStyle w:val="NormalIndent"/>
      </w:pPr>
      <w:r w:rsidRPr="0042214E">
        <w:t xml:space="preserve">PDDD incorporates due diligence planning and development activities including site investigation and documentation, analysis and research, production of design and development proposals, and reports of sufficient quality, </w:t>
      </w:r>
      <w:proofErr w:type="gramStart"/>
      <w:r w:rsidRPr="0042214E">
        <w:t>breadth</w:t>
      </w:r>
      <w:proofErr w:type="gramEnd"/>
      <w:r w:rsidRPr="0042214E">
        <w:t xml:space="preserve"> and depth to clearly define project scope, risks and critical requirements. These activities facilitate the project’s detailed design and support the successful procurement, </w:t>
      </w:r>
      <w:proofErr w:type="gramStart"/>
      <w:r w:rsidRPr="0042214E">
        <w:t>delivery</w:t>
      </w:r>
      <w:proofErr w:type="gramEnd"/>
      <w:r w:rsidRPr="0042214E">
        <w:t xml:space="preserve"> and operation of the project. PDDD also enables the preparation of project cost estimates to an acceptably accurate level throughout the design development stages.  </w:t>
      </w:r>
    </w:p>
    <w:p w14:paraId="5829CA90" w14:textId="2E511BF6" w:rsidR="00FB70F3" w:rsidRPr="0042214E" w:rsidRDefault="00FB70F3" w:rsidP="006B713F">
      <w:pPr>
        <w:pStyle w:val="NormalIndent"/>
      </w:pPr>
      <w:r w:rsidRPr="0042214E">
        <w:t xml:space="preserve">Agencies should integrate PDDD elements into projects and consider the information in the PDDD </w:t>
      </w:r>
      <w:r w:rsidR="00681444" w:rsidRPr="0042214E">
        <w:t>Guidelines</w:t>
      </w:r>
      <w:r w:rsidRPr="0042214E">
        <w:t>.</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FB70F3" w:rsidRPr="0042214E" w14:paraId="6B2ABC1C" w14:textId="77777777" w:rsidTr="0015038D">
        <w:trPr>
          <w:cantSplit/>
        </w:trPr>
        <w:tc>
          <w:tcPr>
            <w:tcW w:w="8719" w:type="dxa"/>
            <w:shd w:val="clear" w:color="auto" w:fill="FDF3EA" w:themeFill="accent5" w:themeFillTint="33"/>
          </w:tcPr>
          <w:p w14:paraId="564CCD9A" w14:textId="77777777" w:rsidR="00FB70F3" w:rsidRPr="0042214E" w:rsidRDefault="00FB70F3" w:rsidP="0015038D">
            <w:pPr>
              <w:pStyle w:val="Tabletextbold"/>
            </w:pPr>
            <w:r w:rsidRPr="0042214E">
              <w:t>Business case information requirements for PDDD</w:t>
            </w:r>
          </w:p>
          <w:p w14:paraId="5B787E3C" w14:textId="72984E6E" w:rsidR="00FB70F3" w:rsidRPr="0042214E" w:rsidRDefault="00FB70F3" w:rsidP="0015038D">
            <w:pPr>
              <w:pStyle w:val="Tablebullet"/>
            </w:pPr>
            <w:r w:rsidRPr="0042214E">
              <w:t xml:space="preserve">Outline the PDDD elements identified and considered relevant for this project, at this stage, as recommended in the PDDD </w:t>
            </w:r>
            <w:r w:rsidR="00681444" w:rsidRPr="0042214E">
              <w:t>Guidelines</w:t>
            </w:r>
            <w:r w:rsidRPr="0042214E">
              <w:t xml:space="preserve"> and:</w:t>
            </w:r>
          </w:p>
          <w:p w14:paraId="388FB637" w14:textId="77777777" w:rsidR="00FB70F3" w:rsidRPr="0042214E" w:rsidRDefault="00FB70F3" w:rsidP="0015038D">
            <w:pPr>
              <w:pStyle w:val="Tabledash"/>
            </w:pPr>
            <w:r w:rsidRPr="0042214E">
              <w:t>sufficient evidence or documentation of how appropriate due diligence for each element has been met; and</w:t>
            </w:r>
          </w:p>
          <w:p w14:paraId="7C4E1D77" w14:textId="77777777" w:rsidR="00FB70F3" w:rsidRPr="0042214E" w:rsidRDefault="00FB70F3" w:rsidP="0015038D">
            <w:pPr>
              <w:pStyle w:val="Tabledash"/>
            </w:pPr>
            <w:r w:rsidRPr="0042214E">
              <w:t>why due diligence was not conducted for any relevant PDDD elements.</w:t>
            </w:r>
          </w:p>
          <w:p w14:paraId="5BCD54FE" w14:textId="48F15B9A" w:rsidR="00FB70F3" w:rsidRPr="0042214E" w:rsidRDefault="00FB70F3" w:rsidP="0015038D">
            <w:pPr>
              <w:pStyle w:val="Tablebullet"/>
            </w:pPr>
            <w:r w:rsidRPr="0042214E">
              <w:t xml:space="preserve">Outline any PDDD elements identified and considered </w:t>
            </w:r>
            <w:r w:rsidRPr="00FB373D">
              <w:rPr>
                <w:b/>
              </w:rPr>
              <w:t>not</w:t>
            </w:r>
            <w:r w:rsidRPr="0042214E">
              <w:t xml:space="preserve"> relevant for this project, at this stage, as recommended in the PDDD </w:t>
            </w:r>
            <w:r w:rsidR="00681444" w:rsidRPr="0042214E">
              <w:t>Guidelines</w:t>
            </w:r>
            <w:r w:rsidRPr="0042214E">
              <w:t>, with reasons for being considered not relevant and supporting evidence or documentation as required</w:t>
            </w:r>
            <w:r w:rsidR="002710A0" w:rsidRPr="0042214E">
              <w:t>.</w:t>
            </w:r>
          </w:p>
          <w:p w14:paraId="6F426A5D" w14:textId="77777777" w:rsidR="00FB70F3" w:rsidRPr="0042214E" w:rsidRDefault="00FB70F3" w:rsidP="0015038D">
            <w:pPr>
              <w:pStyle w:val="Tablebullet"/>
            </w:pPr>
            <w:r w:rsidRPr="0042214E">
              <w:t>Provide other relevant evidence that project proponents have integrated PDDD elements into the development of this project.</w:t>
            </w:r>
          </w:p>
          <w:p w14:paraId="61F766AC" w14:textId="544036AB" w:rsidR="00FB70F3" w:rsidRPr="0042214E" w:rsidRDefault="00FB70F3" w:rsidP="0015038D">
            <w:pPr>
              <w:pStyle w:val="Tablebullet"/>
            </w:pPr>
            <w:r w:rsidRPr="0042214E">
              <w:t xml:space="preserve">Utilise the PDDD checklist </w:t>
            </w:r>
            <w:r w:rsidR="00BA620A" w:rsidRPr="0042214E">
              <w:t>in</w:t>
            </w:r>
            <w:r w:rsidRPr="0042214E">
              <w:t xml:space="preserve"> the PDDD </w:t>
            </w:r>
            <w:r w:rsidR="00681444" w:rsidRPr="0042214E">
              <w:t>Guidelines</w:t>
            </w:r>
            <w:r w:rsidRPr="0042214E">
              <w:t xml:space="preserve"> and reflect the checklist as a table identifying elements, a short description and references to evidence.</w:t>
            </w:r>
          </w:p>
        </w:tc>
      </w:tr>
    </w:tbl>
    <w:p w14:paraId="0A2D503A" w14:textId="12B2BF56" w:rsidR="00027074" w:rsidRPr="0042214E" w:rsidRDefault="001B2DBC" w:rsidP="005E1934">
      <w:pPr>
        <w:pStyle w:val="Heading2numbered"/>
      </w:pPr>
      <w:bookmarkStart w:id="171" w:name="_Toc121415333"/>
      <w:r w:rsidRPr="0042214E">
        <w:t xml:space="preserve">Step 6: </w:t>
      </w:r>
      <w:r w:rsidR="00027074" w:rsidRPr="0042214E">
        <w:t xml:space="preserve">Commercial and </w:t>
      </w:r>
      <w:r w:rsidRPr="0042214E">
        <w:t>procurement</w:t>
      </w:r>
      <w:bookmarkEnd w:id="171"/>
    </w:p>
    <w:p w14:paraId="076B7D17" w14:textId="77777777" w:rsidR="00027074" w:rsidRPr="0042214E" w:rsidRDefault="00027074" w:rsidP="005E1934">
      <w:pPr>
        <w:pStyle w:val="Heading3numbered"/>
      </w:pPr>
      <w:bookmarkStart w:id="172" w:name="_Toc121415334"/>
      <w:r w:rsidRPr="0042214E">
        <w:t>Procurement strategy</w:t>
      </w:r>
      <w:bookmarkEnd w:id="172"/>
    </w:p>
    <w:p w14:paraId="41AAA1CA" w14:textId="77777777" w:rsidR="00027074" w:rsidRPr="0042214E" w:rsidRDefault="00027074" w:rsidP="006B713F">
      <w:pPr>
        <w:pStyle w:val="NormalIndent"/>
      </w:pPr>
      <w:r w:rsidRPr="0042214E">
        <w:t xml:space="preserve">Having a sound procurement methodology is essential to ensuring project delivery. As the decision to fund a project includes a decision on the procurement methodology, the full business case must include an analysis of procurement options and a recommendation on the preferred procurement method. The full business case must demonstrate that the investment would be procured by the most appropriate method and provide an overview of the recommended procurement strategy. </w:t>
      </w:r>
    </w:p>
    <w:p w14:paraId="5B05B73C" w14:textId="77777777" w:rsidR="00104E20" w:rsidRDefault="00104E20">
      <w:pPr>
        <w:keepLines w:val="0"/>
        <w:spacing w:line="264" w:lineRule="auto"/>
      </w:pPr>
      <w:r>
        <w:br w:type="page"/>
      </w:r>
    </w:p>
    <w:p w14:paraId="4A0D9255" w14:textId="2C7BE1D4" w:rsidR="00027074" w:rsidRPr="0042214E" w:rsidRDefault="00027074" w:rsidP="006B713F">
      <w:pPr>
        <w:pStyle w:val="NormalIndent"/>
      </w:pPr>
      <w:r w:rsidRPr="0042214E">
        <w:lastRenderedPageBreak/>
        <w:t>Good procurement outcomes for any project mean developing a strategy that will:</w:t>
      </w:r>
    </w:p>
    <w:p w14:paraId="05B39974" w14:textId="77777777" w:rsidR="00027074" w:rsidRPr="0042214E" w:rsidRDefault="00027074" w:rsidP="0015038D">
      <w:pPr>
        <w:pStyle w:val="Bulletindent"/>
      </w:pPr>
      <w:r w:rsidRPr="0042214E">
        <w:t xml:space="preserve">maximise the likelihood of achieving project </w:t>
      </w:r>
      <w:proofErr w:type="gramStart"/>
      <w:r w:rsidRPr="0042214E">
        <w:t>objectives;</w:t>
      </w:r>
      <w:proofErr w:type="gramEnd"/>
      <w:r w:rsidRPr="0042214E">
        <w:t xml:space="preserve"> </w:t>
      </w:r>
    </w:p>
    <w:p w14:paraId="5612B10F" w14:textId="380A732D" w:rsidR="00027074" w:rsidRPr="0042214E" w:rsidRDefault="00027074" w:rsidP="0015038D">
      <w:pPr>
        <w:pStyle w:val="Bulletindent"/>
      </w:pPr>
      <w:r w:rsidRPr="0042214E">
        <w:t xml:space="preserve">maximise value for </w:t>
      </w:r>
      <w:proofErr w:type="gramStart"/>
      <w:r w:rsidRPr="0042214E">
        <w:t>money;</w:t>
      </w:r>
      <w:proofErr w:type="gramEnd"/>
    </w:p>
    <w:p w14:paraId="261F75F3" w14:textId="26FBC7E7" w:rsidR="00027074" w:rsidRPr="0042214E" w:rsidRDefault="00027074" w:rsidP="0015038D">
      <w:pPr>
        <w:pStyle w:val="Bulletindent"/>
      </w:pPr>
      <w:r w:rsidRPr="0042214E">
        <w:t>minimise the likelihood of problems occurring later (this may be by selecting a flexible real options approach</w:t>
      </w:r>
      <w:proofErr w:type="gramStart"/>
      <w:r w:rsidR="00A34441" w:rsidRPr="0042214E">
        <w:t>);</w:t>
      </w:r>
      <w:proofErr w:type="gramEnd"/>
      <w:r w:rsidR="00A34441" w:rsidRPr="0042214E">
        <w:t xml:space="preserve"> </w:t>
      </w:r>
    </w:p>
    <w:p w14:paraId="1FFCBB87" w14:textId="2153A93F" w:rsidR="00027074" w:rsidRPr="0042214E" w:rsidRDefault="00027074" w:rsidP="0015038D">
      <w:pPr>
        <w:pStyle w:val="Bulletindent"/>
      </w:pPr>
      <w:r w:rsidRPr="0042214E">
        <w:t>improve management of risk and its consequences</w:t>
      </w:r>
      <w:r w:rsidR="00A34441" w:rsidRPr="0042214E">
        <w:t xml:space="preserve">; </w:t>
      </w:r>
      <w:r w:rsidRPr="0042214E">
        <w:t>and</w:t>
      </w:r>
    </w:p>
    <w:p w14:paraId="3DB2F220" w14:textId="737B2492" w:rsidR="00027074" w:rsidRPr="0042214E" w:rsidRDefault="00027074" w:rsidP="0015038D">
      <w:pPr>
        <w:pStyle w:val="Bulletindent"/>
      </w:pPr>
      <w:r w:rsidRPr="0042214E">
        <w:t xml:space="preserve">enable </w:t>
      </w:r>
      <w:r w:rsidRPr="00FB373D">
        <w:rPr>
          <w:i/>
        </w:rPr>
        <w:t>quality</w:t>
      </w:r>
      <w:r w:rsidRPr="00FB373D">
        <w:t xml:space="preserve"> </w:t>
      </w:r>
      <w:r w:rsidRPr="0042214E">
        <w:t xml:space="preserve">to be achieved (including design quality). </w:t>
      </w:r>
    </w:p>
    <w:p w14:paraId="14FF856D" w14:textId="7257E457" w:rsidR="00027074" w:rsidRPr="0042214E" w:rsidRDefault="00027074" w:rsidP="006B713F">
      <w:pPr>
        <w:pStyle w:val="NormalIndent"/>
      </w:pPr>
      <w:r w:rsidRPr="0042214E">
        <w:t xml:space="preserve">If </w:t>
      </w:r>
      <w:r w:rsidR="006772E4" w:rsidRPr="0042214E">
        <w:t xml:space="preserve">a </w:t>
      </w:r>
      <w:r w:rsidRPr="0042214E">
        <w:t xml:space="preserve">real options </w:t>
      </w:r>
      <w:r w:rsidR="006772E4" w:rsidRPr="0042214E">
        <w:t xml:space="preserve">approach </w:t>
      </w:r>
      <w:r w:rsidRPr="0042214E">
        <w:t xml:space="preserve">has been used in the formulation of the </w:t>
      </w:r>
      <w:r w:rsidR="00D21FB0" w:rsidRPr="0042214E">
        <w:t xml:space="preserve">project </w:t>
      </w:r>
      <w:r w:rsidRPr="0042214E">
        <w:t>solution, it will be necessary to select a procurement option that enables the project team to respond to changes in direction in accordance with predetermined criteria.</w:t>
      </w:r>
    </w:p>
    <w:p w14:paraId="29AE6B3C" w14:textId="77777777" w:rsidR="00027074" w:rsidRPr="0042214E" w:rsidRDefault="00027074" w:rsidP="0015038D">
      <w:pPr>
        <w:pStyle w:val="Heading4"/>
      </w:pPr>
      <w:r w:rsidRPr="0042214E">
        <w:t>Procurement options analysis</w:t>
      </w:r>
    </w:p>
    <w:p w14:paraId="01856C9C" w14:textId="449E1DB7" w:rsidR="00D776E6" w:rsidRPr="0042214E" w:rsidRDefault="00641254" w:rsidP="006B713F">
      <w:pPr>
        <w:pStyle w:val="NormalIndent"/>
      </w:pPr>
      <w:r w:rsidRPr="0042214E">
        <w:t xml:space="preserve">Choosing the right procurement model for </w:t>
      </w:r>
      <w:r w:rsidR="00886195" w:rsidRPr="0042214E">
        <w:t>an</w:t>
      </w:r>
      <w:r w:rsidRPr="0042214E">
        <w:t xml:space="preserve"> investment is a significant decision requiring in</w:t>
      </w:r>
      <w:r w:rsidR="00034452" w:rsidRPr="0042214E">
        <w:noBreakHyphen/>
      </w:r>
      <w:r w:rsidRPr="0042214E">
        <w:t xml:space="preserve">depth analysis and consideration – getting it wrong could have a serious impact on the project delivery success and realisation of benefits. </w:t>
      </w:r>
    </w:p>
    <w:p w14:paraId="786A77D3" w14:textId="1A7E7CC6" w:rsidR="00641254" w:rsidRPr="0042214E" w:rsidRDefault="00641254" w:rsidP="006B713F">
      <w:pPr>
        <w:pStyle w:val="NormalIndent"/>
      </w:pPr>
      <w:r w:rsidRPr="0042214E">
        <w:t>The procurement methodology employed by the strategy must be appropriate for the types of risks, issues and ambitions that have been identified as associated with the specific project. These decisions must be based on a thorough analysis of relevant facts, particularly procurement objectives, project characteristics, risks, the requirements, supplier markets, and agency capability.</w:t>
      </w:r>
    </w:p>
    <w:p w14:paraId="4D4F348E" w14:textId="38BE525C" w:rsidR="00027074" w:rsidRPr="0042214E" w:rsidRDefault="00027074" w:rsidP="006B713F">
      <w:pPr>
        <w:pStyle w:val="NormalIndent"/>
      </w:pPr>
      <w:r w:rsidRPr="0042214E">
        <w:t xml:space="preserve">A good procurement options analysis process includes: </w:t>
      </w:r>
    </w:p>
    <w:p w14:paraId="72A00EA3" w14:textId="507FC9F0" w:rsidR="00027074" w:rsidRPr="0042214E" w:rsidRDefault="00027074" w:rsidP="0015038D">
      <w:pPr>
        <w:pStyle w:val="Bulletindent"/>
      </w:pPr>
      <w:r w:rsidRPr="0042214E">
        <w:t>compiling information on project objectives (linked to investment benefits), project characteristics, risks</w:t>
      </w:r>
      <w:r w:rsidR="00A34441" w:rsidRPr="0042214E">
        <w:t>,</w:t>
      </w:r>
      <w:r w:rsidRPr="0042214E">
        <w:t xml:space="preserve"> </w:t>
      </w:r>
      <w:proofErr w:type="gramStart"/>
      <w:r w:rsidR="00FB7609" w:rsidRPr="0042214E">
        <w:t>etc.</w:t>
      </w:r>
      <w:r w:rsidR="00FB7609">
        <w:t>;</w:t>
      </w:r>
      <w:proofErr w:type="gramEnd"/>
      <w:r w:rsidRPr="0042214E">
        <w:t xml:space="preserve"> </w:t>
      </w:r>
    </w:p>
    <w:p w14:paraId="015E885E" w14:textId="3F20BA3F" w:rsidR="00027074" w:rsidRPr="0042214E" w:rsidRDefault="00027074" w:rsidP="0015038D">
      <w:pPr>
        <w:pStyle w:val="Bulletindent"/>
      </w:pPr>
      <w:r w:rsidRPr="0042214E">
        <w:t>developing assessment criteria to shortlist</w:t>
      </w:r>
      <w:r w:rsidR="00A34441" w:rsidRPr="0042214E">
        <w:t>,</w:t>
      </w:r>
      <w:r w:rsidRPr="0042214E">
        <w:t xml:space="preserve"> then </w:t>
      </w:r>
      <w:r w:rsidR="00A34441" w:rsidRPr="0042214E">
        <w:t xml:space="preserve">analysing </w:t>
      </w:r>
      <w:r w:rsidRPr="0042214E">
        <w:t xml:space="preserve">procurement </w:t>
      </w:r>
      <w:proofErr w:type="gramStart"/>
      <w:r w:rsidRPr="0042214E">
        <w:t>options;</w:t>
      </w:r>
      <w:proofErr w:type="gramEnd"/>
    </w:p>
    <w:p w14:paraId="22A22916" w14:textId="642A446F" w:rsidR="00027074" w:rsidRPr="0042214E" w:rsidRDefault="00027074" w:rsidP="0015038D">
      <w:pPr>
        <w:pStyle w:val="Bulletindent"/>
      </w:pPr>
      <w:r w:rsidRPr="0042214E">
        <w:t>a shortlisting process (this is not always needed</w:t>
      </w:r>
      <w:proofErr w:type="gramStart"/>
      <w:r w:rsidRPr="0042214E">
        <w:t>);</w:t>
      </w:r>
      <w:proofErr w:type="gramEnd"/>
    </w:p>
    <w:p w14:paraId="420EE78B" w14:textId="77777777" w:rsidR="00027074" w:rsidRPr="0042214E" w:rsidRDefault="00027074" w:rsidP="0015038D">
      <w:pPr>
        <w:pStyle w:val="Bulletindent"/>
      </w:pPr>
      <w:r w:rsidRPr="0042214E">
        <w:t xml:space="preserve">a detailed procurement options analysis to identify the best </w:t>
      </w:r>
      <w:proofErr w:type="gramStart"/>
      <w:r w:rsidRPr="0042214E">
        <w:t>approach;</w:t>
      </w:r>
      <w:proofErr w:type="gramEnd"/>
    </w:p>
    <w:p w14:paraId="50D58777" w14:textId="77777777" w:rsidR="00027074" w:rsidRPr="0042214E" w:rsidRDefault="00027074" w:rsidP="0015038D">
      <w:pPr>
        <w:pStyle w:val="Bulletindent"/>
      </w:pPr>
      <w:r w:rsidRPr="0042214E">
        <w:t xml:space="preserve">tailoring of the preferred approach; and </w:t>
      </w:r>
    </w:p>
    <w:p w14:paraId="2ABAB8CC" w14:textId="25D53678" w:rsidR="00027074" w:rsidRPr="0042214E" w:rsidRDefault="00027074" w:rsidP="0015038D">
      <w:pPr>
        <w:pStyle w:val="Bulletindent"/>
      </w:pPr>
      <w:r w:rsidRPr="0042214E">
        <w:t>considering a range of other issues to consider such as probity, transparency, value for money, fairness</w:t>
      </w:r>
      <w:r w:rsidR="00A34441" w:rsidRPr="0042214E">
        <w:t>,</w:t>
      </w:r>
      <w:r w:rsidRPr="0042214E">
        <w:t xml:space="preserve"> etc.</w:t>
      </w:r>
    </w:p>
    <w:p w14:paraId="4FF940B8" w14:textId="27E81957" w:rsidR="00641254" w:rsidRPr="0042214E" w:rsidRDefault="00641254" w:rsidP="0015038D">
      <w:pPr>
        <w:pStyle w:val="NormalIndent"/>
      </w:pPr>
      <w:r w:rsidRPr="0042214E">
        <w:t>Agencies are encouraged to use a procurement workshop to enable key stakeholders to discuss and reach consensus on the best procurement model for the investment being considered.</w:t>
      </w:r>
    </w:p>
    <w:p w14:paraId="58503869" w14:textId="72503F84" w:rsidR="00027074" w:rsidRPr="0042214E" w:rsidRDefault="00027074" w:rsidP="0015038D">
      <w:pPr>
        <w:pStyle w:val="NormalIndent"/>
      </w:pPr>
      <w:r w:rsidRPr="0042214E">
        <w:t xml:space="preserve">DTF recommends the use of the process set out in the </w:t>
      </w:r>
      <w:r w:rsidRPr="00922978">
        <w:rPr>
          <w:b/>
          <w:color w:val="E57200" w:themeColor="accent2"/>
        </w:rPr>
        <w:t>Procurement Strategy</w:t>
      </w:r>
      <w:r w:rsidRPr="00922978">
        <w:rPr>
          <w:color w:val="E57200" w:themeColor="accent2"/>
        </w:rPr>
        <w:t xml:space="preserve"> </w:t>
      </w:r>
      <w:r w:rsidR="006772E4" w:rsidRPr="0042214E">
        <w:t xml:space="preserve">technical guide </w:t>
      </w:r>
      <w:r w:rsidRPr="0042214E">
        <w:t>when developing this section of the full business case.</w:t>
      </w:r>
    </w:p>
    <w:p w14:paraId="0827AECB" w14:textId="77777777" w:rsidR="00104E20" w:rsidRDefault="00104E20">
      <w:pPr>
        <w:keepLines w:val="0"/>
        <w:spacing w:line="264" w:lineRule="auto"/>
      </w:pPr>
      <w:r>
        <w:br w:type="page"/>
      </w:r>
    </w:p>
    <w:p w14:paraId="2487F5C6" w14:textId="19590BD5" w:rsidR="00D776E6" w:rsidRPr="0042214E" w:rsidRDefault="00D776E6" w:rsidP="006B713F">
      <w:pPr>
        <w:pStyle w:val="NormalIndent"/>
      </w:pPr>
      <w:r w:rsidRPr="0042214E">
        <w:lastRenderedPageBreak/>
        <w:t>The Victorian Government’s public construction projects use a variety of delivery models. These include:</w:t>
      </w:r>
    </w:p>
    <w:p w14:paraId="0EEC81AD" w14:textId="2EE17533" w:rsidR="00D776E6" w:rsidRPr="0042214E" w:rsidRDefault="00D776E6" w:rsidP="0015038D">
      <w:pPr>
        <w:pStyle w:val="Bulletindent"/>
      </w:pPr>
      <w:r w:rsidRPr="0042214E">
        <w:t>public private partnerships (Partnerships Victoria projects</w:t>
      </w:r>
      <w:proofErr w:type="gramStart"/>
      <w:r w:rsidRPr="0042214E">
        <w:t>);</w:t>
      </w:r>
      <w:proofErr w:type="gramEnd"/>
      <w:r w:rsidRPr="0042214E">
        <w:t xml:space="preserve"> </w:t>
      </w:r>
    </w:p>
    <w:p w14:paraId="22378E09" w14:textId="5222B8A4" w:rsidR="00D776E6" w:rsidRPr="0042214E" w:rsidRDefault="00D776E6" w:rsidP="0015038D">
      <w:pPr>
        <w:pStyle w:val="Bulletindent"/>
      </w:pPr>
      <w:r w:rsidRPr="0042214E">
        <w:t xml:space="preserve">alliance </w:t>
      </w:r>
      <w:proofErr w:type="gramStart"/>
      <w:r w:rsidRPr="0042214E">
        <w:t>contracting;</w:t>
      </w:r>
      <w:proofErr w:type="gramEnd"/>
      <w:r w:rsidRPr="0042214E">
        <w:t xml:space="preserve"> </w:t>
      </w:r>
    </w:p>
    <w:p w14:paraId="4850ADFC" w14:textId="0A2F30CC" w:rsidR="00D776E6" w:rsidRPr="0042214E" w:rsidRDefault="00D776E6" w:rsidP="0015038D">
      <w:pPr>
        <w:pStyle w:val="Bulletindent"/>
      </w:pPr>
      <w:r w:rsidRPr="0042214E">
        <w:t xml:space="preserve">managing </w:t>
      </w:r>
      <w:proofErr w:type="gramStart"/>
      <w:r w:rsidRPr="0042214E">
        <w:t>contractor;</w:t>
      </w:r>
      <w:proofErr w:type="gramEnd"/>
      <w:r w:rsidRPr="0042214E">
        <w:t xml:space="preserve"> </w:t>
      </w:r>
    </w:p>
    <w:p w14:paraId="5A2F77A9" w14:textId="4FD80A23" w:rsidR="00D776E6" w:rsidRPr="0042214E" w:rsidRDefault="00D776E6" w:rsidP="0015038D">
      <w:pPr>
        <w:pStyle w:val="Bulletindent"/>
      </w:pPr>
      <w:r w:rsidRPr="0042214E">
        <w:t>construct only (lump sum or fixed price contract</w:t>
      </w:r>
      <w:proofErr w:type="gramStart"/>
      <w:r w:rsidRPr="0042214E">
        <w:t>);</w:t>
      </w:r>
      <w:proofErr w:type="gramEnd"/>
      <w:r w:rsidRPr="0042214E">
        <w:t xml:space="preserve"> </w:t>
      </w:r>
    </w:p>
    <w:p w14:paraId="6A0E6370" w14:textId="6E5DB2DF" w:rsidR="00D776E6" w:rsidRPr="0042214E" w:rsidRDefault="00D776E6" w:rsidP="0015038D">
      <w:pPr>
        <w:pStyle w:val="Bulletindent"/>
      </w:pPr>
      <w:r w:rsidRPr="0042214E">
        <w:t xml:space="preserve">design and </w:t>
      </w:r>
      <w:proofErr w:type="gramStart"/>
      <w:r w:rsidRPr="0042214E">
        <w:t>construct;</w:t>
      </w:r>
      <w:proofErr w:type="gramEnd"/>
      <w:r w:rsidRPr="0042214E">
        <w:t xml:space="preserve"> </w:t>
      </w:r>
    </w:p>
    <w:p w14:paraId="45099FBF" w14:textId="14B5940A" w:rsidR="00D776E6" w:rsidRPr="0042214E" w:rsidRDefault="00D776E6" w:rsidP="0015038D">
      <w:pPr>
        <w:pStyle w:val="Bulletindent"/>
      </w:pPr>
      <w:r w:rsidRPr="0042214E">
        <w:t xml:space="preserve">design, construct and </w:t>
      </w:r>
      <w:proofErr w:type="gramStart"/>
      <w:r w:rsidRPr="0042214E">
        <w:t>maintain;</w:t>
      </w:r>
      <w:proofErr w:type="gramEnd"/>
      <w:r w:rsidRPr="0042214E">
        <w:t xml:space="preserve"> </w:t>
      </w:r>
    </w:p>
    <w:p w14:paraId="1D4236FC" w14:textId="52CEB841" w:rsidR="00D776E6" w:rsidRPr="0042214E" w:rsidRDefault="00D776E6" w:rsidP="0015038D">
      <w:pPr>
        <w:pStyle w:val="Bulletindent"/>
      </w:pPr>
      <w:r w:rsidRPr="0042214E">
        <w:t>construction management; and</w:t>
      </w:r>
    </w:p>
    <w:p w14:paraId="6C1B008F" w14:textId="37606A6A" w:rsidR="00D776E6" w:rsidRPr="0042214E" w:rsidRDefault="00D776E6" w:rsidP="0015038D">
      <w:pPr>
        <w:pStyle w:val="Bulletindent"/>
      </w:pPr>
      <w:r w:rsidRPr="0042214E">
        <w:t>hybrid approaches.</w:t>
      </w:r>
    </w:p>
    <w:p w14:paraId="678D139C" w14:textId="16B9F9E7" w:rsidR="00D5473A" w:rsidRPr="0042214E" w:rsidRDefault="00D5473A" w:rsidP="006B713F">
      <w:pPr>
        <w:pStyle w:val="NormalIndent"/>
      </w:pPr>
      <w:r w:rsidRPr="0042214E">
        <w:t xml:space="preserve">Delivery models can be combined to create a hybrid delivery model more suited to the project circumstances. On a large project, parts of the project may be packaged separately and so there may be different contracts and delivery models, which all need to be reflected in the procurement strategy. </w:t>
      </w:r>
    </w:p>
    <w:p w14:paraId="2A363FA2" w14:textId="77777777" w:rsidR="00D5473A" w:rsidRPr="0042214E" w:rsidRDefault="00D5473A" w:rsidP="006B713F">
      <w:pPr>
        <w:pStyle w:val="NormalIndent"/>
      </w:pPr>
      <w:r w:rsidRPr="0042214E">
        <w:t>Agencies may need to form adaptations to the preferred procurement method to ensure quality and good design are embedded in the process and are key criteria for measuring success</w:t>
      </w:r>
      <w:r w:rsidR="006E7714" w:rsidRPr="0042214E">
        <w:t xml:space="preserve">. </w:t>
      </w:r>
    </w:p>
    <w:p w14:paraId="7E33FC45" w14:textId="77777777" w:rsidR="00D5473A" w:rsidRPr="0042214E" w:rsidRDefault="00D5473A" w:rsidP="006B713F">
      <w:pPr>
        <w:pStyle w:val="NormalIndent"/>
      </w:pPr>
      <w:r w:rsidRPr="0042214E">
        <w:t>The Office of the Victorian Government Architect can provide advice and recommendations on the selecting procurement models and potential adaptations from a design perspective.</w:t>
      </w:r>
    </w:p>
    <w:p w14:paraId="2B61DBC7" w14:textId="42A48DFA" w:rsidR="00D5473A" w:rsidRPr="0042214E" w:rsidRDefault="00D5473A" w:rsidP="0015038D">
      <w:pPr>
        <w:pStyle w:val="Heading4"/>
      </w:pPr>
      <w:r w:rsidRPr="0042214E">
        <w:t>Market engagement</w:t>
      </w:r>
    </w:p>
    <w:p w14:paraId="64392CBE" w14:textId="77777777" w:rsidR="00D5473A" w:rsidRPr="0042214E" w:rsidRDefault="00D5473A" w:rsidP="006B713F">
      <w:pPr>
        <w:pStyle w:val="NormalIndent"/>
      </w:pPr>
      <w:r w:rsidRPr="0042214E">
        <w:t>Market engagement refers to two distinct activities important in developing procurement strategies:</w:t>
      </w:r>
    </w:p>
    <w:p w14:paraId="007671DC" w14:textId="77777777" w:rsidR="00D5473A" w:rsidRPr="0042214E" w:rsidRDefault="00D5473A" w:rsidP="0015038D">
      <w:pPr>
        <w:pStyle w:val="Numparaindent"/>
        <w:contextualSpacing w:val="0"/>
      </w:pPr>
      <w:r w:rsidRPr="0042214E">
        <w:rPr>
          <w:b/>
          <w:color w:val="E57200" w:themeColor="accent2"/>
        </w:rPr>
        <w:t>Market soundings</w:t>
      </w:r>
      <w:r w:rsidRPr="0042214E">
        <w:t xml:space="preserve"> – involves accessing information and intelligence (via a range of activities including industry forums and market surveys) on the potential capacity of industry to deliver the project. This process enables a competitive bid process.</w:t>
      </w:r>
    </w:p>
    <w:p w14:paraId="5AFAA98F" w14:textId="77A13711" w:rsidR="00D5473A" w:rsidRPr="0042214E" w:rsidRDefault="00D5473A" w:rsidP="0015038D">
      <w:pPr>
        <w:pStyle w:val="Numparaindent"/>
        <w:contextualSpacing w:val="0"/>
      </w:pPr>
      <w:r w:rsidRPr="0042214E">
        <w:rPr>
          <w:b/>
          <w:color w:val="E57200" w:themeColor="accent2"/>
        </w:rPr>
        <w:t>Industry briefings</w:t>
      </w:r>
      <w:r w:rsidRPr="0042214E">
        <w:t xml:space="preserve"> – involves collecting </w:t>
      </w:r>
      <w:r w:rsidR="00A34441" w:rsidRPr="0042214E">
        <w:t>project-</w:t>
      </w:r>
      <w:r w:rsidRPr="0042214E">
        <w:t>specific information during the planning phase to facilitate preliminary dialogue with industry. This helps ensure a competitive market prior to inviting tenders. There is a range of issues that may be discussed at this point based on project specifics (subject to probity). Some include:</w:t>
      </w:r>
    </w:p>
    <w:p w14:paraId="5D47CC55" w14:textId="77777777" w:rsidR="00D5473A" w:rsidRPr="0042214E" w:rsidRDefault="00D5473A" w:rsidP="0015038D">
      <w:pPr>
        <w:pStyle w:val="Bulletindent2"/>
      </w:pPr>
      <w:r w:rsidRPr="0042214E">
        <w:t xml:space="preserve">scope of the </w:t>
      </w:r>
      <w:proofErr w:type="gramStart"/>
      <w:r w:rsidRPr="0042214E">
        <w:t>project;</w:t>
      </w:r>
      <w:proofErr w:type="gramEnd"/>
    </w:p>
    <w:p w14:paraId="2676C813" w14:textId="77777777" w:rsidR="00D5473A" w:rsidRPr="0042214E" w:rsidRDefault="00D5473A" w:rsidP="0015038D">
      <w:pPr>
        <w:pStyle w:val="Bulletindent2"/>
      </w:pPr>
      <w:r w:rsidRPr="0042214E">
        <w:t xml:space="preserve">project </w:t>
      </w:r>
      <w:proofErr w:type="gramStart"/>
      <w:r w:rsidRPr="0042214E">
        <w:t>timelines;</w:t>
      </w:r>
      <w:proofErr w:type="gramEnd"/>
    </w:p>
    <w:p w14:paraId="35E649A9" w14:textId="77777777" w:rsidR="00D5473A" w:rsidRPr="0042214E" w:rsidRDefault="00D5473A" w:rsidP="0015038D">
      <w:pPr>
        <w:pStyle w:val="Bulletindent2"/>
      </w:pPr>
      <w:r w:rsidRPr="0042214E">
        <w:t xml:space="preserve">project specific issues and requirements; and </w:t>
      </w:r>
    </w:p>
    <w:p w14:paraId="5EA49A2E" w14:textId="58E2D09C" w:rsidR="00027074" w:rsidRPr="0042214E" w:rsidRDefault="00D5473A" w:rsidP="0015038D">
      <w:pPr>
        <w:pStyle w:val="Bulletindent2"/>
      </w:pPr>
      <w:r w:rsidRPr="0042214E">
        <w:t>market interest and capability.</w:t>
      </w:r>
    </w:p>
    <w:p w14:paraId="09E8359B" w14:textId="77777777" w:rsidR="00104E20" w:rsidRDefault="00104E20">
      <w:r>
        <w:rPr>
          <w:b/>
        </w:rPr>
        <w:br w:type="page"/>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DD03D8" w:rsidRPr="0042214E" w14:paraId="63E8559E" w14:textId="77777777" w:rsidTr="00104E20">
        <w:tc>
          <w:tcPr>
            <w:tcW w:w="8377" w:type="dxa"/>
            <w:shd w:val="clear" w:color="auto" w:fill="FDF3EA" w:themeFill="accent5" w:themeFillTint="33"/>
          </w:tcPr>
          <w:p w14:paraId="492ECFB0" w14:textId="62083584" w:rsidR="00DD03D8" w:rsidRPr="0042214E" w:rsidRDefault="00DD03D8" w:rsidP="0015038D">
            <w:pPr>
              <w:pStyle w:val="Tabletextbold"/>
            </w:pPr>
            <w:r w:rsidRPr="0042214E">
              <w:lastRenderedPageBreak/>
              <w:t>Business case information requirements for the procurement options analysis</w:t>
            </w:r>
          </w:p>
          <w:p w14:paraId="23E25F4B" w14:textId="77777777" w:rsidR="00DD03D8" w:rsidRPr="0042214E" w:rsidRDefault="00DD03D8" w:rsidP="0015038D">
            <w:pPr>
              <w:pStyle w:val="Tablebullet"/>
            </w:pPr>
            <w:r w:rsidRPr="0042214E">
              <w:t>Provide an analysis of key skills and resources required, and possible limitations or issues that may impact the proposed solution, including options to mitigate these issues.</w:t>
            </w:r>
          </w:p>
          <w:p w14:paraId="2EE16BCD" w14:textId="77777777" w:rsidR="00DD03D8" w:rsidRPr="0042214E" w:rsidRDefault="00DD03D8" w:rsidP="0015038D">
            <w:pPr>
              <w:pStyle w:val="Tablebullet"/>
            </w:pPr>
            <w:r w:rsidRPr="0042214E">
              <w:t xml:space="preserve">Outline procurement options testing and analysis method and process, showing ranking of options against criteria used to select recommended procurement strategy, with a balanced view of the related issues of time, cost, whole of life value, and quality. </w:t>
            </w:r>
          </w:p>
          <w:p w14:paraId="18F16EFE" w14:textId="7EA2F4A4" w:rsidR="00DD03D8" w:rsidRPr="0042214E" w:rsidRDefault="00DD03D8" w:rsidP="0015038D">
            <w:pPr>
              <w:pStyle w:val="Tablebullet"/>
            </w:pPr>
            <w:r w:rsidRPr="0042214E">
              <w:t>Outline the recommended procurement strategy, justifying why it is the best value for money option (</w:t>
            </w:r>
            <w:r w:rsidR="00FB7609" w:rsidRPr="0042214E">
              <w:t>e.g.,</w:t>
            </w:r>
            <w:r w:rsidRPr="0042214E">
              <w:t xml:space="preserve"> by having the capacity to include flexibility or better manage risk), demonstrating how it builds on the business case and links to implementation and delivery.</w:t>
            </w:r>
          </w:p>
          <w:p w14:paraId="268EF830" w14:textId="30E771F1" w:rsidR="00DD03D8" w:rsidRPr="0042214E" w:rsidRDefault="00DD03D8" w:rsidP="0015038D">
            <w:pPr>
              <w:pStyle w:val="Tablebullet"/>
            </w:pPr>
            <w:r w:rsidRPr="0042214E">
              <w:t>In the procurement strategy:</w:t>
            </w:r>
          </w:p>
          <w:p w14:paraId="55D40DEC" w14:textId="27A78211" w:rsidR="00DD03D8" w:rsidRPr="0042214E" w:rsidRDefault="00DD03D8" w:rsidP="0015038D">
            <w:pPr>
              <w:pStyle w:val="Tabledash"/>
            </w:pPr>
            <w:r w:rsidRPr="0042214E">
              <w:t xml:space="preserve">outline the methodology, approach, process and project management structure for implementation of the investment’s </w:t>
            </w:r>
            <w:proofErr w:type="gramStart"/>
            <w:r w:rsidRPr="0042214E">
              <w:t>procurement;</w:t>
            </w:r>
            <w:proofErr w:type="gramEnd"/>
          </w:p>
          <w:p w14:paraId="4804C7C8" w14:textId="32C13F23" w:rsidR="00DD03D8" w:rsidRPr="0042214E" w:rsidRDefault="00DD03D8" w:rsidP="0015038D">
            <w:pPr>
              <w:pStyle w:val="Tabledash"/>
            </w:pPr>
            <w:r w:rsidRPr="0042214E">
              <w:t xml:space="preserve">formulate adaptations to the preferred procurement method to ensure that quality and good design are embedded in the process and are key criteria for measuring success of the </w:t>
            </w:r>
            <w:proofErr w:type="gramStart"/>
            <w:r w:rsidRPr="0042214E">
              <w:t>project;</w:t>
            </w:r>
            <w:proofErr w:type="gramEnd"/>
            <w:r w:rsidRPr="0042214E">
              <w:t xml:space="preserve"> </w:t>
            </w:r>
          </w:p>
          <w:p w14:paraId="7A711A32" w14:textId="1647AD14" w:rsidR="00DD03D8" w:rsidRPr="0042214E" w:rsidRDefault="00DD03D8" w:rsidP="0015038D">
            <w:pPr>
              <w:pStyle w:val="Tabledash"/>
            </w:pPr>
            <w:r w:rsidRPr="0042214E">
              <w:t>outline the organisation’s experience and capability to deliver the preferred procurement method as well as outline key risks and contractual issues. Provide details of legislative, policy or business practice changes required (referring to ILM</w:t>
            </w:r>
            <w:proofErr w:type="gramStart"/>
            <w:r w:rsidRPr="0042214E">
              <w:t>);</w:t>
            </w:r>
            <w:proofErr w:type="gramEnd"/>
          </w:p>
          <w:p w14:paraId="0412458E" w14:textId="37508049" w:rsidR="00DD03D8" w:rsidRPr="0042214E" w:rsidRDefault="00DD03D8" w:rsidP="0015038D">
            <w:pPr>
              <w:pStyle w:val="Tabledash"/>
            </w:pPr>
            <w:r w:rsidRPr="0042214E">
              <w:t xml:space="preserve">provide an overview of the planning for the approach to market, evaluation of offers and identification of the preferred </w:t>
            </w:r>
            <w:proofErr w:type="gramStart"/>
            <w:r w:rsidRPr="0042214E">
              <w:t>supplier;</w:t>
            </w:r>
            <w:proofErr w:type="gramEnd"/>
            <w:r w:rsidRPr="0042214E">
              <w:t xml:space="preserve"> </w:t>
            </w:r>
          </w:p>
          <w:p w14:paraId="4C02FDE6" w14:textId="05D4E921" w:rsidR="00DD03D8" w:rsidRPr="0042214E" w:rsidRDefault="00DD03D8" w:rsidP="0015038D">
            <w:pPr>
              <w:pStyle w:val="Tabledash"/>
            </w:pPr>
            <w:r w:rsidRPr="0042214E">
              <w:t xml:space="preserve">ensure the best supplier is selected for the right reasons and at a price that represents value for money over the life of the </w:t>
            </w:r>
            <w:proofErr w:type="gramStart"/>
            <w:r w:rsidRPr="0042214E">
              <w:t>contract;</w:t>
            </w:r>
            <w:proofErr w:type="gramEnd"/>
            <w:r w:rsidRPr="0042214E">
              <w:t xml:space="preserve"> </w:t>
            </w:r>
          </w:p>
          <w:p w14:paraId="29D34BEE" w14:textId="4B42D017" w:rsidR="00DD03D8" w:rsidRPr="0042214E" w:rsidRDefault="00DD03D8" w:rsidP="0015038D">
            <w:pPr>
              <w:pStyle w:val="Tabledash"/>
            </w:pPr>
            <w:r w:rsidRPr="0042214E">
              <w:t>assign roles and responsibilities; and</w:t>
            </w:r>
          </w:p>
          <w:p w14:paraId="2A14A81A" w14:textId="4AD55D66" w:rsidR="00DD03D8" w:rsidRPr="0042214E" w:rsidRDefault="00DD03D8" w:rsidP="0015038D">
            <w:pPr>
              <w:pStyle w:val="Tabledash"/>
            </w:pPr>
            <w:r w:rsidRPr="0042214E">
              <w:t>set realistic timeframes.</w:t>
            </w:r>
          </w:p>
          <w:p w14:paraId="54D12C58" w14:textId="57790E5F" w:rsidR="008F272E" w:rsidRPr="0042214E" w:rsidRDefault="008F272E" w:rsidP="0015038D">
            <w:pPr>
              <w:pStyle w:val="Tablebullet"/>
            </w:pPr>
            <w:r w:rsidRPr="0042214E">
              <w:t>Outline market conditions and any potential constraints to delivery.</w:t>
            </w:r>
          </w:p>
          <w:p w14:paraId="7581C196" w14:textId="6D8F24EA" w:rsidR="00DD03D8" w:rsidRPr="0042214E" w:rsidRDefault="00DD03D8" w:rsidP="0015038D">
            <w:pPr>
              <w:pStyle w:val="Tablebullet"/>
            </w:pPr>
            <w:r w:rsidRPr="0042214E">
              <w:t xml:space="preserve">If a PPP procurement or </w:t>
            </w:r>
            <w:r w:rsidR="00197FCC" w:rsidRPr="0042214E">
              <w:t xml:space="preserve">alliancing </w:t>
            </w:r>
            <w:r w:rsidRPr="0042214E">
              <w:t>approach is being proposed additional details are required (DTF can advise on these requirements).</w:t>
            </w:r>
          </w:p>
          <w:p w14:paraId="7A528A9F" w14:textId="27BC36BF" w:rsidR="008F272E" w:rsidRPr="0042214E" w:rsidRDefault="008F272E" w:rsidP="0015038D">
            <w:pPr>
              <w:pStyle w:val="Tablebullet"/>
            </w:pPr>
            <w:r w:rsidRPr="0042214E">
              <w:t>Outline intended contractual arrangements.</w:t>
            </w:r>
          </w:p>
          <w:p w14:paraId="7A8D1786" w14:textId="385970A5" w:rsidR="008F272E" w:rsidRPr="0042214E" w:rsidRDefault="008F272E" w:rsidP="0015038D">
            <w:pPr>
              <w:pStyle w:val="Tablebullet"/>
            </w:pPr>
            <w:r w:rsidRPr="0042214E">
              <w:t>Outline potential payment mechanisms.</w:t>
            </w:r>
          </w:p>
          <w:p w14:paraId="3622AA2B" w14:textId="77777777" w:rsidR="00285693" w:rsidRPr="0042214E" w:rsidRDefault="00DD03D8" w:rsidP="0015038D">
            <w:pPr>
              <w:pStyle w:val="Tablebullet"/>
            </w:pPr>
            <w:r w:rsidRPr="0042214E">
              <w:t>Summarise any risks related to commercial and procurement.</w:t>
            </w:r>
          </w:p>
          <w:p w14:paraId="5A4355EB" w14:textId="2F116C77" w:rsidR="00DD03D8" w:rsidRPr="0042214E" w:rsidRDefault="00DD03D8" w:rsidP="0015038D">
            <w:pPr>
              <w:pStyle w:val="Tablebullet"/>
            </w:pPr>
            <w:r w:rsidRPr="0042214E">
              <w:t>Undertake commercial</w:t>
            </w:r>
            <w:r w:rsidR="00034452" w:rsidRPr="0042214E">
              <w:noBreakHyphen/>
            </w:r>
            <w:r w:rsidRPr="0042214E">
              <w:t>related risk assessment and management strategies.</w:t>
            </w:r>
          </w:p>
          <w:p w14:paraId="01458ABE" w14:textId="7395C8F6" w:rsidR="00A465AD" w:rsidRPr="0042214E" w:rsidRDefault="00A465AD" w:rsidP="0015038D">
            <w:pPr>
              <w:pStyle w:val="Tablebullet"/>
            </w:pPr>
            <w:r w:rsidRPr="0042214E">
              <w:t xml:space="preserve">Outline intended allocation of risks between </w:t>
            </w:r>
            <w:r w:rsidR="00652C52" w:rsidRPr="0042214E">
              <w:t>G</w:t>
            </w:r>
            <w:r w:rsidRPr="0042214E">
              <w:t xml:space="preserve">overnment and </w:t>
            </w:r>
            <w:r w:rsidR="00652C52" w:rsidRPr="0042214E">
              <w:t>contractor(s).</w:t>
            </w:r>
          </w:p>
        </w:tc>
      </w:tr>
    </w:tbl>
    <w:p w14:paraId="7C804C3E" w14:textId="3106B157" w:rsidR="00DD03D8" w:rsidRPr="0042214E" w:rsidRDefault="00DD03D8" w:rsidP="00DD03D8">
      <w:pPr>
        <w:ind w:left="284" w:hanging="284"/>
      </w:pPr>
    </w:p>
    <w:tbl>
      <w:tblPr>
        <w:tblStyle w:val="DTFfinancialtableindent"/>
        <w:tblW w:w="0" w:type="auto"/>
        <w:tblLook w:val="0680" w:firstRow="0" w:lastRow="0" w:firstColumn="1" w:lastColumn="0" w:noHBand="1" w:noVBand="1"/>
      </w:tblPr>
      <w:tblGrid>
        <w:gridCol w:w="8377"/>
      </w:tblGrid>
      <w:tr w:rsidR="003C6380" w:rsidRPr="0042214E" w14:paraId="3E776577" w14:textId="77777777" w:rsidTr="0015038D">
        <w:tc>
          <w:tcPr>
            <w:cnfStyle w:val="001000000000" w:firstRow="0" w:lastRow="0" w:firstColumn="1" w:lastColumn="0" w:oddVBand="0" w:evenVBand="0" w:oddHBand="0" w:evenHBand="0" w:firstRowFirstColumn="0" w:firstRowLastColumn="0" w:lastRowFirstColumn="0" w:lastRowLastColumn="0"/>
            <w:tcW w:w="8502" w:type="dxa"/>
          </w:tcPr>
          <w:p w14:paraId="56591397" w14:textId="77777777" w:rsidR="00FB373D" w:rsidRPr="00FB373D" w:rsidRDefault="003C6380" w:rsidP="00104E20">
            <w:pPr>
              <w:pStyle w:val="Tabletextbold"/>
              <w:pageBreakBefore/>
              <w:rPr>
                <w:sz w:val="20"/>
              </w:rPr>
            </w:pPr>
            <w:r w:rsidRPr="00FB373D">
              <w:rPr>
                <w:sz w:val="20"/>
              </w:rPr>
              <w:lastRenderedPageBreak/>
              <w:t>Procurement analysis and strategy (fictional hospital example)</w:t>
            </w:r>
          </w:p>
          <w:p w14:paraId="29B7EE95" w14:textId="20EC5AFB" w:rsidR="003C6380" w:rsidRPr="0042214E" w:rsidRDefault="003C6380" w:rsidP="0015038D">
            <w:pPr>
              <w:pStyle w:val="Tabletext"/>
            </w:pPr>
            <w:r w:rsidRPr="0042214E">
              <w:t xml:space="preserve">This case study provides an example summary of the procurement options analysis and the basis for recommending a procurement option for a new hospital facility. The facility is a new cancer centre at Bird Health, which would house radiation oncology, ambulatory </w:t>
            </w:r>
            <w:proofErr w:type="gramStart"/>
            <w:r w:rsidRPr="0042214E">
              <w:t>oncology</w:t>
            </w:r>
            <w:proofErr w:type="gramEnd"/>
            <w:r w:rsidRPr="0042214E">
              <w:t xml:space="preserve"> and palliative care. The cancer centre would replace an existing building and must be closely integrated with adjacent facilities. The total estimated capital cost of the recommended option for the centre is $100</w:t>
            </w:r>
            <w:r w:rsidR="00034452" w:rsidRPr="0042214E">
              <w:t> million</w:t>
            </w:r>
            <w:r w:rsidRPr="0042214E">
              <w:t xml:space="preserve">. The project and construction program for the preferred option runs for two and a half years (with two years of construction). A decision not to stage the project was made prior to commencing the procurement work. The key development risk is designing an addition </w:t>
            </w:r>
            <w:r w:rsidR="00197FCC" w:rsidRPr="0042214E">
              <w:t xml:space="preserve">that </w:t>
            </w:r>
            <w:r w:rsidRPr="0042214E">
              <w:t xml:space="preserve">integrates well with existing facilities. </w:t>
            </w:r>
          </w:p>
          <w:p w14:paraId="6D04E841" w14:textId="2986E466" w:rsidR="00285693" w:rsidRPr="0042214E" w:rsidRDefault="00285693" w:rsidP="0015038D">
            <w:pPr>
              <w:pStyle w:val="Tabletext"/>
              <w:rPr>
                <w:color w:val="000000" w:themeColor="text1"/>
              </w:rPr>
            </w:pPr>
            <w:r w:rsidRPr="0042214E">
              <w:rPr>
                <w:color w:val="000000" w:themeColor="text1"/>
              </w:rPr>
              <w:t>Analysis of procurement strategy for this project was conducted over two stages: an assessment of the merit of bundling (to shortlist models)</w:t>
            </w:r>
            <w:r w:rsidR="00DA500D" w:rsidRPr="0042214E">
              <w:rPr>
                <w:color w:val="000000" w:themeColor="text1"/>
              </w:rPr>
              <w:t>,</w:t>
            </w:r>
            <w:r w:rsidRPr="0042214E">
              <w:rPr>
                <w:color w:val="000000" w:themeColor="text1"/>
              </w:rPr>
              <w:t xml:space="preserve"> and then a detailed evaluation phase. </w:t>
            </w:r>
          </w:p>
          <w:p w14:paraId="704EE465" w14:textId="37906498" w:rsidR="00285693" w:rsidRPr="0042214E" w:rsidRDefault="00285693" w:rsidP="0015038D">
            <w:pPr>
              <w:pStyle w:val="Tabletext"/>
              <w:rPr>
                <w:color w:val="000000" w:themeColor="text1"/>
              </w:rPr>
            </w:pPr>
            <w:r w:rsidRPr="0042214E">
              <w:rPr>
                <w:color w:val="000000" w:themeColor="text1"/>
              </w:rPr>
              <w:t xml:space="preserve">The merit of bundling was considered, at a high level, in the context of key project characteristics and issues, including the value of the project and degree of efficient risk transfer that may be achievable. The bundle tested was asset development and facilities maintenance (FM). (Clinical services could not be included.) Overall, bundling was considered unlikely to provide a net efficiency: the FM task is conventional with a low level of risk, which suggests limited gains from transfer or innovation. As a result, the analysis focused on unbundled models. </w:t>
            </w:r>
          </w:p>
          <w:p w14:paraId="5197A4E2" w14:textId="77777777" w:rsidR="003C6380" w:rsidRPr="0042214E" w:rsidRDefault="00285693" w:rsidP="0015038D">
            <w:pPr>
              <w:pStyle w:val="Tabletext"/>
              <w:rPr>
                <w:color w:val="000000" w:themeColor="text1"/>
              </w:rPr>
            </w:pPr>
            <w:r w:rsidRPr="0042214E">
              <w:rPr>
                <w:color w:val="000000" w:themeColor="text1"/>
              </w:rPr>
              <w:t>A procurement workshop (involving the project team and quantity surveyor) was used to agree procurement objectives and evaluate potential models. The procurement objectives were:</w:t>
            </w:r>
          </w:p>
          <w:p w14:paraId="084DBE29" w14:textId="6EFA1240" w:rsidR="0015038D" w:rsidRPr="0042214E" w:rsidRDefault="0015038D" w:rsidP="0015038D">
            <w:pPr>
              <w:pStyle w:val="Tablebullet"/>
            </w:pPr>
            <w:r w:rsidRPr="0042214E">
              <w:t xml:space="preserve">time to market: ensuring the project is completed to meet articulated service </w:t>
            </w:r>
            <w:proofErr w:type="gramStart"/>
            <w:r w:rsidRPr="0042214E">
              <w:t>requirements;</w:t>
            </w:r>
            <w:proofErr w:type="gramEnd"/>
          </w:p>
          <w:p w14:paraId="2984E1BE" w14:textId="079278DC" w:rsidR="0015038D" w:rsidRPr="0042214E" w:rsidRDefault="0015038D" w:rsidP="0015038D">
            <w:pPr>
              <w:pStyle w:val="Tablebullet"/>
            </w:pPr>
            <w:r w:rsidRPr="0042214E">
              <w:t>value for money: ensuring risk transfer is optimal (including price certainty) and creating scope for innovation; and</w:t>
            </w:r>
          </w:p>
          <w:p w14:paraId="69D50E5D" w14:textId="70A500C2" w:rsidR="0015038D" w:rsidRPr="0042214E" w:rsidRDefault="0015038D" w:rsidP="0015038D">
            <w:pPr>
              <w:pStyle w:val="Tablebullet"/>
            </w:pPr>
            <w:r w:rsidRPr="0042214E">
              <w:t>agency capability/process risk: ensuring risks from capability and experience with process are acceptable.</w:t>
            </w:r>
          </w:p>
          <w:p w14:paraId="13BC6B91" w14:textId="3590A7D7" w:rsidR="0015038D" w:rsidRPr="0042214E" w:rsidRDefault="0015038D" w:rsidP="0015038D">
            <w:pPr>
              <w:rPr>
                <w:color w:val="000000" w:themeColor="text1"/>
              </w:rPr>
            </w:pPr>
            <w:r w:rsidRPr="0042214E">
              <w:rPr>
                <w:color w:val="000000" w:themeColor="text1"/>
              </w:rPr>
              <w:t xml:space="preserve">The three models selected for evaluation were the construct only model, the construction management model, and the managing contractor model. These models were shortlisted because they are typical unbundled models generally used for projects of this size and type, and for which the agency has some experience. Other unbundled models such as an alliance were set aside as they clearly do not suit the project characteristics. </w:t>
            </w:r>
          </w:p>
        </w:tc>
      </w:tr>
      <w:tr w:rsidR="0015038D" w:rsidRPr="0042214E" w14:paraId="4457EBA9" w14:textId="77777777" w:rsidTr="0015038D">
        <w:trPr>
          <w:cantSplit/>
        </w:trPr>
        <w:tc>
          <w:tcPr>
            <w:cnfStyle w:val="001000000000" w:firstRow="0" w:lastRow="0" w:firstColumn="1" w:lastColumn="0" w:oddVBand="0" w:evenVBand="0" w:oddHBand="0" w:evenHBand="0" w:firstRowFirstColumn="0" w:firstRowLastColumn="0" w:lastRowFirstColumn="0" w:lastRowLastColumn="0"/>
            <w:tcW w:w="8502" w:type="dxa"/>
          </w:tcPr>
          <w:p w14:paraId="7BC26D5F" w14:textId="77777777" w:rsidR="0015038D" w:rsidRPr="0042214E" w:rsidRDefault="0015038D" w:rsidP="0015038D">
            <w:pPr>
              <w:pStyle w:val="Tabletext"/>
            </w:pPr>
            <w:r w:rsidRPr="0042214E">
              <w:lastRenderedPageBreak/>
              <w:t>The Procurement Strategy (Appendix X) summarises the shortlisting process and contains a detailed evaluation of these three models against the selection criteria. Key results are summarised below.</w:t>
            </w:r>
          </w:p>
          <w:tbl>
            <w:tblPr>
              <w:tblStyle w:val="DTFTextTable"/>
              <w:tblW w:w="4927" w:type="pct"/>
              <w:tblBorders>
                <w:top w:val="single" w:sz="8" w:space="0" w:color="E35205" w:themeColor="accent1"/>
                <w:insideH w:val="single" w:sz="4" w:space="0" w:color="E57200" w:themeColor="accent2"/>
              </w:tblBorders>
              <w:tblLook w:val="06A0" w:firstRow="1" w:lastRow="0" w:firstColumn="1" w:lastColumn="0" w:noHBand="1" w:noVBand="1"/>
            </w:tblPr>
            <w:tblGrid>
              <w:gridCol w:w="1502"/>
              <w:gridCol w:w="2218"/>
              <w:gridCol w:w="2214"/>
              <w:gridCol w:w="2208"/>
            </w:tblGrid>
            <w:tr w:rsidR="0015038D" w:rsidRPr="0042214E" w14:paraId="1705D65C" w14:textId="77777777" w:rsidTr="00586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14:paraId="6CEADE07" w14:textId="77777777" w:rsidR="0015038D" w:rsidRPr="0042214E" w:rsidRDefault="0015038D" w:rsidP="0015038D">
                  <w:pPr>
                    <w:spacing w:before="0" w:after="0"/>
                    <w:rPr>
                      <w:i/>
                    </w:rPr>
                  </w:pPr>
                </w:p>
              </w:tc>
              <w:tc>
                <w:tcPr>
                  <w:tcW w:w="2414" w:type="dxa"/>
                </w:tcPr>
                <w:p w14:paraId="0954B0F3" w14:textId="77777777" w:rsidR="0015038D" w:rsidRPr="0042214E" w:rsidRDefault="0015038D" w:rsidP="0015038D">
                  <w:pPr>
                    <w:spacing w:before="0" w:after="0"/>
                    <w:cnfStyle w:val="100000000000" w:firstRow="1" w:lastRow="0" w:firstColumn="0" w:lastColumn="0" w:oddVBand="0" w:evenVBand="0" w:oddHBand="0" w:evenHBand="0" w:firstRowFirstColumn="0" w:firstRowLastColumn="0" w:lastRowFirstColumn="0" w:lastRowLastColumn="0"/>
                    <w:rPr>
                      <w:i/>
                    </w:rPr>
                  </w:pPr>
                  <w:r w:rsidRPr="0042214E">
                    <w:t>Construct only</w:t>
                  </w:r>
                </w:p>
              </w:tc>
              <w:tc>
                <w:tcPr>
                  <w:tcW w:w="2415" w:type="dxa"/>
                </w:tcPr>
                <w:p w14:paraId="11151E3E" w14:textId="77777777" w:rsidR="0015038D" w:rsidRPr="0042214E" w:rsidRDefault="0015038D" w:rsidP="0015038D">
                  <w:pPr>
                    <w:spacing w:before="0" w:after="0"/>
                    <w:cnfStyle w:val="100000000000" w:firstRow="1" w:lastRow="0" w:firstColumn="0" w:lastColumn="0" w:oddVBand="0" w:evenVBand="0" w:oddHBand="0" w:evenHBand="0" w:firstRowFirstColumn="0" w:firstRowLastColumn="0" w:lastRowFirstColumn="0" w:lastRowLastColumn="0"/>
                    <w:rPr>
                      <w:i/>
                    </w:rPr>
                  </w:pPr>
                  <w:r w:rsidRPr="0042214E">
                    <w:t>Construction management</w:t>
                  </w:r>
                </w:p>
              </w:tc>
              <w:tc>
                <w:tcPr>
                  <w:tcW w:w="2415" w:type="dxa"/>
                </w:tcPr>
                <w:p w14:paraId="7235DA55" w14:textId="77777777" w:rsidR="0015038D" w:rsidRPr="0042214E" w:rsidRDefault="0015038D" w:rsidP="0015038D">
                  <w:pPr>
                    <w:spacing w:before="0" w:after="0"/>
                    <w:cnfStyle w:val="100000000000" w:firstRow="1" w:lastRow="0" w:firstColumn="0" w:lastColumn="0" w:oddVBand="0" w:evenVBand="0" w:oddHBand="0" w:evenHBand="0" w:firstRowFirstColumn="0" w:firstRowLastColumn="0" w:lastRowFirstColumn="0" w:lastRowLastColumn="0"/>
                    <w:rPr>
                      <w:i/>
                    </w:rPr>
                  </w:pPr>
                  <w:r w:rsidRPr="0042214E">
                    <w:t>Managing contractor</w:t>
                  </w:r>
                </w:p>
              </w:tc>
            </w:tr>
            <w:tr w:rsidR="0015038D" w:rsidRPr="0042214E" w14:paraId="11852F90" w14:textId="77777777" w:rsidTr="00586BA5">
              <w:trPr>
                <w:trHeight w:val="906"/>
              </w:trPr>
              <w:tc>
                <w:tcPr>
                  <w:cnfStyle w:val="001000000000" w:firstRow="0" w:lastRow="0" w:firstColumn="1" w:lastColumn="0" w:oddVBand="0" w:evenVBand="0" w:oddHBand="0" w:evenHBand="0" w:firstRowFirstColumn="0" w:firstRowLastColumn="0" w:lastRowFirstColumn="0" w:lastRowLastColumn="0"/>
                  <w:tcW w:w="1117" w:type="dxa"/>
                </w:tcPr>
                <w:p w14:paraId="55FD350D" w14:textId="77777777" w:rsidR="0015038D" w:rsidRPr="0042214E" w:rsidRDefault="0015038D" w:rsidP="0015038D">
                  <w:pPr>
                    <w:pStyle w:val="Tabletext"/>
                  </w:pPr>
                  <w:r w:rsidRPr="0042214E">
                    <w:t>Time to market</w:t>
                  </w:r>
                </w:p>
              </w:tc>
              <w:tc>
                <w:tcPr>
                  <w:tcW w:w="2414" w:type="dxa"/>
                </w:tcPr>
                <w:p w14:paraId="6DE92550" w14:textId="53E942FA" w:rsidR="0015038D" w:rsidRPr="0042214E" w:rsidRDefault="0015038D" w:rsidP="0015038D">
                  <w:pPr>
                    <w:pStyle w:val="Tabletext"/>
                    <w:cnfStyle w:val="000000000000" w:firstRow="0" w:lastRow="0" w:firstColumn="0" w:lastColumn="0" w:oddVBand="0" w:evenVBand="0" w:oddHBand="0" w:evenHBand="0" w:firstRowFirstColumn="0" w:firstRowLastColumn="0" w:lastRowFirstColumn="0" w:lastRowLastColumn="0"/>
                  </w:pPr>
                  <w:r w:rsidRPr="0042214E">
                    <w:t>This model potentially has the longest timelines</w:t>
                  </w:r>
                  <w:r w:rsidR="00DA500D" w:rsidRPr="0042214E">
                    <w:t>,</w:t>
                  </w:r>
                  <w:r w:rsidRPr="0042214E">
                    <w:t xml:space="preserve"> but there is not an urgent need to begin the project or a high risk of missing the scheduled in</w:t>
                  </w:r>
                  <w:r w:rsidRPr="0042214E">
                    <w:noBreakHyphen/>
                    <w:t>dates. This leaves sufficient time for the State to complete a design and procure a builder.</w:t>
                  </w:r>
                </w:p>
              </w:tc>
              <w:tc>
                <w:tcPr>
                  <w:tcW w:w="2415" w:type="dxa"/>
                </w:tcPr>
                <w:p w14:paraId="244955FD" w14:textId="77777777" w:rsidR="0015038D" w:rsidRPr="0042214E" w:rsidRDefault="0015038D" w:rsidP="0015038D">
                  <w:pPr>
                    <w:pStyle w:val="Tabletext"/>
                    <w:cnfStyle w:val="000000000000" w:firstRow="0" w:lastRow="0" w:firstColumn="0" w:lastColumn="0" w:oddVBand="0" w:evenVBand="0" w:oddHBand="0" w:evenHBand="0" w:firstRowFirstColumn="0" w:firstRowLastColumn="0" w:lastRowFirstColumn="0" w:lastRowLastColumn="0"/>
                  </w:pPr>
                  <w:r w:rsidRPr="0042214E">
                    <w:t>There is not an urgent need to begin the project. If there was, this model could bring in construction advice at an early point.</w:t>
                  </w:r>
                </w:p>
              </w:tc>
              <w:tc>
                <w:tcPr>
                  <w:tcW w:w="2415" w:type="dxa"/>
                </w:tcPr>
                <w:p w14:paraId="2C74A25A" w14:textId="77777777" w:rsidR="0015038D" w:rsidRPr="0042214E" w:rsidRDefault="0015038D" w:rsidP="0015038D">
                  <w:pPr>
                    <w:pStyle w:val="Tabletext"/>
                    <w:cnfStyle w:val="000000000000" w:firstRow="0" w:lastRow="0" w:firstColumn="0" w:lastColumn="0" w:oddVBand="0" w:evenVBand="0" w:oddHBand="0" w:evenHBand="0" w:firstRowFirstColumn="0" w:firstRowLastColumn="0" w:lastRowFirstColumn="0" w:lastRowLastColumn="0"/>
                  </w:pPr>
                  <w:r w:rsidRPr="0042214E">
                    <w:t>Without a pressing need to begin the project, there is a weaker case for this approach from a schedule perspective, which does provide for early contractor involvement.</w:t>
                  </w:r>
                </w:p>
              </w:tc>
            </w:tr>
            <w:tr w:rsidR="0015038D" w:rsidRPr="0042214E" w14:paraId="7E3B1A33" w14:textId="77777777" w:rsidTr="00586BA5">
              <w:trPr>
                <w:trHeight w:val="1488"/>
              </w:trPr>
              <w:tc>
                <w:tcPr>
                  <w:cnfStyle w:val="001000000000" w:firstRow="0" w:lastRow="0" w:firstColumn="1" w:lastColumn="0" w:oddVBand="0" w:evenVBand="0" w:oddHBand="0" w:evenHBand="0" w:firstRowFirstColumn="0" w:firstRowLastColumn="0" w:lastRowFirstColumn="0" w:lastRowLastColumn="0"/>
                  <w:tcW w:w="1117" w:type="dxa"/>
                </w:tcPr>
                <w:p w14:paraId="3D7E6B20" w14:textId="77777777" w:rsidR="0015038D" w:rsidRPr="0042214E" w:rsidRDefault="0015038D" w:rsidP="0015038D">
                  <w:pPr>
                    <w:pStyle w:val="Tabletext"/>
                  </w:pPr>
                  <w:r w:rsidRPr="0042214E">
                    <w:t>Value for money</w:t>
                  </w:r>
                </w:p>
              </w:tc>
              <w:tc>
                <w:tcPr>
                  <w:tcW w:w="2414" w:type="dxa"/>
                </w:tcPr>
                <w:p w14:paraId="35E06CDD" w14:textId="77777777" w:rsidR="0015038D" w:rsidRPr="0042214E" w:rsidRDefault="0015038D" w:rsidP="0015038D">
                  <w:pPr>
                    <w:pStyle w:val="Tabletext"/>
                    <w:cnfStyle w:val="000000000000" w:firstRow="0" w:lastRow="0" w:firstColumn="0" w:lastColumn="0" w:oddVBand="0" w:evenVBand="0" w:oddHBand="0" w:evenHBand="0" w:firstRowFirstColumn="0" w:firstRowLastColumn="0" w:lastRowFirstColumn="0" w:lastRowLastColumn="0"/>
                  </w:pPr>
                  <w:r w:rsidRPr="0042214E">
                    <w:t>Expected to provide the greatest scope for competition and certainty over contract prices. Administration costs are low. Project requirements (especially design and functionality) contain some unique features, which suggests limited value from trying to transfer design risks.</w:t>
                  </w:r>
                </w:p>
              </w:tc>
              <w:tc>
                <w:tcPr>
                  <w:tcW w:w="2415" w:type="dxa"/>
                </w:tcPr>
                <w:p w14:paraId="7DBD23A3" w14:textId="229F4205" w:rsidR="0015038D" w:rsidRPr="0042214E" w:rsidRDefault="0015038D" w:rsidP="0015038D">
                  <w:pPr>
                    <w:pStyle w:val="Tabletext"/>
                    <w:cnfStyle w:val="000000000000" w:firstRow="0" w:lastRow="0" w:firstColumn="0" w:lastColumn="0" w:oddVBand="0" w:evenVBand="0" w:oddHBand="0" w:evenHBand="0" w:firstRowFirstColumn="0" w:firstRowLastColumn="0" w:lastRowFirstColumn="0" w:lastRowLastColumn="0"/>
                  </w:pPr>
                  <w:r w:rsidRPr="0042214E">
                    <w:t>Construction component would also be competitively tendered</w:t>
                  </w:r>
                  <w:r w:rsidR="00DA500D" w:rsidRPr="0042214E">
                    <w:t>,</w:t>
                  </w:r>
                  <w:r w:rsidRPr="0042214E">
                    <w:t xml:space="preserve"> but this model imposes higher transaction set</w:t>
                  </w:r>
                  <w:r w:rsidRPr="0042214E">
                    <w:noBreakHyphen/>
                    <w:t>up costs. The value of early construction involvement is considered low. While there are unique features of the services that complicate the design, the overall simplicity of the build suggests a weak case for this model</w:t>
                  </w:r>
                  <w:r w:rsidR="008E481F" w:rsidRPr="0042214E">
                    <w:t>.</w:t>
                  </w:r>
                  <w:r w:rsidRPr="0042214E">
                    <w:t xml:space="preserve"> </w:t>
                  </w:r>
                </w:p>
              </w:tc>
              <w:tc>
                <w:tcPr>
                  <w:tcW w:w="2415" w:type="dxa"/>
                </w:tcPr>
                <w:p w14:paraId="5C0D1DBF" w14:textId="443B78D2" w:rsidR="0015038D" w:rsidRPr="0042214E" w:rsidRDefault="0015038D" w:rsidP="00DA500D">
                  <w:pPr>
                    <w:pStyle w:val="Tabletext"/>
                    <w:cnfStyle w:val="000000000000" w:firstRow="0" w:lastRow="0" w:firstColumn="0" w:lastColumn="0" w:oddVBand="0" w:evenVBand="0" w:oddHBand="0" w:evenHBand="0" w:firstRowFirstColumn="0" w:firstRowLastColumn="0" w:lastRowFirstColumn="0" w:lastRowLastColumn="0"/>
                  </w:pPr>
                  <w:r w:rsidRPr="0042214E">
                    <w:t>This model typically defers the competitive tendering of the build components</w:t>
                  </w:r>
                  <w:r w:rsidR="00DA500D" w:rsidRPr="0042214E">
                    <w:t>,</w:t>
                  </w:r>
                  <w:r w:rsidRPr="0042214E">
                    <w:t xml:space="preserve"> which limits price certainty to a later point in the project schedule, meaning the State effectively retains price and time risks. The common </w:t>
                  </w:r>
                  <w:r w:rsidR="00DA500D" w:rsidRPr="0042214E">
                    <w:t>trade-</w:t>
                  </w:r>
                  <w:r w:rsidRPr="0042214E">
                    <w:t xml:space="preserve">off </w:t>
                  </w:r>
                  <w:r w:rsidR="00DA500D" w:rsidRPr="0042214E">
                    <w:t xml:space="preserve">– </w:t>
                  </w:r>
                  <w:r w:rsidRPr="0042214E">
                    <w:t xml:space="preserve">value from early involvement and a collaborative approach </w:t>
                  </w:r>
                  <w:r w:rsidR="00DA500D" w:rsidRPr="0042214E">
                    <w:t xml:space="preserve">– </w:t>
                  </w:r>
                  <w:r w:rsidRPr="0042214E">
                    <w:t>is considered low in this case.</w:t>
                  </w:r>
                </w:p>
              </w:tc>
            </w:tr>
            <w:tr w:rsidR="0015038D" w:rsidRPr="0042214E" w14:paraId="5377DF2A" w14:textId="77777777" w:rsidTr="00586BA5">
              <w:trPr>
                <w:trHeight w:val="64"/>
              </w:trPr>
              <w:tc>
                <w:tcPr>
                  <w:cnfStyle w:val="001000000000" w:firstRow="0" w:lastRow="0" w:firstColumn="1" w:lastColumn="0" w:oddVBand="0" w:evenVBand="0" w:oddHBand="0" w:evenHBand="0" w:firstRowFirstColumn="0" w:firstRowLastColumn="0" w:lastRowFirstColumn="0" w:lastRowLastColumn="0"/>
                  <w:tcW w:w="1117" w:type="dxa"/>
                </w:tcPr>
                <w:p w14:paraId="3C69135C" w14:textId="3CE4EC4C" w:rsidR="0015038D" w:rsidRPr="0042214E" w:rsidRDefault="0015038D" w:rsidP="0015038D">
                  <w:pPr>
                    <w:pStyle w:val="Tabletext"/>
                  </w:pPr>
                  <w:r w:rsidRPr="0042214E">
                    <w:t>Agency capability</w:t>
                  </w:r>
                  <w:r w:rsidR="0044651B">
                    <w:t>/</w:t>
                  </w:r>
                  <w:r w:rsidRPr="0042214E">
                    <w:t>process risk</w:t>
                  </w:r>
                </w:p>
              </w:tc>
              <w:tc>
                <w:tcPr>
                  <w:tcW w:w="2414" w:type="dxa"/>
                </w:tcPr>
                <w:p w14:paraId="26187B94" w14:textId="77777777" w:rsidR="0015038D" w:rsidRPr="0042214E" w:rsidRDefault="0015038D" w:rsidP="0015038D">
                  <w:pPr>
                    <w:pStyle w:val="Tabletext"/>
                    <w:cnfStyle w:val="000000000000" w:firstRow="0" w:lastRow="0" w:firstColumn="0" w:lastColumn="0" w:oddVBand="0" w:evenVBand="0" w:oddHBand="0" w:evenHBand="0" w:firstRowFirstColumn="0" w:firstRowLastColumn="0" w:lastRowFirstColumn="0" w:lastRowLastColumn="0"/>
                  </w:pPr>
                  <w:r w:rsidRPr="0042214E">
                    <w:t>Bird Health has the most experience and capability using this model.</w:t>
                  </w:r>
                </w:p>
              </w:tc>
              <w:tc>
                <w:tcPr>
                  <w:tcW w:w="2415" w:type="dxa"/>
                </w:tcPr>
                <w:p w14:paraId="1449975D" w14:textId="77777777" w:rsidR="0015038D" w:rsidRPr="0042214E" w:rsidRDefault="0015038D" w:rsidP="0015038D">
                  <w:pPr>
                    <w:pStyle w:val="Tabletext"/>
                    <w:cnfStyle w:val="000000000000" w:firstRow="0" w:lastRow="0" w:firstColumn="0" w:lastColumn="0" w:oddVBand="0" w:evenVBand="0" w:oddHBand="0" w:evenHBand="0" w:firstRowFirstColumn="0" w:firstRowLastColumn="0" w:lastRowFirstColumn="0" w:lastRowLastColumn="0"/>
                  </w:pPr>
                  <w:r w:rsidRPr="0042214E">
                    <w:t>Bird Health has some experience in construction management.</w:t>
                  </w:r>
                </w:p>
              </w:tc>
              <w:tc>
                <w:tcPr>
                  <w:tcW w:w="2415" w:type="dxa"/>
                </w:tcPr>
                <w:p w14:paraId="66407FE8" w14:textId="77777777" w:rsidR="0015038D" w:rsidRPr="0042214E" w:rsidRDefault="0015038D" w:rsidP="0015038D">
                  <w:pPr>
                    <w:pStyle w:val="Tabletext"/>
                    <w:cnfStyle w:val="000000000000" w:firstRow="0" w:lastRow="0" w:firstColumn="0" w:lastColumn="0" w:oddVBand="0" w:evenVBand="0" w:oddHBand="0" w:evenHBand="0" w:firstRowFirstColumn="0" w:firstRowLastColumn="0" w:lastRowFirstColumn="0" w:lastRowLastColumn="0"/>
                  </w:pPr>
                  <w:r w:rsidRPr="0042214E">
                    <w:t>Bird Health does not have any recent experience using this procurement model.</w:t>
                  </w:r>
                </w:p>
              </w:tc>
            </w:tr>
            <w:tr w:rsidR="0015038D" w:rsidRPr="0042214E" w14:paraId="1F4D5030" w14:textId="77777777" w:rsidTr="00586BA5">
              <w:trPr>
                <w:trHeight w:val="64"/>
              </w:trPr>
              <w:tc>
                <w:tcPr>
                  <w:cnfStyle w:val="001000000000" w:firstRow="0" w:lastRow="0" w:firstColumn="1" w:lastColumn="0" w:oddVBand="0" w:evenVBand="0" w:oddHBand="0" w:evenHBand="0" w:firstRowFirstColumn="0" w:firstRowLastColumn="0" w:lastRowFirstColumn="0" w:lastRowLastColumn="0"/>
                  <w:tcW w:w="1117" w:type="dxa"/>
                </w:tcPr>
                <w:p w14:paraId="38B94013" w14:textId="77777777" w:rsidR="0015038D" w:rsidRPr="0042214E" w:rsidRDefault="0015038D" w:rsidP="0015038D">
                  <w:pPr>
                    <w:pStyle w:val="Tabletext"/>
                  </w:pPr>
                  <w:r w:rsidRPr="0042214E">
                    <w:t>Conclusion</w:t>
                  </w:r>
                </w:p>
              </w:tc>
              <w:tc>
                <w:tcPr>
                  <w:tcW w:w="2414" w:type="dxa"/>
                </w:tcPr>
                <w:p w14:paraId="35DBEF5F" w14:textId="77777777" w:rsidR="0015038D" w:rsidRPr="0042214E" w:rsidRDefault="0015038D" w:rsidP="0015038D">
                  <w:pPr>
                    <w:pStyle w:val="Tabletext"/>
                    <w:cnfStyle w:val="000000000000" w:firstRow="0" w:lastRow="0" w:firstColumn="0" w:lastColumn="0" w:oddVBand="0" w:evenVBand="0" w:oddHBand="0" w:evenHBand="0" w:firstRowFirstColumn="0" w:firstRowLastColumn="0" w:lastRowFirstColumn="0" w:lastRowLastColumn="0"/>
                  </w:pPr>
                  <w:r w:rsidRPr="0042214E">
                    <w:t>Recommended</w:t>
                  </w:r>
                </w:p>
              </w:tc>
              <w:tc>
                <w:tcPr>
                  <w:tcW w:w="2415" w:type="dxa"/>
                </w:tcPr>
                <w:p w14:paraId="517ADA84" w14:textId="77777777" w:rsidR="0015038D" w:rsidRPr="0042214E" w:rsidRDefault="0015038D" w:rsidP="0015038D">
                  <w:pPr>
                    <w:pStyle w:val="Tabletext"/>
                    <w:cnfStyle w:val="000000000000" w:firstRow="0" w:lastRow="0" w:firstColumn="0" w:lastColumn="0" w:oddVBand="0" w:evenVBand="0" w:oddHBand="0" w:evenHBand="0" w:firstRowFirstColumn="0" w:firstRowLastColumn="0" w:lastRowFirstColumn="0" w:lastRowLastColumn="0"/>
                  </w:pPr>
                  <w:r w:rsidRPr="0042214E">
                    <w:t>Not recommended</w:t>
                  </w:r>
                </w:p>
              </w:tc>
              <w:tc>
                <w:tcPr>
                  <w:tcW w:w="2415" w:type="dxa"/>
                </w:tcPr>
                <w:p w14:paraId="711DCCF9" w14:textId="77777777" w:rsidR="0015038D" w:rsidRPr="0042214E" w:rsidRDefault="0015038D" w:rsidP="0015038D">
                  <w:pPr>
                    <w:pStyle w:val="Tabletext"/>
                    <w:cnfStyle w:val="000000000000" w:firstRow="0" w:lastRow="0" w:firstColumn="0" w:lastColumn="0" w:oddVBand="0" w:evenVBand="0" w:oddHBand="0" w:evenHBand="0" w:firstRowFirstColumn="0" w:firstRowLastColumn="0" w:lastRowFirstColumn="0" w:lastRowLastColumn="0"/>
                  </w:pPr>
                  <w:r w:rsidRPr="0042214E">
                    <w:t>Not recommended</w:t>
                  </w:r>
                </w:p>
              </w:tc>
            </w:tr>
          </w:tbl>
          <w:p w14:paraId="2D1C49CC" w14:textId="77777777" w:rsidR="0015038D" w:rsidRPr="0042214E" w:rsidRDefault="0015038D" w:rsidP="0015038D">
            <w:pPr>
              <w:pStyle w:val="Tabletext"/>
            </w:pPr>
          </w:p>
          <w:p w14:paraId="593D738A" w14:textId="77777777" w:rsidR="0015038D" w:rsidRPr="0042214E" w:rsidRDefault="0015038D" w:rsidP="0015038D">
            <w:pPr>
              <w:pStyle w:val="Tabletext"/>
            </w:pPr>
            <w:r w:rsidRPr="0042214E">
              <w:t xml:space="preserve">Overall, the construct only model is preferred because it best suits the project characteristics. </w:t>
            </w:r>
            <w:proofErr w:type="gramStart"/>
            <w:r w:rsidRPr="0042214E">
              <w:t>In particular it</w:t>
            </w:r>
            <w:proofErr w:type="gramEnd"/>
            <w:r w:rsidRPr="0042214E">
              <w:t xml:space="preserve"> gives the State a high degree of flexibility during the design development process, which is considered necessary as the dynamic between physical integration of the new build and model of care is progressively tested and refined. This procurement model also offers price certainty at an early point and is familiar to the sponsor. </w:t>
            </w:r>
          </w:p>
          <w:p w14:paraId="258662E8" w14:textId="77777777" w:rsidR="0015038D" w:rsidRPr="0042214E" w:rsidRDefault="0015038D" w:rsidP="0015038D">
            <w:pPr>
              <w:pStyle w:val="Tabletext"/>
            </w:pPr>
            <w:r w:rsidRPr="0042214E">
              <w:t>To validate the recommendation, Bird Health considered the market’s appetite and capability. The successful use of the model for recent ‘brownfield’ projects of a similar size had demonstrated both appetite and capability.</w:t>
            </w:r>
          </w:p>
          <w:p w14:paraId="2F8D15BB" w14:textId="77777777" w:rsidR="0015038D" w:rsidRPr="0042214E" w:rsidRDefault="0015038D" w:rsidP="0015038D">
            <w:pPr>
              <w:pStyle w:val="Tabletext"/>
            </w:pPr>
            <w:r w:rsidRPr="0042214E">
              <w:t>The agency has skilled project managers and a capital development team with experience obtaining approvals, going through procurements for technical advisers, all stages of the design development process including engaging stakeholders and user groups, and managing the cost plan. The cost plan will be managed through an iterative process of refining costs as scope is finalised and design is developed to full documentation. The cost plan is the basis for testing the pricing from constructors.</w:t>
            </w:r>
          </w:p>
          <w:p w14:paraId="6CBDB1B9" w14:textId="03221214" w:rsidR="0015038D" w:rsidRPr="0042214E" w:rsidRDefault="0015038D" w:rsidP="0015038D">
            <w:pPr>
              <w:pStyle w:val="Tabletext"/>
            </w:pPr>
            <w:r w:rsidRPr="0042214E">
              <w:t>This analysis and recommendation will be reviewed upon implementation, should this business case be successful.</w:t>
            </w:r>
          </w:p>
        </w:tc>
      </w:tr>
    </w:tbl>
    <w:p w14:paraId="126F61FE" w14:textId="7EF28C48" w:rsidR="00F222AB" w:rsidRPr="0042214E" w:rsidRDefault="00F222AB" w:rsidP="0015038D">
      <w:pPr>
        <w:pStyle w:val="Spacer"/>
      </w:pPr>
    </w:p>
    <w:p w14:paraId="3FEC171E" w14:textId="78A0B36A" w:rsidR="00186D47" w:rsidRPr="00FB373D" w:rsidRDefault="00077C19" w:rsidP="0015038D">
      <w:pPr>
        <w:pStyle w:val="NormalIndent"/>
        <w:rPr>
          <w:color w:val="000000" w:themeColor="text1"/>
        </w:rPr>
      </w:pPr>
      <w:r w:rsidRPr="00FB373D">
        <w:rPr>
          <w:color w:val="000000" w:themeColor="text1"/>
        </w:rPr>
        <w:t xml:space="preserve">The </w:t>
      </w:r>
      <w:r w:rsidRPr="00922978">
        <w:rPr>
          <w:b/>
          <w:color w:val="E57200" w:themeColor="accent2"/>
        </w:rPr>
        <w:t>Procurement Strategy</w:t>
      </w:r>
      <w:r w:rsidRPr="00922978">
        <w:rPr>
          <w:color w:val="E57200" w:themeColor="accent2"/>
        </w:rPr>
        <w:t xml:space="preserve"> </w:t>
      </w:r>
      <w:r w:rsidRPr="00FB373D">
        <w:rPr>
          <w:color w:val="000000" w:themeColor="text1"/>
        </w:rPr>
        <w:t xml:space="preserve">technical guide outlines options and key steps in developing an appropriate procurement strategy. </w:t>
      </w:r>
    </w:p>
    <w:p w14:paraId="429AF9A1" w14:textId="4803317C" w:rsidR="001B2DBC" w:rsidRPr="00667D0D" w:rsidRDefault="001B2DBC" w:rsidP="005E1934">
      <w:pPr>
        <w:pStyle w:val="Heading2numbered"/>
      </w:pPr>
      <w:bookmarkStart w:id="173" w:name="_Toc18568626"/>
      <w:bookmarkStart w:id="174" w:name="_Toc18568627"/>
      <w:bookmarkStart w:id="175" w:name="_Toc18568628"/>
      <w:bookmarkStart w:id="176" w:name="_Toc18568629"/>
      <w:bookmarkStart w:id="177" w:name="_Toc121415335"/>
      <w:bookmarkEnd w:id="173"/>
      <w:bookmarkEnd w:id="174"/>
      <w:bookmarkEnd w:id="175"/>
      <w:bookmarkEnd w:id="176"/>
      <w:r w:rsidRPr="00667D0D">
        <w:lastRenderedPageBreak/>
        <w:t>Step 7</w:t>
      </w:r>
      <w:r w:rsidR="00037515" w:rsidRPr="00667D0D">
        <w:t>:</w:t>
      </w:r>
      <w:r w:rsidRPr="00667D0D">
        <w:t xml:space="preserve"> Planning</w:t>
      </w:r>
      <w:r w:rsidR="004D7F8C" w:rsidRPr="00667D0D">
        <w:t xml:space="preserve">, </w:t>
      </w:r>
      <w:r w:rsidR="00DA500D" w:rsidRPr="00667D0D">
        <w:t>environment</w:t>
      </w:r>
      <w:r w:rsidR="004D7F8C" w:rsidRPr="00667D0D">
        <w:t xml:space="preserve">, </w:t>
      </w:r>
      <w:r w:rsidR="00D05C3C" w:rsidRPr="00667D0D">
        <w:t xml:space="preserve">land, </w:t>
      </w:r>
      <w:proofErr w:type="gramStart"/>
      <w:r w:rsidR="00DA500D" w:rsidRPr="00667D0D">
        <w:t>heritage</w:t>
      </w:r>
      <w:proofErr w:type="gramEnd"/>
      <w:r w:rsidR="00DA500D" w:rsidRPr="00667D0D">
        <w:t xml:space="preserve"> </w:t>
      </w:r>
      <w:r w:rsidR="004D7F8C" w:rsidRPr="00667D0D">
        <w:t xml:space="preserve">and </w:t>
      </w:r>
      <w:r w:rsidR="00DA500D" w:rsidRPr="00667D0D">
        <w:t>culture</w:t>
      </w:r>
      <w:bookmarkEnd w:id="177"/>
    </w:p>
    <w:p w14:paraId="541185B8" w14:textId="16CEC137" w:rsidR="00F34494" w:rsidRPr="00667D0D" w:rsidRDefault="001C4FBE" w:rsidP="006B713F">
      <w:pPr>
        <w:pStyle w:val="NormalIndent"/>
      </w:pPr>
      <w:r w:rsidRPr="00667D0D">
        <w:t>In some cases, a planning</w:t>
      </w:r>
      <w:r w:rsidR="00D05C3C" w:rsidRPr="00667D0D">
        <w:t xml:space="preserve"> approval or</w:t>
      </w:r>
      <w:r w:rsidRPr="00667D0D">
        <w:t xml:space="preserve"> permit will be required for project solutions. </w:t>
      </w:r>
      <w:r w:rsidR="00F34494" w:rsidRPr="00667D0D">
        <w:t>A planning</w:t>
      </w:r>
      <w:r w:rsidR="00D05C3C" w:rsidRPr="00667D0D">
        <w:t xml:space="preserve"> approval or</w:t>
      </w:r>
      <w:r w:rsidR="00F34494" w:rsidRPr="00667D0D">
        <w:t xml:space="preserve"> permit is a legal document that allows a certain use or development on land</w:t>
      </w:r>
      <w:r w:rsidR="00D05C3C" w:rsidRPr="00667D0D">
        <w:t xml:space="preserve"> and may require secondary consents to be obtained</w:t>
      </w:r>
      <w:r w:rsidR="00F34494" w:rsidRPr="00667D0D">
        <w:t>.</w:t>
      </w:r>
      <w:r w:rsidRPr="00667D0D">
        <w:t xml:space="preserve"> </w:t>
      </w:r>
      <w:r w:rsidR="00D05C3C" w:rsidRPr="00667D0D">
        <w:t xml:space="preserve">There are several planning pathways available for state projects - some are made to the Minister for Planning as </w:t>
      </w:r>
      <w:r w:rsidR="00F337FA" w:rsidRPr="00667D0D">
        <w:t xml:space="preserve">the </w:t>
      </w:r>
      <w:r w:rsidR="00D05C3C" w:rsidRPr="00667D0D">
        <w:t xml:space="preserve">responsible </w:t>
      </w:r>
      <w:proofErr w:type="gramStart"/>
      <w:r w:rsidR="00D05C3C" w:rsidRPr="00667D0D">
        <w:t>authority</w:t>
      </w:r>
      <w:proofErr w:type="gramEnd"/>
      <w:r w:rsidR="00D05C3C" w:rsidRPr="00667D0D">
        <w:t xml:space="preserve"> and some</w:t>
      </w:r>
      <w:r w:rsidR="00F34494" w:rsidRPr="00667D0D">
        <w:t xml:space="preserve"> will be made to the local council.</w:t>
      </w:r>
    </w:p>
    <w:p w14:paraId="4E676A3B" w14:textId="23F5690F" w:rsidR="001B2DBC" w:rsidRPr="00667D0D" w:rsidRDefault="001C4FBE" w:rsidP="006B713F">
      <w:pPr>
        <w:pStyle w:val="NormalIndent"/>
      </w:pPr>
      <w:r w:rsidRPr="00667D0D">
        <w:t xml:space="preserve">After a planning </w:t>
      </w:r>
      <w:r w:rsidR="00D05C3C" w:rsidRPr="00667D0D">
        <w:t xml:space="preserve">approval request or </w:t>
      </w:r>
      <w:r w:rsidRPr="00667D0D">
        <w:t>application has been lodged, the responsible authority will assess the application, which may involve notifying community stakeholders of the application.</w:t>
      </w:r>
    </w:p>
    <w:p w14:paraId="3292E8FC" w14:textId="5CCD9DFA" w:rsidR="001B73C8" w:rsidRPr="00667D0D" w:rsidRDefault="001C4FBE" w:rsidP="006B713F">
      <w:pPr>
        <w:pStyle w:val="NormalIndent"/>
      </w:pPr>
      <w:r w:rsidRPr="00667D0D">
        <w:t>An environmental impact analysis will be required for some asset proposals to meet relevant legislative requirements and identified community concerns. For some projects, an Environmental Effects Statement (EES) or a (Commonwealth) Environmental Impact Statement (EIS) may be required.</w:t>
      </w:r>
    </w:p>
    <w:p w14:paraId="04A96082" w14:textId="2E083F05" w:rsidR="0044486A" w:rsidRPr="00667D0D" w:rsidRDefault="0044486A" w:rsidP="0044486A">
      <w:pPr>
        <w:pStyle w:val="NormalIndent"/>
      </w:pPr>
      <w:r w:rsidRPr="00667D0D">
        <w:t>Consider any land identification, acquisition, management</w:t>
      </w:r>
      <w:r w:rsidR="00F337FA" w:rsidRPr="00667D0D">
        <w:t>,</w:t>
      </w:r>
      <w:r w:rsidRPr="00667D0D">
        <w:t xml:space="preserve"> legislative, regulatory, and/or government policy compliance requirements which need to be in place for the project to proceed.</w:t>
      </w:r>
    </w:p>
    <w:p w14:paraId="38635620" w14:textId="76F2F23D" w:rsidR="00A544B5" w:rsidRPr="00667D0D" w:rsidRDefault="00B27919" w:rsidP="00B27919">
      <w:pPr>
        <w:pStyle w:val="NormalIndent"/>
      </w:pPr>
      <w:r w:rsidRPr="00667D0D">
        <w:t xml:space="preserve">The project may include land </w:t>
      </w:r>
      <w:r w:rsidR="00A544B5" w:rsidRPr="00667D0D">
        <w:t xml:space="preserve">or property that </w:t>
      </w:r>
      <w:bookmarkStart w:id="178" w:name="_Hlk115431495"/>
      <w:bookmarkStart w:id="179" w:name="_Hlk118370462"/>
      <w:r w:rsidR="00A544B5" w:rsidRPr="00667D0D">
        <w:t>is expected to become surplus if the project is funde</w:t>
      </w:r>
      <w:r w:rsidR="00F337FA" w:rsidRPr="00667D0D">
        <w:t>d.</w:t>
      </w:r>
      <w:r w:rsidR="00A544B5" w:rsidRPr="00667D0D">
        <w:t xml:space="preserve"> </w:t>
      </w:r>
      <w:r w:rsidR="00F337FA" w:rsidRPr="00667D0D">
        <w:t>F</w:t>
      </w:r>
      <w:r w:rsidR="00A544B5" w:rsidRPr="00667D0D">
        <w:t>or example, in delivering a new hospital or school, the existing site becomes surplus upon completion.</w:t>
      </w:r>
      <w:r w:rsidRPr="00667D0D">
        <w:t xml:space="preserve"> For these projects, site details should be included in the business case, noting that </w:t>
      </w:r>
      <w:r w:rsidR="00A544B5" w:rsidRPr="00667D0D">
        <w:t xml:space="preserve">the Victorian Government Landholding Policy and Guidelines requires the existing site to be declared surplus and referred </w:t>
      </w:r>
      <w:r w:rsidR="00CA1184" w:rsidRPr="00667D0D">
        <w:t xml:space="preserve">for sale. </w:t>
      </w:r>
      <w:bookmarkEnd w:id="178"/>
      <w:bookmarkEnd w:id="179"/>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C4044A" w:rsidRPr="00667D0D" w14:paraId="738C5E64" w14:textId="77777777" w:rsidTr="006244AC">
        <w:tc>
          <w:tcPr>
            <w:tcW w:w="8719" w:type="dxa"/>
            <w:shd w:val="clear" w:color="auto" w:fill="FDF3EA" w:themeFill="accent5" w:themeFillTint="33"/>
          </w:tcPr>
          <w:p w14:paraId="50550F13" w14:textId="7E2D2416" w:rsidR="00C4044A" w:rsidRPr="00667D0D" w:rsidRDefault="00C4044A" w:rsidP="006244AC">
            <w:pPr>
              <w:pStyle w:val="Tabletextbold"/>
            </w:pPr>
            <w:r w:rsidRPr="00667D0D">
              <w:t>Business case information requirements for planning</w:t>
            </w:r>
            <w:r w:rsidR="0044486A" w:rsidRPr="00667D0D">
              <w:t>,</w:t>
            </w:r>
            <w:r w:rsidRPr="00667D0D">
              <w:t xml:space="preserve"> environment</w:t>
            </w:r>
            <w:r w:rsidR="0044486A" w:rsidRPr="00667D0D">
              <w:t xml:space="preserve">, land, </w:t>
            </w:r>
            <w:proofErr w:type="gramStart"/>
            <w:r w:rsidR="0044486A" w:rsidRPr="00667D0D">
              <w:t>heritage</w:t>
            </w:r>
            <w:proofErr w:type="gramEnd"/>
            <w:r w:rsidR="0044486A" w:rsidRPr="00667D0D">
              <w:t xml:space="preserve"> and cultural</w:t>
            </w:r>
            <w:r w:rsidRPr="00667D0D">
              <w:t xml:space="preserve"> assessments</w:t>
            </w:r>
          </w:p>
          <w:p w14:paraId="6A3019D3" w14:textId="24CE53AF" w:rsidR="00C4044A" w:rsidRPr="00667D0D" w:rsidRDefault="00C4044A" w:rsidP="006244AC">
            <w:pPr>
              <w:pStyle w:val="Tablebullet"/>
            </w:pPr>
            <w:r w:rsidRPr="00667D0D">
              <w:t>Assess the likely planning, environmental</w:t>
            </w:r>
            <w:r w:rsidR="0044486A" w:rsidRPr="00667D0D">
              <w:t>, land, heritage and cultural</w:t>
            </w:r>
            <w:r w:rsidRPr="00667D0D">
              <w:t xml:space="preserve"> approvals required and the likely requirements and impact this may have on the </w:t>
            </w:r>
            <w:r w:rsidR="00904AFB" w:rsidRPr="00667D0D">
              <w:t xml:space="preserve">project </w:t>
            </w:r>
            <w:r w:rsidRPr="00667D0D">
              <w:t>solution.</w:t>
            </w:r>
          </w:p>
          <w:p w14:paraId="3A694517" w14:textId="18ED5BFE" w:rsidR="00C4044A" w:rsidRPr="00667D0D" w:rsidRDefault="00C4044A" w:rsidP="006244AC">
            <w:pPr>
              <w:pStyle w:val="Tablebullet"/>
            </w:pPr>
            <w:r w:rsidRPr="00667D0D">
              <w:t>If completed, summarise the results of the EES or EIS and include with the full reports in an appendix.</w:t>
            </w:r>
          </w:p>
        </w:tc>
      </w:tr>
    </w:tbl>
    <w:p w14:paraId="473E9EB4" w14:textId="1A6D2570" w:rsidR="001C4FBE" w:rsidRPr="00667D0D" w:rsidRDefault="001C4FBE" w:rsidP="006244AC">
      <w:pPr>
        <w:pStyle w:val="Heading4"/>
      </w:pPr>
      <w:r w:rsidRPr="00667D0D">
        <w:t>Risk assessment and management in planning</w:t>
      </w:r>
      <w:r w:rsidR="0044486A" w:rsidRPr="00667D0D">
        <w:t>,</w:t>
      </w:r>
      <w:r w:rsidRPr="00667D0D">
        <w:t xml:space="preserve"> environment</w:t>
      </w:r>
      <w:r w:rsidR="0044486A" w:rsidRPr="00667D0D">
        <w:t xml:space="preserve">, land, </w:t>
      </w:r>
      <w:proofErr w:type="gramStart"/>
      <w:r w:rsidR="0044486A" w:rsidRPr="00667D0D">
        <w:t>heritage</w:t>
      </w:r>
      <w:proofErr w:type="gramEnd"/>
      <w:r w:rsidR="0044486A" w:rsidRPr="00667D0D">
        <w:t xml:space="preserve"> and cultur</w:t>
      </w:r>
      <w:r w:rsidR="00F43325" w:rsidRPr="00667D0D">
        <w:t>e</w:t>
      </w:r>
    </w:p>
    <w:p w14:paraId="71E4C11A" w14:textId="6C150053" w:rsidR="001C4FBE" w:rsidRPr="00667D0D" w:rsidRDefault="001C4FBE" w:rsidP="006B713F">
      <w:pPr>
        <w:pStyle w:val="NormalIndent"/>
      </w:pPr>
      <w:r w:rsidRPr="00667D0D">
        <w:t xml:space="preserve">Risks relating to planning and environment should be summarised in the business case. This could involve </w:t>
      </w:r>
      <w:r w:rsidR="003324D7" w:rsidRPr="00667D0D">
        <w:t xml:space="preserve">the outcome of community </w:t>
      </w:r>
      <w:r w:rsidR="0044486A" w:rsidRPr="00667D0D">
        <w:t xml:space="preserve">and other stakeholder </w:t>
      </w:r>
      <w:r w:rsidR="003324D7" w:rsidRPr="00667D0D">
        <w:t>consultation</w:t>
      </w:r>
      <w:r w:rsidR="00CA1184" w:rsidRPr="00667D0D">
        <w:t xml:space="preserve"> (including regulators)</w:t>
      </w:r>
      <w:r w:rsidR="0044486A" w:rsidRPr="00667D0D">
        <w:t>,</w:t>
      </w:r>
      <w:r w:rsidR="003324D7" w:rsidRPr="00667D0D">
        <w:t xml:space="preserve"> </w:t>
      </w:r>
      <w:r w:rsidRPr="00667D0D">
        <w:t xml:space="preserve">conditions </w:t>
      </w:r>
      <w:r w:rsidR="003324D7" w:rsidRPr="00667D0D">
        <w:t xml:space="preserve">or </w:t>
      </w:r>
      <w:r w:rsidRPr="00667D0D">
        <w:t xml:space="preserve">restrictions that may impact the </w:t>
      </w:r>
      <w:r w:rsidR="00904AFB" w:rsidRPr="00667D0D">
        <w:t xml:space="preserve">project </w:t>
      </w:r>
      <w:r w:rsidRPr="00667D0D">
        <w:t>solution</w:t>
      </w:r>
      <w:r w:rsidR="00A77742" w:rsidRPr="00667D0D">
        <w:t xml:space="preserve">, and delays </w:t>
      </w:r>
      <w:r w:rsidR="003324D7" w:rsidRPr="00667D0D">
        <w:t xml:space="preserve">that may </w:t>
      </w:r>
      <w:r w:rsidR="00A77742" w:rsidRPr="00667D0D">
        <w:t>impact the project schedule.</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C4044A" w:rsidRPr="0042214E" w14:paraId="207B5DD2" w14:textId="77777777" w:rsidTr="006244AC">
        <w:tc>
          <w:tcPr>
            <w:tcW w:w="8719" w:type="dxa"/>
            <w:shd w:val="clear" w:color="auto" w:fill="FDF3EA" w:themeFill="accent5" w:themeFillTint="33"/>
          </w:tcPr>
          <w:p w14:paraId="19501490" w14:textId="43C9DAB7" w:rsidR="00C4044A" w:rsidRPr="00667D0D" w:rsidRDefault="00C4044A" w:rsidP="006244AC">
            <w:pPr>
              <w:pStyle w:val="Tabletextbold"/>
            </w:pPr>
            <w:r w:rsidRPr="00667D0D">
              <w:t>Business case information requirements for planning</w:t>
            </w:r>
            <w:r w:rsidR="00F43325" w:rsidRPr="00667D0D">
              <w:t xml:space="preserve">, </w:t>
            </w:r>
            <w:r w:rsidRPr="00667D0D">
              <w:t>environment</w:t>
            </w:r>
            <w:r w:rsidR="00F43325" w:rsidRPr="00667D0D">
              <w:t>, land heritage and cultural</w:t>
            </w:r>
            <w:r w:rsidRPr="00667D0D">
              <w:t xml:space="preserve"> risk assessments</w:t>
            </w:r>
          </w:p>
          <w:p w14:paraId="303197DA" w14:textId="31D876E6" w:rsidR="00C4044A" w:rsidRPr="00667D0D" w:rsidRDefault="00C4044A" w:rsidP="006244AC">
            <w:pPr>
              <w:pStyle w:val="Tablebullet"/>
            </w:pPr>
            <w:r w:rsidRPr="00667D0D">
              <w:t>Summarise any key risks related to planning</w:t>
            </w:r>
            <w:r w:rsidR="0044486A" w:rsidRPr="00667D0D">
              <w:t>,</w:t>
            </w:r>
            <w:r w:rsidRPr="00667D0D">
              <w:t xml:space="preserve"> environment</w:t>
            </w:r>
            <w:r w:rsidR="0044486A" w:rsidRPr="00667D0D">
              <w:t xml:space="preserve">, land, </w:t>
            </w:r>
            <w:proofErr w:type="gramStart"/>
            <w:r w:rsidR="0044486A" w:rsidRPr="00667D0D">
              <w:t>heritage</w:t>
            </w:r>
            <w:proofErr w:type="gramEnd"/>
            <w:r w:rsidR="0044486A" w:rsidRPr="00667D0D">
              <w:t xml:space="preserve"> and culture</w:t>
            </w:r>
            <w:r w:rsidRPr="00667D0D">
              <w:t>.</w:t>
            </w:r>
          </w:p>
          <w:p w14:paraId="2CF079BF" w14:textId="585615EB" w:rsidR="00C4044A" w:rsidRPr="00667D0D" w:rsidRDefault="00C4044A" w:rsidP="006244AC">
            <w:pPr>
              <w:pStyle w:val="Tablebullet"/>
            </w:pPr>
            <w:r w:rsidRPr="00667D0D">
              <w:t>Undertake planning</w:t>
            </w:r>
            <w:r w:rsidR="0044486A" w:rsidRPr="00667D0D">
              <w:t>,</w:t>
            </w:r>
            <w:r w:rsidRPr="00667D0D">
              <w:t xml:space="preserve"> environment</w:t>
            </w:r>
            <w:r w:rsidR="0044486A" w:rsidRPr="00667D0D">
              <w:t>, land, heritage and cultural</w:t>
            </w:r>
            <w:r w:rsidRPr="00667D0D">
              <w:t xml:space="preserve"> risk assessment and management strategies</w:t>
            </w:r>
            <w:r w:rsidR="00685355" w:rsidRPr="00667D0D">
              <w:t>.</w:t>
            </w:r>
          </w:p>
        </w:tc>
      </w:tr>
    </w:tbl>
    <w:p w14:paraId="706343FB" w14:textId="41689FE1" w:rsidR="00C53007" w:rsidRPr="0042214E" w:rsidRDefault="00C53007" w:rsidP="005E1934">
      <w:pPr>
        <w:pStyle w:val="Heading2numbered"/>
      </w:pPr>
      <w:bookmarkStart w:id="180" w:name="_Toc18568659"/>
      <w:bookmarkStart w:id="181" w:name="_Toc18568665"/>
      <w:bookmarkStart w:id="182" w:name="_Toc121415336"/>
      <w:bookmarkEnd w:id="180"/>
      <w:bookmarkEnd w:id="181"/>
      <w:r w:rsidRPr="0042214E">
        <w:t>Step 8</w:t>
      </w:r>
      <w:r w:rsidR="00037515" w:rsidRPr="0042214E">
        <w:t>:</w:t>
      </w:r>
      <w:r w:rsidRPr="0042214E">
        <w:t xml:space="preserve"> Project schedule</w:t>
      </w:r>
      <w:bookmarkEnd w:id="182"/>
    </w:p>
    <w:p w14:paraId="725AA90D" w14:textId="797C458E" w:rsidR="00C53007" w:rsidRPr="0042214E" w:rsidRDefault="0094464D" w:rsidP="006B713F">
      <w:pPr>
        <w:pStyle w:val="NormalIndent"/>
      </w:pPr>
      <w:r w:rsidRPr="0042214E">
        <w:t>Decision-</w:t>
      </w:r>
      <w:r w:rsidR="00C53007" w:rsidRPr="0042214E">
        <w:t>makers need to understand the extent of pre</w:t>
      </w:r>
      <w:r w:rsidR="00034452" w:rsidRPr="0042214E">
        <w:noBreakHyphen/>
      </w:r>
      <w:r w:rsidR="00C53007" w:rsidRPr="0042214E">
        <w:t xml:space="preserve">construction activities and lead times, so it is important that </w:t>
      </w:r>
      <w:r w:rsidR="00886195" w:rsidRPr="0042214E">
        <w:t>agencies</w:t>
      </w:r>
      <w:r w:rsidR="00C53007" w:rsidRPr="0042214E">
        <w:t xml:space="preserve"> set out the timelines and details about project readiness.</w:t>
      </w:r>
    </w:p>
    <w:p w14:paraId="1B145A07" w14:textId="61C7CE1C" w:rsidR="00C53007" w:rsidRPr="0042214E" w:rsidRDefault="00D56625" w:rsidP="006B713F">
      <w:pPr>
        <w:pStyle w:val="NormalIndent"/>
      </w:pPr>
      <w:r w:rsidRPr="0042214E">
        <w:lastRenderedPageBreak/>
        <w:t>A</w:t>
      </w:r>
      <w:r w:rsidR="00C53007" w:rsidRPr="0042214E">
        <w:t xml:space="preserve">gencies should be able to provide a </w:t>
      </w:r>
      <w:r w:rsidRPr="0042214E">
        <w:t>detailed</w:t>
      </w:r>
      <w:r w:rsidR="00C53007" w:rsidRPr="0042214E">
        <w:t xml:space="preserve"> project schedule and list </w:t>
      </w:r>
      <w:proofErr w:type="gramStart"/>
      <w:r w:rsidR="00C53007" w:rsidRPr="0042214E">
        <w:t>all of</w:t>
      </w:r>
      <w:proofErr w:type="gramEnd"/>
      <w:r w:rsidR="00C53007" w:rsidRPr="0042214E">
        <w:t xml:space="preserve"> the major milestones, including: </w:t>
      </w:r>
    </w:p>
    <w:p w14:paraId="76CE6D38" w14:textId="44D5E4B2" w:rsidR="00C53007" w:rsidRPr="0042214E" w:rsidRDefault="00C53007" w:rsidP="006244AC">
      <w:pPr>
        <w:pStyle w:val="Bulletindent"/>
        <w:contextualSpacing/>
      </w:pPr>
      <w:r w:rsidRPr="0042214E">
        <w:t xml:space="preserve">the basis and assumptions used in setting </w:t>
      </w:r>
      <w:proofErr w:type="gramStart"/>
      <w:r w:rsidRPr="0042214E">
        <w:t>timelines</w:t>
      </w:r>
      <w:r w:rsidR="00795A73" w:rsidRPr="0042214E">
        <w:t>;</w:t>
      </w:r>
      <w:proofErr w:type="gramEnd"/>
    </w:p>
    <w:p w14:paraId="684103C3" w14:textId="1AEC872E" w:rsidR="00C53007" w:rsidRPr="0042214E" w:rsidRDefault="00C53007" w:rsidP="006244AC">
      <w:pPr>
        <w:pStyle w:val="Bulletindent"/>
        <w:contextualSpacing/>
      </w:pPr>
      <w:r w:rsidRPr="0042214E">
        <w:t xml:space="preserve">advice of independent experts to establish practicality of </w:t>
      </w:r>
      <w:proofErr w:type="gramStart"/>
      <w:r w:rsidRPr="0042214E">
        <w:t>timelines</w:t>
      </w:r>
      <w:r w:rsidR="00795A73" w:rsidRPr="0042214E">
        <w:t>;</w:t>
      </w:r>
      <w:proofErr w:type="gramEnd"/>
    </w:p>
    <w:p w14:paraId="213A4AF3" w14:textId="1F6C6334" w:rsidR="00C53007" w:rsidRPr="0042214E" w:rsidRDefault="00C53007" w:rsidP="006244AC">
      <w:pPr>
        <w:pStyle w:val="Bulletindent"/>
        <w:contextualSpacing/>
      </w:pPr>
      <w:r w:rsidRPr="0042214E">
        <w:t xml:space="preserve">comparison of timelines to similar projects, explanation for variance if it </w:t>
      </w:r>
      <w:proofErr w:type="gramStart"/>
      <w:r w:rsidRPr="0042214E">
        <w:t>exists</w:t>
      </w:r>
      <w:r w:rsidR="00795A73" w:rsidRPr="0042214E">
        <w:t>;</w:t>
      </w:r>
      <w:proofErr w:type="gramEnd"/>
    </w:p>
    <w:p w14:paraId="545A1076" w14:textId="56FAE809" w:rsidR="00C53007" w:rsidRPr="0042214E" w:rsidRDefault="00C53007" w:rsidP="006244AC">
      <w:pPr>
        <w:pStyle w:val="Bulletindent"/>
        <w:contextualSpacing/>
      </w:pPr>
      <w:r w:rsidRPr="0042214E">
        <w:t xml:space="preserve">major risks to achievement of timeframes (referring to </w:t>
      </w:r>
      <w:r w:rsidR="00175CA3" w:rsidRPr="0042214E">
        <w:t xml:space="preserve">other </w:t>
      </w:r>
      <w:r w:rsidRPr="0042214E">
        <w:t>section</w:t>
      </w:r>
      <w:r w:rsidR="00175CA3" w:rsidRPr="0042214E">
        <w:t>s of the business case</w:t>
      </w:r>
      <w:r w:rsidRPr="0042214E">
        <w:t xml:space="preserve"> if necessary) (</w:t>
      </w:r>
      <w:r w:rsidR="00FB7609" w:rsidRPr="0042214E">
        <w:t>e.g.,</w:t>
      </w:r>
      <w:r w:rsidRPr="0042214E">
        <w:t xml:space="preserve"> planning approvals</w:t>
      </w:r>
      <w:proofErr w:type="gramStart"/>
      <w:r w:rsidRPr="0042214E">
        <w:t>)</w:t>
      </w:r>
      <w:r w:rsidR="00795A73" w:rsidRPr="0042214E">
        <w:t>;</w:t>
      </w:r>
      <w:proofErr w:type="gramEnd"/>
    </w:p>
    <w:p w14:paraId="1E3663F3" w14:textId="3506E34A" w:rsidR="00C53007" w:rsidRPr="0042214E" w:rsidRDefault="00C53007" w:rsidP="006244AC">
      <w:pPr>
        <w:pStyle w:val="Bulletindent"/>
        <w:contextualSpacing/>
      </w:pPr>
      <w:r w:rsidRPr="0042214E">
        <w:t xml:space="preserve">transition/change management </w:t>
      </w:r>
      <w:proofErr w:type="gramStart"/>
      <w:r w:rsidRPr="0042214E">
        <w:t>timelines</w:t>
      </w:r>
      <w:r w:rsidR="00795A73" w:rsidRPr="0042214E">
        <w:t>;</w:t>
      </w:r>
      <w:proofErr w:type="gramEnd"/>
    </w:p>
    <w:p w14:paraId="2E234509" w14:textId="77777777" w:rsidR="00F95EB3" w:rsidRDefault="00C53007" w:rsidP="006244AC">
      <w:pPr>
        <w:pStyle w:val="Bulletindent"/>
        <w:contextualSpacing/>
      </w:pPr>
      <w:r w:rsidRPr="0042214E">
        <w:t xml:space="preserve">critical </w:t>
      </w:r>
      <w:proofErr w:type="gramStart"/>
      <w:r w:rsidRPr="0042214E">
        <w:t>dependencies</w:t>
      </w:r>
      <w:r w:rsidR="00795A73" w:rsidRPr="0042214E">
        <w:t>;</w:t>
      </w:r>
      <w:proofErr w:type="gramEnd"/>
      <w:r w:rsidR="00795A73" w:rsidRPr="0042214E">
        <w:t xml:space="preserve"> </w:t>
      </w:r>
    </w:p>
    <w:p w14:paraId="27A51607" w14:textId="52E44BDC" w:rsidR="00C53007" w:rsidRPr="0042214E" w:rsidRDefault="00F95EB3" w:rsidP="006244AC">
      <w:pPr>
        <w:pStyle w:val="Bulletindent"/>
        <w:contextualSpacing/>
      </w:pPr>
      <w:r>
        <w:t xml:space="preserve">government and other approvals required; </w:t>
      </w:r>
      <w:r w:rsidR="00795A73" w:rsidRPr="0042214E">
        <w:t>and</w:t>
      </w:r>
    </w:p>
    <w:p w14:paraId="034ADF97" w14:textId="3B81AAD4" w:rsidR="00C53007" w:rsidRPr="0042214E" w:rsidRDefault="00C53007" w:rsidP="006244AC">
      <w:pPr>
        <w:pStyle w:val="Bulletindent"/>
        <w:contextualSpacing/>
      </w:pPr>
      <w:r w:rsidRPr="0042214E">
        <w:t xml:space="preserve">the timing of uncertainties and real options trigger points and the timing </w:t>
      </w:r>
      <w:r w:rsidR="004F755A" w:rsidRPr="0042214E">
        <w:t xml:space="preserve">of </w:t>
      </w:r>
      <w:r w:rsidR="00BA7A41" w:rsidRPr="0042214E">
        <w:t>G</w:t>
      </w:r>
      <w:r w:rsidRPr="0042214E">
        <w:t>overnment’s response to them.</w:t>
      </w:r>
    </w:p>
    <w:p w14:paraId="6A705D8C" w14:textId="719087E7" w:rsidR="00C53007" w:rsidRPr="0042214E" w:rsidRDefault="00C53007" w:rsidP="006B713F">
      <w:pPr>
        <w:pStyle w:val="NormalIndent"/>
      </w:pPr>
      <w:r w:rsidRPr="0042214E">
        <w:t xml:space="preserve">In a </w:t>
      </w:r>
      <w:proofErr w:type="gramStart"/>
      <w:r w:rsidRPr="0042214E">
        <w:t>real options</w:t>
      </w:r>
      <w:proofErr w:type="gramEnd"/>
      <w:r w:rsidR="00034452" w:rsidRPr="0042214E">
        <w:noBreakHyphen/>
      </w:r>
      <w:r w:rsidRPr="0042214E">
        <w:t>based investment, it will be necessary to outline the timelines and milestones for those real options that are realistic alternatives to the preferred real option.</w:t>
      </w:r>
    </w:p>
    <w:p w14:paraId="1B27A97A" w14:textId="36CC460C" w:rsidR="001C0321" w:rsidRPr="0042214E" w:rsidRDefault="00D56625" w:rsidP="006244AC">
      <w:pPr>
        <w:pStyle w:val="NormalIndent"/>
        <w:rPr>
          <w:rStyle w:val="Emphasis"/>
        </w:rPr>
      </w:pPr>
      <w:r w:rsidRPr="0042214E">
        <w:rPr>
          <w:rStyle w:val="Emphasis"/>
        </w:rPr>
        <w:t>A detailed project schedule is required for all HVHR projects.</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C4044A" w:rsidRPr="0042214E" w14:paraId="1BE83225" w14:textId="77777777" w:rsidTr="006244AC">
        <w:tc>
          <w:tcPr>
            <w:tcW w:w="8719" w:type="dxa"/>
            <w:shd w:val="clear" w:color="auto" w:fill="FDF3EA" w:themeFill="accent5" w:themeFillTint="33"/>
          </w:tcPr>
          <w:p w14:paraId="4867A10A" w14:textId="6CC5D9DC" w:rsidR="00C4044A" w:rsidRPr="0042214E" w:rsidRDefault="00C4044A" w:rsidP="006244AC">
            <w:pPr>
              <w:pStyle w:val="Tabletextbold"/>
            </w:pPr>
            <w:r w:rsidRPr="0042214E">
              <w:t>Business case information requirements for project schedules</w:t>
            </w:r>
          </w:p>
          <w:p w14:paraId="4A99D4AC" w14:textId="77777777" w:rsidR="00C4044A" w:rsidRPr="0042214E" w:rsidRDefault="00C4044A" w:rsidP="006244AC">
            <w:pPr>
              <w:pStyle w:val="Tablebullet"/>
            </w:pPr>
            <w:r w:rsidRPr="0042214E">
              <w:t xml:space="preserve">List the major milestones and deliverables and their delivery timelines and contingencies. </w:t>
            </w:r>
          </w:p>
          <w:p w14:paraId="0A80B4BC" w14:textId="77777777" w:rsidR="00C4044A" w:rsidRPr="0042214E" w:rsidRDefault="00C4044A" w:rsidP="006244AC">
            <w:pPr>
              <w:pStyle w:val="Tablebullet"/>
            </w:pPr>
            <w:r w:rsidRPr="0042214E">
              <w:t>Establish a process that ensures the quality of the project is maintained in the case of any unforeseen delay.</w:t>
            </w:r>
          </w:p>
          <w:p w14:paraId="06A25981" w14:textId="46701F7E" w:rsidR="00C4044A" w:rsidRPr="0042214E" w:rsidRDefault="00C4044A" w:rsidP="006244AC">
            <w:pPr>
              <w:pStyle w:val="Tablebullet"/>
            </w:pPr>
            <w:r w:rsidRPr="0042214E">
              <w:t xml:space="preserve">Identify any critical </w:t>
            </w:r>
            <w:r w:rsidR="000D2485" w:rsidRPr="0042214E">
              <w:t xml:space="preserve">paths and </w:t>
            </w:r>
            <w:r w:rsidRPr="0042214E">
              <w:t xml:space="preserve">timelines </w:t>
            </w:r>
            <w:r w:rsidR="0094464D" w:rsidRPr="0042214E">
              <w:t xml:space="preserve">that </w:t>
            </w:r>
            <w:r w:rsidRPr="0042214E">
              <w:t xml:space="preserve">are fundamental for investment success. </w:t>
            </w:r>
          </w:p>
          <w:p w14:paraId="1D506F19" w14:textId="5E4FE514" w:rsidR="00C4044A" w:rsidRPr="0042214E" w:rsidRDefault="00C4044A" w:rsidP="006244AC">
            <w:pPr>
              <w:pStyle w:val="Tablebullet"/>
            </w:pPr>
            <w:r w:rsidRPr="0042214E">
              <w:t>Outline the detailed project schedule, including procurement steps and statutory approvals and key decision points for project progression, termination or otherwise.</w:t>
            </w:r>
          </w:p>
          <w:p w14:paraId="31C2E5A1" w14:textId="2D7CCB77" w:rsidR="00C4044A" w:rsidRPr="0042214E" w:rsidRDefault="00C4044A" w:rsidP="006244AC">
            <w:pPr>
              <w:pStyle w:val="Tablebullet"/>
            </w:pPr>
            <w:r w:rsidRPr="0042214E">
              <w:t>Provide information on potential competing priorities, dependency analysis, skills, capabilities, availability of agency staff</w:t>
            </w:r>
            <w:r w:rsidR="0094464D" w:rsidRPr="0042214E">
              <w:t>,</w:t>
            </w:r>
            <w:r w:rsidRPr="0042214E">
              <w:t xml:space="preserve"> etc. </w:t>
            </w:r>
          </w:p>
          <w:p w14:paraId="1CF01946" w14:textId="77777777" w:rsidR="00C4044A" w:rsidRPr="0042214E" w:rsidRDefault="00C4044A" w:rsidP="006244AC">
            <w:pPr>
              <w:pStyle w:val="Tablebullet"/>
            </w:pPr>
            <w:r w:rsidRPr="0042214E">
              <w:t>Summarise any key risks related to project schedule.</w:t>
            </w:r>
          </w:p>
          <w:p w14:paraId="4206465B" w14:textId="77777777" w:rsidR="00C4044A" w:rsidRPr="0042214E" w:rsidRDefault="00C4044A" w:rsidP="006244AC">
            <w:pPr>
              <w:pStyle w:val="Tablebullet"/>
            </w:pPr>
            <w:r w:rsidRPr="0042214E">
              <w:t>Undertake schedule risk assessment and management strategies.</w:t>
            </w:r>
          </w:p>
          <w:p w14:paraId="05C5E62E" w14:textId="77777777" w:rsidR="00C4044A" w:rsidRPr="0042214E" w:rsidRDefault="00C4044A" w:rsidP="006244AC">
            <w:pPr>
              <w:pStyle w:val="Tablebullet"/>
            </w:pPr>
            <w:r w:rsidRPr="0042214E">
              <w:t>Provide advice on public communication of project timelines (to be consistent with communications strategy).</w:t>
            </w:r>
          </w:p>
          <w:p w14:paraId="4996091B" w14:textId="1BBBA82F" w:rsidR="00C4044A" w:rsidRPr="0042214E" w:rsidRDefault="00C4044A" w:rsidP="006244AC">
            <w:pPr>
              <w:pStyle w:val="Tablebullet"/>
            </w:pPr>
            <w:r w:rsidRPr="0042214E">
              <w:t>Confirm that all actions needed to progress the initiative have been adequately identified.</w:t>
            </w:r>
          </w:p>
        </w:tc>
      </w:tr>
    </w:tbl>
    <w:p w14:paraId="275EDC30" w14:textId="5154593A" w:rsidR="00C53007" w:rsidRPr="0042214E" w:rsidRDefault="00C53007" w:rsidP="005E1934">
      <w:pPr>
        <w:pStyle w:val="Heading2numbered"/>
      </w:pPr>
      <w:bookmarkStart w:id="183" w:name="_Toc121415337"/>
      <w:r w:rsidRPr="0042214E">
        <w:t>Step 9</w:t>
      </w:r>
      <w:r w:rsidR="0078220D" w:rsidRPr="0042214E">
        <w:t>:</w:t>
      </w:r>
      <w:r w:rsidRPr="0042214E">
        <w:t xml:space="preserve"> Project </w:t>
      </w:r>
      <w:r w:rsidR="006244AC" w:rsidRPr="0042214E">
        <w:t>budget</w:t>
      </w:r>
      <w:bookmarkEnd w:id="183"/>
    </w:p>
    <w:p w14:paraId="0562C88A" w14:textId="57F4CEF4" w:rsidR="00D56625" w:rsidRPr="0042214E" w:rsidRDefault="00BA7A41" w:rsidP="006B713F">
      <w:pPr>
        <w:pStyle w:val="NormalIndent"/>
      </w:pPr>
      <w:r w:rsidRPr="0042214E">
        <w:t>Up t</w:t>
      </w:r>
      <w:r w:rsidR="00D56625" w:rsidRPr="0042214E">
        <w:t xml:space="preserve">o this point costing data has been at a concept estimate level. Having identified the </w:t>
      </w:r>
      <w:r w:rsidR="00D21FB0" w:rsidRPr="0042214E">
        <w:t>project</w:t>
      </w:r>
      <w:r w:rsidR="00D56625" w:rsidRPr="0042214E">
        <w:t xml:space="preserve"> solution, departments need to further develop the costing data to a preliminary design estimate level, which will form the basis for the budget funding consideration. </w:t>
      </w:r>
    </w:p>
    <w:p w14:paraId="39B3FC59" w14:textId="4FC78BB5" w:rsidR="00D56625" w:rsidRPr="0042214E" w:rsidRDefault="00D56625" w:rsidP="006B713F">
      <w:pPr>
        <w:pStyle w:val="NormalIndent"/>
      </w:pPr>
      <w:r w:rsidRPr="0042214E">
        <w:t>The business case requires agencies to develop robust cost and budget estimates that support sound investment decisions. Investments are undertaken to achieve service outcomes or other benefits over time. Often the capital cost is small relative to the ongoing cost of maintaining the service</w:t>
      </w:r>
      <w:r w:rsidR="00C07653">
        <w:t>.</w:t>
      </w:r>
      <w:r w:rsidR="00C07653" w:rsidRPr="0042214E">
        <w:t xml:space="preserve"> </w:t>
      </w:r>
      <w:r w:rsidR="00C07653">
        <w:t>T</w:t>
      </w:r>
      <w:r w:rsidRPr="0042214E">
        <w:t>herefore</w:t>
      </w:r>
      <w:r w:rsidR="00C07653">
        <w:t>,</w:t>
      </w:r>
      <w:r w:rsidRPr="0042214E">
        <w:t xml:space="preserve"> it is important to consider the ongoing operating costs and the sustainability of the investment upfront. As a result</w:t>
      </w:r>
      <w:r w:rsidR="003A4385" w:rsidRPr="0042214E">
        <w:t>,</w:t>
      </w:r>
      <w:r w:rsidRPr="0042214E">
        <w:t xml:space="preserve"> the estimates need to address the following issues:</w:t>
      </w:r>
    </w:p>
    <w:p w14:paraId="48E4AE3C" w14:textId="77777777" w:rsidR="00D56625" w:rsidRPr="0042214E" w:rsidRDefault="00D56625" w:rsidP="006244AC">
      <w:pPr>
        <w:pStyle w:val="Bulletindent"/>
      </w:pPr>
      <w:r w:rsidRPr="0042214E">
        <w:t xml:space="preserve">financial planning of the investment, linking capital costs in the project budget to whole of life costs for service </w:t>
      </w:r>
      <w:proofErr w:type="gramStart"/>
      <w:r w:rsidRPr="0042214E">
        <w:t>delivery;</w:t>
      </w:r>
      <w:proofErr w:type="gramEnd"/>
    </w:p>
    <w:p w14:paraId="07FD0DB7" w14:textId="77777777" w:rsidR="00D56625" w:rsidRPr="0042214E" w:rsidRDefault="00D56625" w:rsidP="006244AC">
      <w:pPr>
        <w:pStyle w:val="Bulletindent"/>
      </w:pPr>
      <w:r w:rsidRPr="0042214E">
        <w:t>how to accommodate risk and uncertainty in project budgeting and delivery; and</w:t>
      </w:r>
    </w:p>
    <w:p w14:paraId="1203D7C3" w14:textId="20AC0F2E" w:rsidR="00D56625" w:rsidRPr="0042214E" w:rsidRDefault="00D56625" w:rsidP="006244AC">
      <w:pPr>
        <w:pStyle w:val="Bulletindent"/>
      </w:pPr>
      <w:r w:rsidRPr="0042214E">
        <w:t xml:space="preserve">project governance and </w:t>
      </w:r>
      <w:r w:rsidR="0094464D" w:rsidRPr="0042214E">
        <w:t>sign-</w:t>
      </w:r>
      <w:r w:rsidRPr="0042214E">
        <w:t>off requirements surrounding project budgets.</w:t>
      </w:r>
    </w:p>
    <w:p w14:paraId="387902BF" w14:textId="59866923" w:rsidR="00D56625" w:rsidRPr="0042214E" w:rsidRDefault="00D56625" w:rsidP="006B713F">
      <w:pPr>
        <w:pStyle w:val="NormalIndent"/>
      </w:pPr>
      <w:r w:rsidRPr="0042214E">
        <w:lastRenderedPageBreak/>
        <w:t xml:space="preserve">The estimate for the </w:t>
      </w:r>
      <w:r w:rsidR="00D21FB0" w:rsidRPr="0042214E">
        <w:t xml:space="preserve">project </w:t>
      </w:r>
      <w:r w:rsidRPr="0042214E">
        <w:t>solution needs to be based on preliminary design work and a sound project scope statement. This information will be used to undertake a detailed economic evaluation of the investment.</w:t>
      </w:r>
    </w:p>
    <w:p w14:paraId="156B27FD" w14:textId="77777777" w:rsidR="00D56625" w:rsidRPr="0042214E" w:rsidRDefault="00D56625" w:rsidP="006B713F">
      <w:pPr>
        <w:pStyle w:val="NormalIndent"/>
      </w:pPr>
      <w:r w:rsidRPr="0042214E">
        <w:t>The estimate needs to include the following:</w:t>
      </w:r>
    </w:p>
    <w:p w14:paraId="4AE9DD24" w14:textId="16DF7E90" w:rsidR="00D56625" w:rsidRPr="0042214E" w:rsidRDefault="00586BA5" w:rsidP="006244AC">
      <w:pPr>
        <w:pStyle w:val="Bulletindent"/>
      </w:pPr>
      <w:r w:rsidRPr="0042214E">
        <w:t xml:space="preserve">the </w:t>
      </w:r>
      <w:r w:rsidR="00D56625" w:rsidRPr="0042214E">
        <w:t xml:space="preserve">project budget (capex) comprising a base cost estimate, a base risk allocation and a contingency amount. The base cost estimate has the greatest impact on the accuracy of the project budget as it is the largest component and the foundation on which the base risk and contingency are </w:t>
      </w:r>
      <w:proofErr w:type="gramStart"/>
      <w:r w:rsidR="00D56625" w:rsidRPr="0042214E">
        <w:t>developed</w:t>
      </w:r>
      <w:r w:rsidR="00622D2D" w:rsidRPr="0042214E">
        <w:t>;</w:t>
      </w:r>
      <w:proofErr w:type="gramEnd"/>
    </w:p>
    <w:p w14:paraId="08D58BD1" w14:textId="16DFF75D" w:rsidR="00D56625" w:rsidRPr="0042214E" w:rsidRDefault="00586BA5" w:rsidP="006244AC">
      <w:pPr>
        <w:pStyle w:val="Bulletindent"/>
      </w:pPr>
      <w:r w:rsidRPr="0042214E">
        <w:t xml:space="preserve">the </w:t>
      </w:r>
      <w:r w:rsidR="00D56625" w:rsidRPr="0042214E">
        <w:t>whole of life operational costs (</w:t>
      </w:r>
      <w:proofErr w:type="spellStart"/>
      <w:r w:rsidR="00D56625" w:rsidRPr="0042214E">
        <w:t>opex</w:t>
      </w:r>
      <w:proofErr w:type="spellEnd"/>
      <w:r w:rsidR="00D56625" w:rsidRPr="0042214E">
        <w:t>)</w:t>
      </w:r>
      <w:r w:rsidR="00F76FB2">
        <w:t>,</w:t>
      </w:r>
      <w:r w:rsidR="00D56625" w:rsidRPr="0042214E">
        <w:t xml:space="preserve"> including service delivery costs, equipment cost</w:t>
      </w:r>
      <w:r w:rsidR="0094464D" w:rsidRPr="0042214E">
        <w:t>s</w:t>
      </w:r>
      <w:r w:rsidR="00D56625" w:rsidRPr="0042214E">
        <w:t xml:space="preserve"> and asset management costs. In some instances</w:t>
      </w:r>
      <w:r w:rsidR="00BA7A41" w:rsidRPr="0042214E">
        <w:t>,</w:t>
      </w:r>
      <w:r w:rsidR="00D56625" w:rsidRPr="0042214E">
        <w:t xml:space="preserve"> the existing service delivery costs may reduce on a per service </w:t>
      </w:r>
      <w:r w:rsidR="00FB7609" w:rsidRPr="0042214E">
        <w:t>basis but</w:t>
      </w:r>
      <w:r w:rsidR="00D56625" w:rsidRPr="0042214E">
        <w:t xml:space="preserve"> might increase </w:t>
      </w:r>
      <w:proofErr w:type="gramStart"/>
      <w:r w:rsidR="00D56625" w:rsidRPr="0042214E">
        <w:t>as a result of</w:t>
      </w:r>
      <w:proofErr w:type="gramEnd"/>
      <w:r w:rsidR="00D56625" w:rsidRPr="0042214E">
        <w:t xml:space="preserve"> a service volume increase. Agencies will need to consider how the investment will affect service delivery and the timing of that change; and</w:t>
      </w:r>
    </w:p>
    <w:p w14:paraId="03618D52" w14:textId="6E0130F9" w:rsidR="00D56625" w:rsidRPr="0042214E" w:rsidRDefault="00586BA5" w:rsidP="006244AC">
      <w:pPr>
        <w:pStyle w:val="Bulletindent"/>
      </w:pPr>
      <w:r w:rsidRPr="0042214E">
        <w:t xml:space="preserve">appropriate </w:t>
      </w:r>
      <w:r w:rsidR="00D56625" w:rsidRPr="0042214E">
        <w:t>cash flow details (distribution of costs over the life of the investment).</w:t>
      </w:r>
    </w:p>
    <w:p w14:paraId="013D82C9" w14:textId="77777777" w:rsidR="00BA7A41" w:rsidRPr="0042214E" w:rsidRDefault="00D56625" w:rsidP="00586BA5">
      <w:pPr>
        <w:pStyle w:val="NormalIndent"/>
        <w:keepNext/>
      </w:pPr>
      <w:r w:rsidRPr="0042214E">
        <w:t>Important factors in developing a sound project budget include</w:t>
      </w:r>
      <w:r w:rsidR="00BA7A41" w:rsidRPr="0042214E">
        <w:t>:</w:t>
      </w:r>
    </w:p>
    <w:p w14:paraId="045C0796" w14:textId="2372A1F6" w:rsidR="00BA7A41" w:rsidRPr="0042214E" w:rsidRDefault="00D56625" w:rsidP="00586BA5">
      <w:pPr>
        <w:pStyle w:val="Bulletindent"/>
      </w:pPr>
      <w:r w:rsidRPr="0042214E">
        <w:t>a well</w:t>
      </w:r>
      <w:r w:rsidR="00034452" w:rsidRPr="0042214E">
        <w:noBreakHyphen/>
      </w:r>
      <w:r w:rsidRPr="0042214E">
        <w:t xml:space="preserve">considered </w:t>
      </w:r>
      <w:r w:rsidR="004245A9" w:rsidRPr="0042214E">
        <w:t xml:space="preserve">preliminary </w:t>
      </w:r>
      <w:r w:rsidRPr="0042214E">
        <w:t xml:space="preserve">design to effectively deliver the benefits </w:t>
      </w:r>
      <w:proofErr w:type="gramStart"/>
      <w:r w:rsidRPr="0042214E">
        <w:t>sought;</w:t>
      </w:r>
      <w:proofErr w:type="gramEnd"/>
      <w:r w:rsidRPr="0042214E">
        <w:t xml:space="preserve"> </w:t>
      </w:r>
    </w:p>
    <w:p w14:paraId="53913DD9" w14:textId="77777777" w:rsidR="00BA7A41" w:rsidRPr="0042214E" w:rsidRDefault="00D56625" w:rsidP="00586BA5">
      <w:pPr>
        <w:pStyle w:val="Bulletindent"/>
      </w:pPr>
      <w:r w:rsidRPr="0042214E">
        <w:t xml:space="preserve">clearly outlined cost </w:t>
      </w:r>
      <w:proofErr w:type="gramStart"/>
      <w:r w:rsidRPr="0042214E">
        <w:t>assumptions;</w:t>
      </w:r>
      <w:proofErr w:type="gramEnd"/>
      <w:r w:rsidRPr="0042214E">
        <w:t xml:space="preserve"> </w:t>
      </w:r>
    </w:p>
    <w:p w14:paraId="03695305" w14:textId="77777777" w:rsidR="00BA7A41" w:rsidRPr="0042214E" w:rsidRDefault="00D56625" w:rsidP="00586BA5">
      <w:pPr>
        <w:pStyle w:val="Bulletindent"/>
      </w:pPr>
      <w:r w:rsidRPr="0042214E">
        <w:t xml:space="preserve">a good understanding of the market conditions; and </w:t>
      </w:r>
    </w:p>
    <w:p w14:paraId="4B14CF6C" w14:textId="77777777" w:rsidR="00BA7A41" w:rsidRPr="0042214E" w:rsidRDefault="00D56625" w:rsidP="00586BA5">
      <w:pPr>
        <w:pStyle w:val="Bulletindent"/>
      </w:pPr>
      <w:r w:rsidRPr="0042214E">
        <w:t xml:space="preserve">availability of valid benchmarking data. </w:t>
      </w:r>
    </w:p>
    <w:p w14:paraId="507745B3" w14:textId="7B71228B" w:rsidR="00D56625" w:rsidRPr="0042214E" w:rsidRDefault="00D56625" w:rsidP="006B713F">
      <w:pPr>
        <w:pStyle w:val="NormalIndent"/>
      </w:pPr>
      <w:r w:rsidRPr="0042214E">
        <w:t xml:space="preserve">For unique, </w:t>
      </w:r>
      <w:r w:rsidR="0094464D" w:rsidRPr="0042214E">
        <w:t>one-</w:t>
      </w:r>
      <w:r w:rsidRPr="0042214E">
        <w:t>off projects</w:t>
      </w:r>
      <w:r w:rsidR="00BA7A41" w:rsidRPr="0042214E">
        <w:t>,</w:t>
      </w:r>
      <w:r w:rsidRPr="0042214E">
        <w:t xml:space="preserve"> this is more difficult, requiring a greater focus on design and scope. A competent and experienced estimator will align the estimating process with a comprehensive industry best practice procedure. Refer to the </w:t>
      </w:r>
      <w:r w:rsidR="003A4385" w:rsidRPr="00922978">
        <w:rPr>
          <w:b/>
          <w:color w:val="E57200" w:themeColor="accent2"/>
        </w:rPr>
        <w:t>P</w:t>
      </w:r>
      <w:r w:rsidRPr="00922978">
        <w:rPr>
          <w:b/>
          <w:color w:val="E57200" w:themeColor="accent2"/>
        </w:rPr>
        <w:t xml:space="preserve">roject </w:t>
      </w:r>
      <w:r w:rsidR="003A4385" w:rsidRPr="00922978">
        <w:rPr>
          <w:b/>
          <w:color w:val="E57200" w:themeColor="accent2"/>
        </w:rPr>
        <w:t>B</w:t>
      </w:r>
      <w:r w:rsidRPr="00922978">
        <w:rPr>
          <w:b/>
          <w:color w:val="E57200" w:themeColor="accent2"/>
        </w:rPr>
        <w:t>udgets</w:t>
      </w:r>
      <w:r w:rsidRPr="00922978">
        <w:rPr>
          <w:color w:val="E57200" w:themeColor="accent2"/>
        </w:rPr>
        <w:t xml:space="preserve"> </w:t>
      </w:r>
      <w:r w:rsidRPr="00FB373D">
        <w:rPr>
          <w:color w:val="000000" w:themeColor="text1"/>
        </w:rPr>
        <w:t xml:space="preserve">technical </w:t>
      </w:r>
      <w:r w:rsidRPr="0042214E">
        <w:t>guide for further information.</w:t>
      </w:r>
    </w:p>
    <w:p w14:paraId="0AB9C5BD" w14:textId="77777777" w:rsidR="00D56625" w:rsidRPr="0042214E" w:rsidRDefault="00D56625" w:rsidP="006B713F">
      <w:pPr>
        <w:pStyle w:val="NormalIndent"/>
      </w:pPr>
      <w:r w:rsidRPr="0042214E">
        <w:t>Practical examples of the ways in which the cost can be estimated or verified include:</w:t>
      </w:r>
    </w:p>
    <w:p w14:paraId="13E391BE" w14:textId="77777777" w:rsidR="00D56625" w:rsidRPr="0042214E" w:rsidRDefault="00D56625" w:rsidP="00586BA5">
      <w:pPr>
        <w:pStyle w:val="Bulletindent"/>
      </w:pPr>
      <w:r w:rsidRPr="0042214E">
        <w:t>benchmarking against other facilities if other similar work has been undertaken before (domestically and internationally</w:t>
      </w:r>
      <w:proofErr w:type="gramStart"/>
      <w:r w:rsidRPr="0042214E">
        <w:t>);</w:t>
      </w:r>
      <w:proofErr w:type="gramEnd"/>
    </w:p>
    <w:p w14:paraId="1C5AF4B3" w14:textId="292BE74A" w:rsidR="00D56625" w:rsidRPr="0042214E" w:rsidRDefault="00D56625" w:rsidP="00586BA5">
      <w:pPr>
        <w:pStyle w:val="Bulletindent"/>
      </w:pPr>
      <w:r w:rsidRPr="0042214E">
        <w:t>reviewing functional specifications or early concept drawings by suitably qualified cost estimators such as quantity surveyors; and</w:t>
      </w:r>
    </w:p>
    <w:p w14:paraId="686A4639" w14:textId="114B82E6" w:rsidR="00D56625" w:rsidRPr="0042214E" w:rsidRDefault="00D56625" w:rsidP="00586BA5">
      <w:pPr>
        <w:pStyle w:val="Bulletindent"/>
      </w:pPr>
      <w:r w:rsidRPr="0042214E">
        <w:t>building up of costs by internal or external experts based on initial information (possibly</w:t>
      </w:r>
      <w:r w:rsidR="00586BA5" w:rsidRPr="0042214E">
        <w:t> </w:t>
      </w:r>
      <w:r w:rsidRPr="0042214E">
        <w:t>using components such as industry accepted rates or reliable unit costs such</w:t>
      </w:r>
      <w:r w:rsidR="00586BA5" w:rsidRPr="0042214E">
        <w:t> </w:t>
      </w:r>
      <w:r w:rsidRPr="0042214E">
        <w:t xml:space="preserve">as cost/km). </w:t>
      </w:r>
    </w:p>
    <w:p w14:paraId="5014F8AF" w14:textId="59870F0A" w:rsidR="00D56625" w:rsidRPr="0042214E" w:rsidRDefault="00D56625" w:rsidP="006B713F">
      <w:pPr>
        <w:pStyle w:val="NormalIndent"/>
      </w:pPr>
      <w:r w:rsidRPr="0042214E">
        <w:t>Project risks need to be identified and managed from the outset</w:t>
      </w:r>
      <w:r w:rsidR="0094464D" w:rsidRPr="0042214E">
        <w:t xml:space="preserve">; </w:t>
      </w:r>
      <w:r w:rsidRPr="0042214E">
        <w:t>consequently</w:t>
      </w:r>
      <w:r w:rsidR="00FB0C15">
        <w:t>,</w:t>
      </w:r>
      <w:r w:rsidRPr="0042214E">
        <w:t xml:space="preserve"> risk analysis and adjustment should focus on residual risks. Risk adjustment should not include allowance for poor planning (</w:t>
      </w:r>
      <w:r w:rsidR="00FB7609" w:rsidRPr="0042214E">
        <w:t>i.e.,</w:t>
      </w:r>
      <w:r w:rsidRPr="0042214E">
        <w:t xml:space="preserve"> that is risks associated with flawed or truncated planning processes). </w:t>
      </w:r>
    </w:p>
    <w:p w14:paraId="4F9534B4" w14:textId="7287F292" w:rsidR="00D56625" w:rsidRPr="0042214E" w:rsidRDefault="00D56625" w:rsidP="006B713F">
      <w:pPr>
        <w:pStyle w:val="NormalIndent"/>
      </w:pPr>
      <w:r w:rsidRPr="0042214E">
        <w:t xml:space="preserve">The contingency caters for </w:t>
      </w:r>
      <w:r w:rsidR="005E6B0F">
        <w:t xml:space="preserve">the </w:t>
      </w:r>
      <w:r w:rsidRPr="0042214E">
        <w:t>volatility of the project risks, significant risks that fall outside the norm and sensitivity of the project to underlying risk assumptions.</w:t>
      </w:r>
    </w:p>
    <w:p w14:paraId="776DC2F4" w14:textId="77777777" w:rsidR="001846C7" w:rsidRDefault="00D56625" w:rsidP="006B713F">
      <w:pPr>
        <w:pStyle w:val="NormalIndent"/>
      </w:pPr>
      <w:r w:rsidRPr="0042214E">
        <w:t>Where the proposal will result in substantial changes to output costs (increase or decrease)</w:t>
      </w:r>
      <w:r w:rsidR="0094464D" w:rsidRPr="0042214E">
        <w:t>,</w:t>
      </w:r>
      <w:r w:rsidRPr="0042214E">
        <w:t xml:space="preserve"> the estimated impact (costs or savings) should be addressed.</w:t>
      </w:r>
    </w:p>
    <w:p w14:paraId="6F49114A" w14:textId="79F5D4CB" w:rsidR="001846C7" w:rsidRPr="00667D0D" w:rsidRDefault="001A54EB" w:rsidP="00F454CE">
      <w:pPr>
        <w:pStyle w:val="Heading3numbered"/>
      </w:pPr>
      <w:bookmarkStart w:id="184" w:name="_Toc121415338"/>
      <w:r w:rsidRPr="00667D0D">
        <w:lastRenderedPageBreak/>
        <w:t xml:space="preserve">Project </w:t>
      </w:r>
      <w:r w:rsidR="001846C7" w:rsidRPr="00667D0D">
        <w:t>Owner costs</w:t>
      </w:r>
      <w:bookmarkEnd w:id="184"/>
    </w:p>
    <w:p w14:paraId="54D13CC3" w14:textId="62059522" w:rsidR="00366000" w:rsidRPr="00667D0D" w:rsidRDefault="00366000" w:rsidP="001846C7">
      <w:pPr>
        <w:pStyle w:val="NormalIndent"/>
      </w:pPr>
      <w:r w:rsidRPr="00667D0D">
        <w:t xml:space="preserve">A component of the project budget relates to owner costs, which cover the cost of implementing and managing </w:t>
      </w:r>
      <w:r w:rsidR="00AD2755" w:rsidRPr="00667D0D">
        <w:t xml:space="preserve">the delivery of </w:t>
      </w:r>
      <w:r w:rsidRPr="00667D0D">
        <w:t>project</w:t>
      </w:r>
      <w:r w:rsidR="00AD2755" w:rsidRPr="00667D0D">
        <w:t>s</w:t>
      </w:r>
      <w:r w:rsidRPr="00667D0D">
        <w:t xml:space="preserve"> or program</w:t>
      </w:r>
      <w:r w:rsidR="00AD2755" w:rsidRPr="00667D0D">
        <w:t>s</w:t>
      </w:r>
      <w:r w:rsidRPr="00667D0D">
        <w:t xml:space="preserve">. Previously, there has been limited information provided as part of the costings at the business case stage and therefore further detail on owner costs is requested in the business case template. </w:t>
      </w:r>
    </w:p>
    <w:p w14:paraId="61293566" w14:textId="25568FC6" w:rsidR="001846C7" w:rsidRPr="00667D0D" w:rsidRDefault="001846C7" w:rsidP="001846C7">
      <w:pPr>
        <w:pStyle w:val="NormalIndent"/>
      </w:pPr>
      <w:r w:rsidRPr="00667D0D">
        <w:t>A detailed breakdown of project owner costs is to be completed for all infrastructure projects or programs</w:t>
      </w:r>
      <w:r w:rsidR="00366000" w:rsidRPr="00667D0D">
        <w:t xml:space="preserve"> to allow comparison across portfolios and individual funding proposals. The costing is to be </w:t>
      </w:r>
      <w:r w:rsidRPr="00667D0D">
        <w:t xml:space="preserve">consistent </w:t>
      </w:r>
      <w:r w:rsidR="00366000" w:rsidRPr="00667D0D">
        <w:t xml:space="preserve">with </w:t>
      </w:r>
      <w:r w:rsidRPr="00667D0D">
        <w:t>the assigned cost categories that are provided below</w:t>
      </w:r>
      <w:r w:rsidR="00366000" w:rsidRPr="00667D0D">
        <w:t xml:space="preserve">. </w:t>
      </w:r>
      <w:r w:rsidRPr="00667D0D">
        <w:t xml:space="preserve"> </w:t>
      </w:r>
    </w:p>
    <w:p w14:paraId="63030D72" w14:textId="36CE7148" w:rsidR="001846C7" w:rsidRPr="00667D0D" w:rsidRDefault="00764553" w:rsidP="001846C7">
      <w:pPr>
        <w:pStyle w:val="NormalIndent"/>
      </w:pPr>
      <w:r w:rsidRPr="00667D0D">
        <w:t>Project owner costs typically exclude the cost of purchasing land, construction costs, associated minor works and private operator payments.</w:t>
      </w:r>
      <w:r w:rsidR="00EC2C2B" w:rsidRPr="00667D0D">
        <w:t xml:space="preserve"> </w:t>
      </w:r>
      <w:r w:rsidR="001846C7" w:rsidRPr="00667D0D">
        <w:t>In a general sense</w:t>
      </w:r>
      <w:r w:rsidR="00D53A31" w:rsidRPr="00667D0D">
        <w:t>,</w:t>
      </w:r>
      <w:r w:rsidR="001846C7" w:rsidRPr="00667D0D">
        <w:t xml:space="preserve"> indirect </w:t>
      </w:r>
      <w:r w:rsidR="00122367" w:rsidRPr="00667D0D">
        <w:t xml:space="preserve">project </w:t>
      </w:r>
      <w:r w:rsidR="001846C7" w:rsidRPr="00667D0D">
        <w:t>owner costs include the program office functions that support th</w:t>
      </w:r>
      <w:r w:rsidR="00CA1184" w:rsidRPr="00667D0D">
        <w:t>e</w:t>
      </w:r>
      <w:r w:rsidR="001846C7" w:rsidRPr="00667D0D">
        <w:t xml:space="preserve"> project</w:t>
      </w:r>
      <w:r w:rsidR="00CA1184" w:rsidRPr="00667D0D">
        <w:t xml:space="preserve"> or program</w:t>
      </w:r>
      <w:r w:rsidR="001846C7" w:rsidRPr="00667D0D">
        <w:t xml:space="preserve">, with direct </w:t>
      </w:r>
      <w:r w:rsidR="00122367" w:rsidRPr="00667D0D">
        <w:t xml:space="preserve">project </w:t>
      </w:r>
      <w:r w:rsidR="001846C7" w:rsidRPr="00667D0D">
        <w:t>owner costs developed using a bottom-up approach</w:t>
      </w:r>
      <w:r w:rsidR="00BF5607" w:rsidRPr="00667D0D">
        <w:t xml:space="preserve"> and being</w:t>
      </w:r>
      <w:r w:rsidR="001846C7" w:rsidRPr="00667D0D">
        <w:t xml:space="preserve"> costs directly attributable to a specific project. </w:t>
      </w:r>
      <w:r w:rsidR="007D341A" w:rsidRPr="00667D0D">
        <w:t xml:space="preserve">A breakdown of direct and indirect project owner costs </w:t>
      </w:r>
      <w:r w:rsidR="00485948" w:rsidRPr="00667D0D">
        <w:t xml:space="preserve">is not required. The disclosure relates to total project owner costs </w:t>
      </w:r>
      <w:r w:rsidR="00FF4857" w:rsidRPr="00667D0D">
        <w:t>disaggregat</w:t>
      </w:r>
      <w:r w:rsidR="00BF5607" w:rsidRPr="00667D0D">
        <w:t>ed</w:t>
      </w:r>
      <w:r w:rsidR="00FF4857" w:rsidRPr="00667D0D">
        <w:t xml:space="preserve"> </w:t>
      </w:r>
      <w:r w:rsidR="002C5FEA" w:rsidRPr="00667D0D">
        <w:t xml:space="preserve">as per the defined cost categories provided below. </w:t>
      </w:r>
    </w:p>
    <w:p w14:paraId="1B512A8A" w14:textId="24F78D49" w:rsidR="001846C7" w:rsidRPr="00667D0D" w:rsidRDefault="001846C7" w:rsidP="00F454CE">
      <w:pPr>
        <w:pStyle w:val="Heading3numbered"/>
      </w:pPr>
      <w:bookmarkStart w:id="185" w:name="_Toc121415339"/>
      <w:r w:rsidRPr="00667D0D">
        <w:rPr>
          <w:bCs w:val="0"/>
        </w:rPr>
        <w:t xml:space="preserve">Cost </w:t>
      </w:r>
      <w:r w:rsidRPr="00667D0D">
        <w:t>Category</w:t>
      </w:r>
      <w:r w:rsidRPr="00667D0D">
        <w:rPr>
          <w:bCs w:val="0"/>
        </w:rPr>
        <w:t xml:space="preserve"> Definitions</w:t>
      </w:r>
      <w:bookmarkEnd w:id="185"/>
    </w:p>
    <w:p w14:paraId="13D9C315" w14:textId="7569B256" w:rsidR="001846C7" w:rsidRPr="00667D0D" w:rsidRDefault="001846C7" w:rsidP="001846C7">
      <w:pPr>
        <w:pStyle w:val="NormalIndent"/>
      </w:pPr>
      <w:r w:rsidRPr="00667D0D">
        <w:t xml:space="preserve">Departments/agencies are required to apply a standardised definition of what constitutes </w:t>
      </w:r>
      <w:r w:rsidR="00122367" w:rsidRPr="00667D0D">
        <w:t xml:space="preserve">project </w:t>
      </w:r>
      <w:r w:rsidRPr="00667D0D">
        <w:t>owner costs for their projects</w:t>
      </w:r>
      <w:r w:rsidR="00232674" w:rsidRPr="00667D0D">
        <w:t>.</w:t>
      </w:r>
      <w:r w:rsidRPr="00667D0D">
        <w:t xml:space="preserve"> These costs will vary between projects depending on the project lifecycle stage, procurement approach, </w:t>
      </w:r>
      <w:r w:rsidR="00CA1184" w:rsidRPr="00667D0D">
        <w:t xml:space="preserve">packaging strategy, </w:t>
      </w:r>
      <w:r w:rsidRPr="00667D0D">
        <w:t>project delivery/work</w:t>
      </w:r>
      <w:r w:rsidR="00BF5607" w:rsidRPr="00667D0D">
        <w:t>,</w:t>
      </w:r>
      <w:r w:rsidRPr="00667D0D">
        <w:t xml:space="preserve"> and the complexity, duration, size, and </w:t>
      </w:r>
      <w:r w:rsidR="009A3E43" w:rsidRPr="00667D0D">
        <w:t>contractual</w:t>
      </w:r>
      <w:r w:rsidRPr="00667D0D">
        <w:t xml:space="preserve"> requirements of the project. </w:t>
      </w:r>
    </w:p>
    <w:p w14:paraId="43AD249E" w14:textId="1EA54B96" w:rsidR="00563B7A" w:rsidRPr="00667D0D" w:rsidRDefault="00563B7A" w:rsidP="001846C7">
      <w:pPr>
        <w:pStyle w:val="NormalIndent"/>
      </w:pPr>
      <w:r w:rsidRPr="00667D0D">
        <w:t xml:space="preserve">At </w:t>
      </w:r>
      <w:r w:rsidR="00D97A8B" w:rsidRPr="00667D0D">
        <w:t xml:space="preserve">the </w:t>
      </w:r>
      <w:r w:rsidRPr="00667D0D">
        <w:t xml:space="preserve">business case stage, some </w:t>
      </w:r>
      <w:r w:rsidR="00B94525" w:rsidRPr="00667D0D">
        <w:t xml:space="preserve">project owner </w:t>
      </w:r>
      <w:r w:rsidRPr="00667D0D">
        <w:t>cost elements might not be completely finalised</w:t>
      </w:r>
      <w:r w:rsidR="0008304C" w:rsidRPr="00667D0D">
        <w:t>. However, best estimate</w:t>
      </w:r>
      <w:r w:rsidR="005A6439" w:rsidRPr="00667D0D">
        <w:t>s</w:t>
      </w:r>
      <w:r w:rsidR="0008304C" w:rsidRPr="00667D0D">
        <w:t xml:space="preserve"> should be provided based on benchmarks </w:t>
      </w:r>
      <w:r w:rsidR="005A6439" w:rsidRPr="00667D0D">
        <w:t xml:space="preserve">from </w:t>
      </w:r>
      <w:r w:rsidR="0008304C" w:rsidRPr="00667D0D">
        <w:t>within the portfolio</w:t>
      </w:r>
      <w:r w:rsidR="005A6439" w:rsidRPr="00667D0D">
        <w:t xml:space="preserve"> and other industry standards. </w:t>
      </w:r>
      <w:r w:rsidR="007B271B" w:rsidRPr="00667D0D">
        <w:t>Table</w:t>
      </w:r>
      <w:r w:rsidR="00636690" w:rsidRPr="00667D0D">
        <w:t xml:space="preserve"> 11</w:t>
      </w:r>
      <w:r w:rsidR="007B271B" w:rsidRPr="00667D0D">
        <w:t xml:space="preserve"> is required to be completed for all infrastructure projects or programs, with </w:t>
      </w:r>
      <w:r w:rsidR="00D97A8B" w:rsidRPr="00667D0D">
        <w:t xml:space="preserve">a </w:t>
      </w:r>
      <w:r w:rsidR="007B271B" w:rsidRPr="00667D0D">
        <w:t xml:space="preserve">consistent application against the assigned </w:t>
      </w:r>
      <w:r w:rsidR="00922BE7" w:rsidRPr="00667D0D">
        <w:t xml:space="preserve">project owner </w:t>
      </w:r>
      <w:r w:rsidR="007B271B" w:rsidRPr="00667D0D">
        <w:t>cost</w:t>
      </w:r>
      <w:r w:rsidR="00922BE7" w:rsidRPr="00667D0D">
        <w:t>s</w:t>
      </w:r>
      <w:r w:rsidR="007B271B" w:rsidRPr="00667D0D">
        <w:t xml:space="preserve"> categories provided.</w:t>
      </w:r>
      <w:r w:rsidR="00922BE7" w:rsidRPr="00667D0D">
        <w:t xml:space="preserve"> </w:t>
      </w:r>
    </w:p>
    <w:p w14:paraId="3D15928C" w14:textId="347B18AA" w:rsidR="005D0EAB" w:rsidRPr="00667D0D" w:rsidRDefault="007D7747" w:rsidP="007D7747">
      <w:pPr>
        <w:pStyle w:val="NormalIndent"/>
        <w:rPr>
          <w:b/>
          <w:bCs/>
          <w:sz w:val="18"/>
          <w:szCs w:val="18"/>
        </w:rPr>
      </w:pPr>
      <w:r w:rsidRPr="00667D0D">
        <w:rPr>
          <w:b/>
          <w:bCs/>
          <w:sz w:val="18"/>
          <w:szCs w:val="18"/>
        </w:rPr>
        <w:t xml:space="preserve">Table </w:t>
      </w:r>
      <w:r w:rsidRPr="00667D0D">
        <w:rPr>
          <w:b/>
          <w:bCs/>
          <w:sz w:val="18"/>
          <w:szCs w:val="18"/>
        </w:rPr>
        <w:fldChar w:fldCharType="begin"/>
      </w:r>
      <w:r w:rsidRPr="00667D0D">
        <w:rPr>
          <w:b/>
          <w:bCs/>
          <w:sz w:val="18"/>
          <w:szCs w:val="18"/>
        </w:rPr>
        <w:instrText xml:space="preserve"> SEQ Table \* ARABIC </w:instrText>
      </w:r>
      <w:r w:rsidRPr="00667D0D">
        <w:rPr>
          <w:b/>
          <w:bCs/>
          <w:sz w:val="18"/>
          <w:szCs w:val="18"/>
        </w:rPr>
        <w:fldChar w:fldCharType="separate"/>
      </w:r>
      <w:r w:rsidR="00295E8F" w:rsidRPr="00667D0D">
        <w:rPr>
          <w:b/>
          <w:bCs/>
          <w:noProof/>
          <w:sz w:val="18"/>
          <w:szCs w:val="18"/>
        </w:rPr>
        <w:t>11</w:t>
      </w:r>
      <w:r w:rsidRPr="00667D0D">
        <w:rPr>
          <w:b/>
          <w:bCs/>
          <w:noProof/>
          <w:sz w:val="18"/>
          <w:szCs w:val="18"/>
        </w:rPr>
        <w:fldChar w:fldCharType="end"/>
      </w:r>
      <w:r w:rsidRPr="00667D0D">
        <w:rPr>
          <w:b/>
          <w:bCs/>
          <w:sz w:val="18"/>
          <w:szCs w:val="18"/>
        </w:rPr>
        <w:t>: Project owner costs</w:t>
      </w:r>
    </w:p>
    <w:tbl>
      <w:tblPr>
        <w:tblStyle w:val="DTFfinancialtable"/>
        <w:tblW w:w="5000" w:type="pct"/>
        <w:tblInd w:w="720" w:type="dxa"/>
        <w:tblLook w:val="06E0" w:firstRow="1" w:lastRow="1" w:firstColumn="1" w:lastColumn="0" w:noHBand="1" w:noVBand="1"/>
      </w:tblPr>
      <w:tblGrid>
        <w:gridCol w:w="2767"/>
        <w:gridCol w:w="909"/>
        <w:gridCol w:w="907"/>
        <w:gridCol w:w="908"/>
        <w:gridCol w:w="907"/>
        <w:gridCol w:w="908"/>
        <w:gridCol w:w="906"/>
        <w:gridCol w:w="986"/>
      </w:tblGrid>
      <w:tr w:rsidR="002855AF" w:rsidRPr="00667D0D" w14:paraId="62E32443" w14:textId="77777777" w:rsidTr="00A93C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98" w:type="dxa"/>
            <w:gridSpan w:val="8"/>
            <w:shd w:val="clear" w:color="auto" w:fill="E57200"/>
          </w:tcPr>
          <w:p w14:paraId="4AAAFD26" w14:textId="77777777" w:rsidR="00733903" w:rsidRPr="00667D0D" w:rsidRDefault="00733903" w:rsidP="00C10719">
            <w:pPr>
              <w:jc w:val="right"/>
              <w:rPr>
                <w:iCs/>
              </w:rPr>
            </w:pPr>
            <w:r w:rsidRPr="00667D0D">
              <w:rPr>
                <w:iCs/>
              </w:rPr>
              <w:t>$million</w:t>
            </w:r>
          </w:p>
        </w:tc>
      </w:tr>
      <w:tr w:rsidR="00A44B30" w:rsidRPr="00667D0D" w14:paraId="7883DEF7" w14:textId="77777777" w:rsidTr="00A93C55">
        <w:tc>
          <w:tcPr>
            <w:cnfStyle w:val="001000000000" w:firstRow="0" w:lastRow="0" w:firstColumn="1" w:lastColumn="0" w:oddVBand="0" w:evenVBand="0" w:oddHBand="0" w:evenHBand="0" w:firstRowFirstColumn="0" w:firstRowLastColumn="0" w:lastRowFirstColumn="0" w:lastRowLastColumn="0"/>
            <w:tcW w:w="2767" w:type="dxa"/>
            <w:tcBorders>
              <w:bottom w:val="single" w:sz="4" w:space="0" w:color="auto"/>
            </w:tcBorders>
            <w:shd w:val="clear" w:color="auto" w:fill="E57200"/>
          </w:tcPr>
          <w:p w14:paraId="506B5CAD" w14:textId="77777777" w:rsidR="00733903" w:rsidRPr="00667D0D" w:rsidRDefault="00733903" w:rsidP="00C10719">
            <w:pPr>
              <w:rPr>
                <w:iCs/>
              </w:rPr>
            </w:pPr>
            <w:r w:rsidRPr="00667D0D">
              <w:rPr>
                <w:iCs/>
              </w:rPr>
              <w:t>Project owner costs</w:t>
            </w:r>
          </w:p>
        </w:tc>
        <w:tc>
          <w:tcPr>
            <w:tcW w:w="909" w:type="dxa"/>
            <w:tcBorders>
              <w:bottom w:val="single" w:sz="4" w:space="0" w:color="auto"/>
            </w:tcBorders>
            <w:shd w:val="clear" w:color="auto" w:fill="E57200"/>
          </w:tcPr>
          <w:p w14:paraId="41CF2C78" w14:textId="77777777" w:rsidR="00733903" w:rsidRPr="00667D0D" w:rsidRDefault="00733903" w:rsidP="00C10719">
            <w:pPr>
              <w:cnfStyle w:val="000000000000" w:firstRow="0" w:lastRow="0" w:firstColumn="0" w:lastColumn="0" w:oddVBand="0" w:evenVBand="0" w:oddHBand="0" w:evenHBand="0" w:firstRowFirstColumn="0" w:firstRowLastColumn="0" w:lastRowFirstColumn="0" w:lastRowLastColumn="0"/>
              <w:rPr>
                <w:iCs/>
              </w:rPr>
            </w:pPr>
            <w:r w:rsidRPr="00667D0D">
              <w:t>2022-23</w:t>
            </w:r>
          </w:p>
        </w:tc>
        <w:tc>
          <w:tcPr>
            <w:tcW w:w="907" w:type="dxa"/>
            <w:tcBorders>
              <w:bottom w:val="single" w:sz="4" w:space="0" w:color="auto"/>
            </w:tcBorders>
            <w:shd w:val="clear" w:color="auto" w:fill="E57200"/>
          </w:tcPr>
          <w:p w14:paraId="43E9C658" w14:textId="77777777" w:rsidR="00733903" w:rsidRPr="00667D0D" w:rsidRDefault="00733903" w:rsidP="00C10719">
            <w:pPr>
              <w:cnfStyle w:val="000000000000" w:firstRow="0" w:lastRow="0" w:firstColumn="0" w:lastColumn="0" w:oddVBand="0" w:evenVBand="0" w:oddHBand="0" w:evenHBand="0" w:firstRowFirstColumn="0" w:firstRowLastColumn="0" w:lastRowFirstColumn="0" w:lastRowLastColumn="0"/>
              <w:rPr>
                <w:iCs/>
              </w:rPr>
            </w:pPr>
            <w:r w:rsidRPr="00667D0D">
              <w:t xml:space="preserve">2023-24 </w:t>
            </w:r>
          </w:p>
        </w:tc>
        <w:tc>
          <w:tcPr>
            <w:tcW w:w="908" w:type="dxa"/>
            <w:tcBorders>
              <w:bottom w:val="single" w:sz="4" w:space="0" w:color="auto"/>
            </w:tcBorders>
            <w:shd w:val="clear" w:color="auto" w:fill="E57200"/>
          </w:tcPr>
          <w:p w14:paraId="7A6AF422" w14:textId="77777777" w:rsidR="00733903" w:rsidRPr="00667D0D" w:rsidRDefault="00733903" w:rsidP="00C10719">
            <w:pPr>
              <w:cnfStyle w:val="000000000000" w:firstRow="0" w:lastRow="0" w:firstColumn="0" w:lastColumn="0" w:oddVBand="0" w:evenVBand="0" w:oddHBand="0" w:evenHBand="0" w:firstRowFirstColumn="0" w:firstRowLastColumn="0" w:lastRowFirstColumn="0" w:lastRowLastColumn="0"/>
              <w:rPr>
                <w:iCs/>
              </w:rPr>
            </w:pPr>
            <w:r w:rsidRPr="00667D0D">
              <w:t>2024-25</w:t>
            </w:r>
          </w:p>
        </w:tc>
        <w:tc>
          <w:tcPr>
            <w:tcW w:w="907" w:type="dxa"/>
            <w:tcBorders>
              <w:bottom w:val="single" w:sz="4" w:space="0" w:color="auto"/>
            </w:tcBorders>
            <w:shd w:val="clear" w:color="auto" w:fill="E57200"/>
          </w:tcPr>
          <w:p w14:paraId="7424B835" w14:textId="77777777" w:rsidR="00733903" w:rsidRPr="00667D0D" w:rsidRDefault="00733903" w:rsidP="00C10719">
            <w:pPr>
              <w:cnfStyle w:val="000000000000" w:firstRow="0" w:lastRow="0" w:firstColumn="0" w:lastColumn="0" w:oddVBand="0" w:evenVBand="0" w:oddHBand="0" w:evenHBand="0" w:firstRowFirstColumn="0" w:firstRowLastColumn="0" w:lastRowFirstColumn="0" w:lastRowLastColumn="0"/>
              <w:rPr>
                <w:iCs/>
              </w:rPr>
            </w:pPr>
            <w:r w:rsidRPr="00667D0D">
              <w:t>2025-26</w:t>
            </w:r>
          </w:p>
        </w:tc>
        <w:tc>
          <w:tcPr>
            <w:tcW w:w="908" w:type="dxa"/>
            <w:tcBorders>
              <w:bottom w:val="single" w:sz="4" w:space="0" w:color="auto"/>
            </w:tcBorders>
            <w:shd w:val="clear" w:color="auto" w:fill="E57200"/>
          </w:tcPr>
          <w:p w14:paraId="3FBBACD5" w14:textId="77777777" w:rsidR="00733903" w:rsidRPr="00667D0D" w:rsidRDefault="00733903" w:rsidP="00C10719">
            <w:pPr>
              <w:cnfStyle w:val="000000000000" w:firstRow="0" w:lastRow="0" w:firstColumn="0" w:lastColumn="0" w:oddVBand="0" w:evenVBand="0" w:oddHBand="0" w:evenHBand="0" w:firstRowFirstColumn="0" w:firstRowLastColumn="0" w:lastRowFirstColumn="0" w:lastRowLastColumn="0"/>
              <w:rPr>
                <w:iCs/>
              </w:rPr>
            </w:pPr>
            <w:r w:rsidRPr="00667D0D">
              <w:t>2026-27</w:t>
            </w:r>
          </w:p>
        </w:tc>
        <w:tc>
          <w:tcPr>
            <w:tcW w:w="906" w:type="dxa"/>
            <w:tcBorders>
              <w:bottom w:val="single" w:sz="4" w:space="0" w:color="auto"/>
            </w:tcBorders>
            <w:shd w:val="clear" w:color="auto" w:fill="E57200"/>
          </w:tcPr>
          <w:p w14:paraId="1DE250A8" w14:textId="77777777" w:rsidR="00733903" w:rsidRPr="00667D0D" w:rsidRDefault="00733903" w:rsidP="00C10719">
            <w:pPr>
              <w:cnfStyle w:val="000000000000" w:firstRow="0" w:lastRow="0" w:firstColumn="0" w:lastColumn="0" w:oddVBand="0" w:evenVBand="0" w:oddHBand="0" w:evenHBand="0" w:firstRowFirstColumn="0" w:firstRowLastColumn="0" w:lastRowFirstColumn="0" w:lastRowLastColumn="0"/>
              <w:rPr>
                <w:iCs/>
              </w:rPr>
            </w:pPr>
            <w:r w:rsidRPr="00667D0D">
              <w:rPr>
                <w:iCs/>
              </w:rPr>
              <w:t>5-year total</w:t>
            </w:r>
          </w:p>
        </w:tc>
        <w:tc>
          <w:tcPr>
            <w:tcW w:w="986" w:type="dxa"/>
            <w:tcBorders>
              <w:bottom w:val="single" w:sz="4" w:space="0" w:color="auto"/>
            </w:tcBorders>
            <w:shd w:val="clear" w:color="auto" w:fill="E57200"/>
          </w:tcPr>
          <w:p w14:paraId="0E3CF861" w14:textId="77777777" w:rsidR="00733903" w:rsidRPr="00667D0D" w:rsidRDefault="00733903" w:rsidP="00C10719">
            <w:pPr>
              <w:cnfStyle w:val="000000000000" w:firstRow="0" w:lastRow="0" w:firstColumn="0" w:lastColumn="0" w:oddVBand="0" w:evenVBand="0" w:oddHBand="0" w:evenHBand="0" w:firstRowFirstColumn="0" w:firstRowLastColumn="0" w:lastRowFirstColumn="0" w:lastRowLastColumn="0"/>
              <w:rPr>
                <w:iCs/>
              </w:rPr>
            </w:pPr>
            <w:r w:rsidRPr="00667D0D">
              <w:rPr>
                <w:iCs/>
              </w:rPr>
              <w:t>Ongoing</w:t>
            </w:r>
          </w:p>
        </w:tc>
      </w:tr>
      <w:tr w:rsidR="00A44B30" w:rsidRPr="00667D0D" w14:paraId="5DECE252" w14:textId="77777777" w:rsidTr="00190C73">
        <w:trPr>
          <w:trHeight w:val="189"/>
        </w:trPr>
        <w:tc>
          <w:tcPr>
            <w:cnfStyle w:val="001000000000" w:firstRow="0" w:lastRow="0" w:firstColumn="1" w:lastColumn="0" w:oddVBand="0" w:evenVBand="0" w:oddHBand="0" w:evenHBand="0" w:firstRowFirstColumn="0" w:firstRowLastColumn="0" w:lastRowFirstColumn="0" w:lastRowLastColumn="0"/>
            <w:tcW w:w="2767" w:type="dxa"/>
            <w:tcBorders>
              <w:top w:val="single" w:sz="4" w:space="0" w:color="auto"/>
              <w:bottom w:val="nil"/>
            </w:tcBorders>
          </w:tcPr>
          <w:p w14:paraId="371CCB77" w14:textId="77777777" w:rsidR="00733903" w:rsidRPr="00667D0D" w:rsidRDefault="00733903" w:rsidP="00C10719">
            <w:pPr>
              <w:rPr>
                <w:rFonts w:asciiTheme="majorHAnsi" w:hAnsiTheme="majorHAnsi" w:cstheme="majorHAnsi"/>
                <w:szCs w:val="17"/>
              </w:rPr>
            </w:pPr>
            <w:r w:rsidRPr="00667D0D">
              <w:rPr>
                <w:rFonts w:asciiTheme="majorHAnsi" w:hAnsiTheme="majorHAnsi" w:cstheme="majorHAnsi"/>
                <w:szCs w:val="17"/>
              </w:rPr>
              <w:t>Legal and Commercial</w:t>
            </w:r>
            <w:r w:rsidRPr="00667D0D">
              <w:rPr>
                <w:rFonts w:asciiTheme="majorHAnsi" w:hAnsiTheme="majorHAnsi" w:cstheme="majorHAnsi"/>
                <w:szCs w:val="17"/>
                <w:vertAlign w:val="superscript"/>
              </w:rPr>
              <w:t>(a)</w:t>
            </w:r>
          </w:p>
        </w:tc>
        <w:tc>
          <w:tcPr>
            <w:tcW w:w="909" w:type="dxa"/>
            <w:tcBorders>
              <w:top w:val="single" w:sz="4" w:space="0" w:color="auto"/>
              <w:bottom w:val="nil"/>
            </w:tcBorders>
          </w:tcPr>
          <w:p w14:paraId="66B6636D"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single" w:sz="4" w:space="0" w:color="auto"/>
              <w:bottom w:val="nil"/>
            </w:tcBorders>
          </w:tcPr>
          <w:p w14:paraId="7E114C92"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single" w:sz="4" w:space="0" w:color="auto"/>
              <w:bottom w:val="nil"/>
            </w:tcBorders>
          </w:tcPr>
          <w:p w14:paraId="78B38688"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single" w:sz="4" w:space="0" w:color="auto"/>
              <w:bottom w:val="nil"/>
            </w:tcBorders>
          </w:tcPr>
          <w:p w14:paraId="1A3CF53D"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single" w:sz="4" w:space="0" w:color="auto"/>
              <w:bottom w:val="nil"/>
            </w:tcBorders>
          </w:tcPr>
          <w:p w14:paraId="2F98D2F1"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6" w:type="dxa"/>
            <w:tcBorders>
              <w:top w:val="single" w:sz="4" w:space="0" w:color="auto"/>
              <w:bottom w:val="nil"/>
            </w:tcBorders>
            <w:shd w:val="clear" w:color="auto" w:fill="F2F2F2" w:themeFill="background1" w:themeFillShade="F2"/>
          </w:tcPr>
          <w:p w14:paraId="14E140B8"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86" w:type="dxa"/>
            <w:tcBorders>
              <w:top w:val="single" w:sz="4" w:space="0" w:color="auto"/>
              <w:bottom w:val="nil"/>
            </w:tcBorders>
          </w:tcPr>
          <w:p w14:paraId="207C8C2B"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r>
      <w:tr w:rsidR="00A44B30" w:rsidRPr="00667D0D" w14:paraId="66276673" w14:textId="77777777" w:rsidTr="00190C73">
        <w:trPr>
          <w:trHeight w:val="189"/>
        </w:trPr>
        <w:tc>
          <w:tcPr>
            <w:cnfStyle w:val="001000000000" w:firstRow="0" w:lastRow="0" w:firstColumn="1" w:lastColumn="0" w:oddVBand="0" w:evenVBand="0" w:oddHBand="0" w:evenHBand="0" w:firstRowFirstColumn="0" w:firstRowLastColumn="0" w:lastRowFirstColumn="0" w:lastRowLastColumn="0"/>
            <w:tcW w:w="2767" w:type="dxa"/>
            <w:tcBorders>
              <w:top w:val="nil"/>
              <w:bottom w:val="nil"/>
            </w:tcBorders>
          </w:tcPr>
          <w:p w14:paraId="3166D0BB" w14:textId="77777777" w:rsidR="00733903" w:rsidRPr="00667D0D" w:rsidRDefault="00733903" w:rsidP="00C10719">
            <w:pPr>
              <w:rPr>
                <w:rFonts w:asciiTheme="majorHAnsi" w:hAnsiTheme="majorHAnsi" w:cstheme="majorHAnsi"/>
                <w:szCs w:val="17"/>
              </w:rPr>
            </w:pPr>
            <w:r w:rsidRPr="00667D0D">
              <w:rPr>
                <w:rFonts w:asciiTheme="majorHAnsi" w:hAnsiTheme="majorHAnsi" w:cstheme="majorHAnsi"/>
                <w:szCs w:val="17"/>
              </w:rPr>
              <w:t>Design and Engineering</w:t>
            </w:r>
            <w:r w:rsidRPr="00667D0D">
              <w:rPr>
                <w:rFonts w:asciiTheme="majorHAnsi" w:hAnsiTheme="majorHAnsi" w:cstheme="majorHAnsi"/>
                <w:szCs w:val="17"/>
                <w:vertAlign w:val="superscript"/>
              </w:rPr>
              <w:t>(b)</w:t>
            </w:r>
          </w:p>
        </w:tc>
        <w:tc>
          <w:tcPr>
            <w:tcW w:w="909" w:type="dxa"/>
            <w:tcBorders>
              <w:top w:val="nil"/>
              <w:bottom w:val="nil"/>
            </w:tcBorders>
          </w:tcPr>
          <w:p w14:paraId="50625B04"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684A946C"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102CE9A0"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260B524E"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1B613023"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6" w:type="dxa"/>
            <w:tcBorders>
              <w:top w:val="nil"/>
              <w:bottom w:val="nil"/>
            </w:tcBorders>
            <w:shd w:val="clear" w:color="auto" w:fill="F2F2F2" w:themeFill="background1" w:themeFillShade="F2"/>
          </w:tcPr>
          <w:p w14:paraId="7A807239"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86" w:type="dxa"/>
            <w:tcBorders>
              <w:top w:val="nil"/>
              <w:bottom w:val="nil"/>
            </w:tcBorders>
          </w:tcPr>
          <w:p w14:paraId="2CAAE7CC"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r>
      <w:tr w:rsidR="00A44B30" w:rsidRPr="00667D0D" w14:paraId="6847DFC9" w14:textId="77777777" w:rsidTr="00190C73">
        <w:trPr>
          <w:trHeight w:val="189"/>
        </w:trPr>
        <w:tc>
          <w:tcPr>
            <w:cnfStyle w:val="001000000000" w:firstRow="0" w:lastRow="0" w:firstColumn="1" w:lastColumn="0" w:oddVBand="0" w:evenVBand="0" w:oddHBand="0" w:evenHBand="0" w:firstRowFirstColumn="0" w:firstRowLastColumn="0" w:lastRowFirstColumn="0" w:lastRowLastColumn="0"/>
            <w:tcW w:w="2767" w:type="dxa"/>
            <w:tcBorders>
              <w:top w:val="nil"/>
              <w:bottom w:val="nil"/>
            </w:tcBorders>
          </w:tcPr>
          <w:p w14:paraId="039379F4" w14:textId="77777777" w:rsidR="00733903" w:rsidRPr="00667D0D" w:rsidRDefault="00733903" w:rsidP="00C10719">
            <w:pPr>
              <w:rPr>
                <w:rFonts w:asciiTheme="majorHAnsi" w:hAnsiTheme="majorHAnsi" w:cstheme="majorHAnsi"/>
                <w:szCs w:val="17"/>
              </w:rPr>
            </w:pPr>
            <w:r w:rsidRPr="00667D0D">
              <w:rPr>
                <w:rFonts w:asciiTheme="majorHAnsi" w:hAnsiTheme="majorHAnsi" w:cstheme="majorHAnsi"/>
                <w:szCs w:val="17"/>
              </w:rPr>
              <w:t xml:space="preserve">Executive </w:t>
            </w:r>
            <w:r w:rsidRPr="00667D0D">
              <w:rPr>
                <w:rFonts w:asciiTheme="majorHAnsi" w:hAnsiTheme="majorHAnsi" w:cstheme="majorHAnsi"/>
                <w:szCs w:val="17"/>
                <w:vertAlign w:val="superscript"/>
              </w:rPr>
              <w:t>(c)</w:t>
            </w:r>
          </w:p>
        </w:tc>
        <w:tc>
          <w:tcPr>
            <w:tcW w:w="909" w:type="dxa"/>
            <w:tcBorders>
              <w:top w:val="nil"/>
              <w:bottom w:val="nil"/>
            </w:tcBorders>
          </w:tcPr>
          <w:p w14:paraId="4BBA38AB"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421CC659"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64F21015"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355FE7F8"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3B52F5FA"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6" w:type="dxa"/>
            <w:tcBorders>
              <w:top w:val="nil"/>
              <w:bottom w:val="nil"/>
            </w:tcBorders>
            <w:shd w:val="clear" w:color="auto" w:fill="F2F2F2" w:themeFill="background1" w:themeFillShade="F2"/>
          </w:tcPr>
          <w:p w14:paraId="78B34C56"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86" w:type="dxa"/>
            <w:tcBorders>
              <w:top w:val="nil"/>
              <w:bottom w:val="nil"/>
            </w:tcBorders>
          </w:tcPr>
          <w:p w14:paraId="11847B40"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r>
      <w:tr w:rsidR="00A44B30" w:rsidRPr="00667D0D" w14:paraId="41426A16" w14:textId="77777777" w:rsidTr="00190C73">
        <w:trPr>
          <w:trHeight w:val="189"/>
        </w:trPr>
        <w:tc>
          <w:tcPr>
            <w:cnfStyle w:val="001000000000" w:firstRow="0" w:lastRow="0" w:firstColumn="1" w:lastColumn="0" w:oddVBand="0" w:evenVBand="0" w:oddHBand="0" w:evenHBand="0" w:firstRowFirstColumn="0" w:firstRowLastColumn="0" w:lastRowFirstColumn="0" w:lastRowLastColumn="0"/>
            <w:tcW w:w="2767" w:type="dxa"/>
            <w:tcBorders>
              <w:top w:val="nil"/>
              <w:bottom w:val="nil"/>
            </w:tcBorders>
          </w:tcPr>
          <w:p w14:paraId="199D7D61" w14:textId="77777777" w:rsidR="00733903" w:rsidRPr="00667D0D" w:rsidRDefault="00733903" w:rsidP="00C10719">
            <w:pPr>
              <w:rPr>
                <w:rFonts w:asciiTheme="majorHAnsi" w:hAnsiTheme="majorHAnsi" w:cstheme="majorHAnsi"/>
                <w:szCs w:val="17"/>
              </w:rPr>
            </w:pPr>
            <w:r w:rsidRPr="00667D0D">
              <w:rPr>
                <w:rFonts w:asciiTheme="majorHAnsi" w:hAnsiTheme="majorHAnsi" w:cstheme="majorHAnsi"/>
                <w:szCs w:val="17"/>
              </w:rPr>
              <w:t>Project management and Business services</w:t>
            </w:r>
            <w:r w:rsidRPr="00667D0D">
              <w:rPr>
                <w:rFonts w:asciiTheme="majorHAnsi" w:hAnsiTheme="majorHAnsi" w:cstheme="majorHAnsi"/>
                <w:szCs w:val="17"/>
                <w:vertAlign w:val="superscript"/>
              </w:rPr>
              <w:t>(d)</w:t>
            </w:r>
          </w:p>
        </w:tc>
        <w:tc>
          <w:tcPr>
            <w:tcW w:w="909" w:type="dxa"/>
            <w:tcBorders>
              <w:top w:val="nil"/>
              <w:bottom w:val="nil"/>
            </w:tcBorders>
          </w:tcPr>
          <w:p w14:paraId="49DFA75D"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24246C4F"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245BDE27"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736654A2"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37C9BC38"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6" w:type="dxa"/>
            <w:tcBorders>
              <w:top w:val="nil"/>
              <w:bottom w:val="nil"/>
            </w:tcBorders>
            <w:shd w:val="clear" w:color="auto" w:fill="F2F2F2" w:themeFill="background1" w:themeFillShade="F2"/>
          </w:tcPr>
          <w:p w14:paraId="51468370"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86" w:type="dxa"/>
            <w:tcBorders>
              <w:top w:val="nil"/>
              <w:bottom w:val="nil"/>
            </w:tcBorders>
          </w:tcPr>
          <w:p w14:paraId="192D4A63"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r>
      <w:tr w:rsidR="00A44B30" w:rsidRPr="00667D0D" w14:paraId="44773DE6" w14:textId="77777777" w:rsidTr="00190C73">
        <w:trPr>
          <w:trHeight w:val="189"/>
        </w:trPr>
        <w:tc>
          <w:tcPr>
            <w:cnfStyle w:val="001000000000" w:firstRow="0" w:lastRow="0" w:firstColumn="1" w:lastColumn="0" w:oddVBand="0" w:evenVBand="0" w:oddHBand="0" w:evenHBand="0" w:firstRowFirstColumn="0" w:firstRowLastColumn="0" w:lastRowFirstColumn="0" w:lastRowLastColumn="0"/>
            <w:tcW w:w="2767" w:type="dxa"/>
            <w:tcBorders>
              <w:top w:val="nil"/>
              <w:bottom w:val="nil"/>
            </w:tcBorders>
          </w:tcPr>
          <w:p w14:paraId="786B7444" w14:textId="77777777" w:rsidR="00733903" w:rsidRPr="00667D0D" w:rsidRDefault="00733903" w:rsidP="00C10719">
            <w:pPr>
              <w:rPr>
                <w:rFonts w:asciiTheme="majorHAnsi" w:hAnsiTheme="majorHAnsi" w:cstheme="majorHAnsi"/>
                <w:szCs w:val="17"/>
              </w:rPr>
            </w:pPr>
            <w:r w:rsidRPr="00667D0D">
              <w:rPr>
                <w:rFonts w:asciiTheme="majorHAnsi" w:hAnsiTheme="majorHAnsi" w:cstheme="majorHAnsi"/>
                <w:szCs w:val="17"/>
              </w:rPr>
              <w:t>Land planning and environment</w:t>
            </w:r>
            <w:r w:rsidRPr="00667D0D">
              <w:rPr>
                <w:rFonts w:asciiTheme="majorHAnsi" w:hAnsiTheme="majorHAnsi" w:cstheme="majorHAnsi"/>
                <w:szCs w:val="17"/>
                <w:vertAlign w:val="superscript"/>
              </w:rPr>
              <w:t>(e)</w:t>
            </w:r>
          </w:p>
        </w:tc>
        <w:tc>
          <w:tcPr>
            <w:tcW w:w="909" w:type="dxa"/>
            <w:tcBorders>
              <w:top w:val="nil"/>
              <w:bottom w:val="nil"/>
            </w:tcBorders>
          </w:tcPr>
          <w:p w14:paraId="4D585102"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5028A0C1"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41ABDC96"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793A437A"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4B3B891E"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6" w:type="dxa"/>
            <w:tcBorders>
              <w:top w:val="nil"/>
              <w:bottom w:val="nil"/>
            </w:tcBorders>
            <w:shd w:val="clear" w:color="auto" w:fill="F2F2F2" w:themeFill="background1" w:themeFillShade="F2"/>
          </w:tcPr>
          <w:p w14:paraId="46083005"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86" w:type="dxa"/>
            <w:tcBorders>
              <w:top w:val="nil"/>
              <w:bottom w:val="nil"/>
            </w:tcBorders>
          </w:tcPr>
          <w:p w14:paraId="43270DC7"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r>
      <w:tr w:rsidR="00A44B30" w:rsidRPr="00667D0D" w14:paraId="14EF8F4D" w14:textId="77777777" w:rsidTr="00190C73">
        <w:trPr>
          <w:trHeight w:val="189"/>
        </w:trPr>
        <w:tc>
          <w:tcPr>
            <w:cnfStyle w:val="001000000000" w:firstRow="0" w:lastRow="0" w:firstColumn="1" w:lastColumn="0" w:oddVBand="0" w:evenVBand="0" w:oddHBand="0" w:evenHBand="0" w:firstRowFirstColumn="0" w:firstRowLastColumn="0" w:lastRowFirstColumn="0" w:lastRowLastColumn="0"/>
            <w:tcW w:w="2767" w:type="dxa"/>
            <w:tcBorders>
              <w:top w:val="nil"/>
              <w:bottom w:val="nil"/>
            </w:tcBorders>
          </w:tcPr>
          <w:p w14:paraId="0F14E9C5" w14:textId="77777777" w:rsidR="00733903" w:rsidRPr="00667D0D" w:rsidRDefault="00733903" w:rsidP="00C10719">
            <w:pPr>
              <w:rPr>
                <w:rFonts w:asciiTheme="majorHAnsi" w:hAnsiTheme="majorHAnsi" w:cstheme="majorHAnsi"/>
                <w:szCs w:val="17"/>
              </w:rPr>
            </w:pPr>
            <w:r w:rsidRPr="00667D0D">
              <w:rPr>
                <w:rFonts w:asciiTheme="majorHAnsi" w:hAnsiTheme="majorHAnsi" w:cstheme="majorHAnsi"/>
                <w:szCs w:val="17"/>
              </w:rPr>
              <w:t>Project controls</w:t>
            </w:r>
            <w:r w:rsidRPr="00667D0D">
              <w:rPr>
                <w:rFonts w:asciiTheme="majorHAnsi" w:hAnsiTheme="majorHAnsi" w:cstheme="majorHAnsi"/>
                <w:szCs w:val="17"/>
                <w:vertAlign w:val="superscript"/>
              </w:rPr>
              <w:t>(f)</w:t>
            </w:r>
          </w:p>
        </w:tc>
        <w:tc>
          <w:tcPr>
            <w:tcW w:w="909" w:type="dxa"/>
            <w:tcBorders>
              <w:top w:val="nil"/>
              <w:bottom w:val="nil"/>
            </w:tcBorders>
          </w:tcPr>
          <w:p w14:paraId="3058E709"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5DA40E26"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79BFA563"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4838C226"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447CF6F5"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6" w:type="dxa"/>
            <w:tcBorders>
              <w:top w:val="nil"/>
              <w:bottom w:val="nil"/>
            </w:tcBorders>
            <w:shd w:val="clear" w:color="auto" w:fill="F2F2F2" w:themeFill="background1" w:themeFillShade="F2"/>
          </w:tcPr>
          <w:p w14:paraId="091AF5F7"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86" w:type="dxa"/>
            <w:tcBorders>
              <w:top w:val="nil"/>
              <w:bottom w:val="nil"/>
            </w:tcBorders>
          </w:tcPr>
          <w:p w14:paraId="6A5AB9DA"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r>
      <w:tr w:rsidR="00A44B30" w:rsidRPr="00667D0D" w14:paraId="3AC89510" w14:textId="77777777" w:rsidTr="00190C73">
        <w:trPr>
          <w:trHeight w:val="189"/>
        </w:trPr>
        <w:tc>
          <w:tcPr>
            <w:cnfStyle w:val="001000000000" w:firstRow="0" w:lastRow="0" w:firstColumn="1" w:lastColumn="0" w:oddVBand="0" w:evenVBand="0" w:oddHBand="0" w:evenHBand="0" w:firstRowFirstColumn="0" w:firstRowLastColumn="0" w:lastRowFirstColumn="0" w:lastRowLastColumn="0"/>
            <w:tcW w:w="2767" w:type="dxa"/>
            <w:tcBorders>
              <w:top w:val="nil"/>
              <w:bottom w:val="nil"/>
            </w:tcBorders>
          </w:tcPr>
          <w:p w14:paraId="43A66915" w14:textId="77777777" w:rsidR="00733903" w:rsidRPr="00667D0D" w:rsidRDefault="00733903" w:rsidP="00C10719">
            <w:pPr>
              <w:rPr>
                <w:rFonts w:asciiTheme="majorHAnsi" w:hAnsiTheme="majorHAnsi" w:cstheme="majorHAnsi"/>
                <w:szCs w:val="17"/>
              </w:rPr>
            </w:pPr>
            <w:r w:rsidRPr="00667D0D">
              <w:rPr>
                <w:rFonts w:asciiTheme="majorHAnsi" w:hAnsiTheme="majorHAnsi" w:cstheme="majorHAnsi"/>
                <w:szCs w:val="17"/>
              </w:rPr>
              <w:t>Safety</w:t>
            </w:r>
            <w:r w:rsidRPr="00667D0D">
              <w:rPr>
                <w:rFonts w:asciiTheme="majorHAnsi" w:hAnsiTheme="majorHAnsi" w:cstheme="majorHAnsi"/>
                <w:szCs w:val="17"/>
                <w:vertAlign w:val="superscript"/>
              </w:rPr>
              <w:t>(g)</w:t>
            </w:r>
          </w:p>
        </w:tc>
        <w:tc>
          <w:tcPr>
            <w:tcW w:w="909" w:type="dxa"/>
            <w:tcBorders>
              <w:top w:val="nil"/>
              <w:bottom w:val="nil"/>
            </w:tcBorders>
          </w:tcPr>
          <w:p w14:paraId="621A2118"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1F748716"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546F2A03"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47AB98D2"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1D128110"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6" w:type="dxa"/>
            <w:tcBorders>
              <w:top w:val="nil"/>
              <w:bottom w:val="nil"/>
            </w:tcBorders>
            <w:shd w:val="clear" w:color="auto" w:fill="F2F2F2" w:themeFill="background1" w:themeFillShade="F2"/>
          </w:tcPr>
          <w:p w14:paraId="69EE154E"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86" w:type="dxa"/>
            <w:tcBorders>
              <w:top w:val="nil"/>
              <w:bottom w:val="nil"/>
            </w:tcBorders>
          </w:tcPr>
          <w:p w14:paraId="6DB45103"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r>
      <w:tr w:rsidR="00A44B30" w:rsidRPr="00667D0D" w14:paraId="49DD5705" w14:textId="77777777" w:rsidTr="00190C73">
        <w:trPr>
          <w:trHeight w:val="189"/>
        </w:trPr>
        <w:tc>
          <w:tcPr>
            <w:cnfStyle w:val="001000000000" w:firstRow="0" w:lastRow="0" w:firstColumn="1" w:lastColumn="0" w:oddVBand="0" w:evenVBand="0" w:oddHBand="0" w:evenHBand="0" w:firstRowFirstColumn="0" w:firstRowLastColumn="0" w:lastRowFirstColumn="0" w:lastRowLastColumn="0"/>
            <w:tcW w:w="2767" w:type="dxa"/>
            <w:tcBorders>
              <w:top w:val="nil"/>
              <w:bottom w:val="nil"/>
            </w:tcBorders>
          </w:tcPr>
          <w:p w14:paraId="1CA48F11" w14:textId="77777777" w:rsidR="00733903" w:rsidRPr="00667D0D" w:rsidRDefault="00733903" w:rsidP="00C10719">
            <w:pPr>
              <w:rPr>
                <w:rFonts w:asciiTheme="majorHAnsi" w:hAnsiTheme="majorHAnsi" w:cstheme="majorHAnsi"/>
                <w:szCs w:val="17"/>
              </w:rPr>
            </w:pPr>
            <w:r w:rsidRPr="00667D0D">
              <w:rPr>
                <w:rFonts w:asciiTheme="majorHAnsi" w:hAnsiTheme="majorHAnsi" w:cstheme="majorHAnsi"/>
                <w:szCs w:val="17"/>
              </w:rPr>
              <w:t>Communications and Stakeholder relations</w:t>
            </w:r>
            <w:r w:rsidRPr="00667D0D">
              <w:rPr>
                <w:rFonts w:asciiTheme="majorHAnsi" w:hAnsiTheme="majorHAnsi" w:cstheme="majorHAnsi"/>
                <w:szCs w:val="17"/>
                <w:vertAlign w:val="superscript"/>
              </w:rPr>
              <w:t>(h)</w:t>
            </w:r>
          </w:p>
        </w:tc>
        <w:tc>
          <w:tcPr>
            <w:tcW w:w="909" w:type="dxa"/>
            <w:tcBorders>
              <w:top w:val="nil"/>
              <w:bottom w:val="nil"/>
            </w:tcBorders>
          </w:tcPr>
          <w:p w14:paraId="701151BF"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6379ECAB"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577945B2"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627394E1"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07236611"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6" w:type="dxa"/>
            <w:tcBorders>
              <w:top w:val="nil"/>
              <w:bottom w:val="nil"/>
            </w:tcBorders>
            <w:shd w:val="clear" w:color="auto" w:fill="F2F2F2" w:themeFill="background1" w:themeFillShade="F2"/>
          </w:tcPr>
          <w:p w14:paraId="740F43FC"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86" w:type="dxa"/>
            <w:tcBorders>
              <w:top w:val="nil"/>
              <w:bottom w:val="nil"/>
            </w:tcBorders>
          </w:tcPr>
          <w:p w14:paraId="08B00207"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r>
      <w:tr w:rsidR="00A44B30" w:rsidRPr="00667D0D" w14:paraId="36454116" w14:textId="77777777" w:rsidTr="00190C73">
        <w:trPr>
          <w:trHeight w:val="189"/>
        </w:trPr>
        <w:tc>
          <w:tcPr>
            <w:cnfStyle w:val="001000000000" w:firstRow="0" w:lastRow="0" w:firstColumn="1" w:lastColumn="0" w:oddVBand="0" w:evenVBand="0" w:oddHBand="0" w:evenHBand="0" w:firstRowFirstColumn="0" w:firstRowLastColumn="0" w:lastRowFirstColumn="0" w:lastRowLastColumn="0"/>
            <w:tcW w:w="2767" w:type="dxa"/>
            <w:tcBorders>
              <w:top w:val="nil"/>
              <w:bottom w:val="nil"/>
            </w:tcBorders>
          </w:tcPr>
          <w:p w14:paraId="3A57AD94" w14:textId="77777777" w:rsidR="00733903" w:rsidRPr="00667D0D" w:rsidRDefault="00733903" w:rsidP="00C10719">
            <w:pPr>
              <w:rPr>
                <w:rFonts w:asciiTheme="majorHAnsi" w:hAnsiTheme="majorHAnsi" w:cstheme="majorHAnsi"/>
                <w:szCs w:val="17"/>
              </w:rPr>
            </w:pPr>
            <w:r w:rsidRPr="00667D0D">
              <w:rPr>
                <w:rFonts w:asciiTheme="majorHAnsi" w:hAnsiTheme="majorHAnsi" w:cstheme="majorHAnsi"/>
                <w:szCs w:val="17"/>
              </w:rPr>
              <w:t>Finance</w:t>
            </w:r>
            <w:r w:rsidRPr="00667D0D">
              <w:rPr>
                <w:rFonts w:asciiTheme="majorHAnsi" w:hAnsiTheme="majorHAnsi" w:cstheme="majorHAnsi"/>
                <w:szCs w:val="17"/>
                <w:vertAlign w:val="superscript"/>
              </w:rPr>
              <w:t>(</w:t>
            </w:r>
            <w:proofErr w:type="spellStart"/>
            <w:r w:rsidRPr="00667D0D">
              <w:rPr>
                <w:rFonts w:asciiTheme="majorHAnsi" w:hAnsiTheme="majorHAnsi" w:cstheme="majorHAnsi"/>
                <w:szCs w:val="17"/>
                <w:vertAlign w:val="superscript"/>
              </w:rPr>
              <w:t>i</w:t>
            </w:r>
            <w:proofErr w:type="spellEnd"/>
            <w:r w:rsidRPr="00667D0D">
              <w:rPr>
                <w:rFonts w:asciiTheme="majorHAnsi" w:hAnsiTheme="majorHAnsi" w:cstheme="majorHAnsi"/>
                <w:szCs w:val="17"/>
                <w:vertAlign w:val="superscript"/>
              </w:rPr>
              <w:t>)</w:t>
            </w:r>
          </w:p>
        </w:tc>
        <w:tc>
          <w:tcPr>
            <w:tcW w:w="909" w:type="dxa"/>
            <w:tcBorders>
              <w:top w:val="nil"/>
              <w:bottom w:val="nil"/>
            </w:tcBorders>
          </w:tcPr>
          <w:p w14:paraId="50AAC854"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42D415E2"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5D5850FF"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202834EF"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418376B0"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6" w:type="dxa"/>
            <w:tcBorders>
              <w:top w:val="nil"/>
              <w:bottom w:val="nil"/>
            </w:tcBorders>
            <w:shd w:val="clear" w:color="auto" w:fill="F2F2F2" w:themeFill="background1" w:themeFillShade="F2"/>
          </w:tcPr>
          <w:p w14:paraId="6B6D0AD0"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86" w:type="dxa"/>
            <w:tcBorders>
              <w:top w:val="nil"/>
              <w:bottom w:val="nil"/>
            </w:tcBorders>
          </w:tcPr>
          <w:p w14:paraId="5144B556"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r>
      <w:tr w:rsidR="00A44B30" w:rsidRPr="00667D0D" w14:paraId="6F275C52" w14:textId="77777777" w:rsidTr="00190C73">
        <w:trPr>
          <w:trHeight w:val="189"/>
        </w:trPr>
        <w:tc>
          <w:tcPr>
            <w:cnfStyle w:val="001000000000" w:firstRow="0" w:lastRow="0" w:firstColumn="1" w:lastColumn="0" w:oddVBand="0" w:evenVBand="0" w:oddHBand="0" w:evenHBand="0" w:firstRowFirstColumn="0" w:firstRowLastColumn="0" w:lastRowFirstColumn="0" w:lastRowLastColumn="0"/>
            <w:tcW w:w="2767" w:type="dxa"/>
            <w:tcBorders>
              <w:top w:val="nil"/>
              <w:bottom w:val="nil"/>
            </w:tcBorders>
          </w:tcPr>
          <w:p w14:paraId="5C57D747" w14:textId="77777777" w:rsidR="00733903" w:rsidRPr="00667D0D" w:rsidRDefault="00733903" w:rsidP="00C10719">
            <w:pPr>
              <w:rPr>
                <w:rFonts w:asciiTheme="majorHAnsi" w:hAnsiTheme="majorHAnsi" w:cstheme="majorHAnsi"/>
                <w:szCs w:val="17"/>
              </w:rPr>
            </w:pPr>
            <w:r w:rsidRPr="00667D0D">
              <w:rPr>
                <w:rFonts w:asciiTheme="majorHAnsi" w:hAnsiTheme="majorHAnsi" w:cstheme="majorHAnsi"/>
                <w:szCs w:val="17"/>
              </w:rPr>
              <w:t>IT</w:t>
            </w:r>
          </w:p>
        </w:tc>
        <w:tc>
          <w:tcPr>
            <w:tcW w:w="909" w:type="dxa"/>
            <w:tcBorders>
              <w:top w:val="nil"/>
              <w:bottom w:val="nil"/>
            </w:tcBorders>
          </w:tcPr>
          <w:p w14:paraId="30EAA838"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354435A0"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14CA0754"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2587F0F1"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6B3315B4"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6" w:type="dxa"/>
            <w:tcBorders>
              <w:top w:val="nil"/>
              <w:bottom w:val="nil"/>
            </w:tcBorders>
            <w:shd w:val="clear" w:color="auto" w:fill="F2F2F2" w:themeFill="background1" w:themeFillShade="F2"/>
          </w:tcPr>
          <w:p w14:paraId="21D49786"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86" w:type="dxa"/>
            <w:tcBorders>
              <w:top w:val="nil"/>
              <w:bottom w:val="nil"/>
            </w:tcBorders>
          </w:tcPr>
          <w:p w14:paraId="73C5B057"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r>
      <w:tr w:rsidR="00A44B30" w:rsidRPr="00667D0D" w14:paraId="45B25BD3" w14:textId="77777777" w:rsidTr="00190C73">
        <w:trPr>
          <w:trHeight w:val="189"/>
        </w:trPr>
        <w:tc>
          <w:tcPr>
            <w:cnfStyle w:val="001000000000" w:firstRow="0" w:lastRow="0" w:firstColumn="1" w:lastColumn="0" w:oddVBand="0" w:evenVBand="0" w:oddHBand="0" w:evenHBand="0" w:firstRowFirstColumn="0" w:firstRowLastColumn="0" w:lastRowFirstColumn="0" w:lastRowLastColumn="0"/>
            <w:tcW w:w="2767" w:type="dxa"/>
            <w:tcBorders>
              <w:top w:val="nil"/>
              <w:bottom w:val="nil"/>
            </w:tcBorders>
          </w:tcPr>
          <w:p w14:paraId="78B6FC2F" w14:textId="77777777" w:rsidR="00733903" w:rsidRPr="00667D0D" w:rsidRDefault="00733903" w:rsidP="00C10719">
            <w:pPr>
              <w:rPr>
                <w:rFonts w:asciiTheme="majorHAnsi" w:hAnsiTheme="majorHAnsi" w:cstheme="majorHAnsi"/>
                <w:szCs w:val="17"/>
              </w:rPr>
            </w:pPr>
            <w:r w:rsidRPr="00667D0D">
              <w:rPr>
                <w:rFonts w:asciiTheme="majorHAnsi" w:hAnsiTheme="majorHAnsi" w:cstheme="majorHAnsi"/>
                <w:szCs w:val="17"/>
              </w:rPr>
              <w:t>Human Resources</w:t>
            </w:r>
          </w:p>
        </w:tc>
        <w:tc>
          <w:tcPr>
            <w:tcW w:w="909" w:type="dxa"/>
            <w:tcBorders>
              <w:top w:val="nil"/>
              <w:bottom w:val="nil"/>
            </w:tcBorders>
          </w:tcPr>
          <w:p w14:paraId="1EF58ED0"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4D749628"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0CB15925"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0AB5A767"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75E3CE6A"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6" w:type="dxa"/>
            <w:tcBorders>
              <w:top w:val="nil"/>
              <w:bottom w:val="nil"/>
            </w:tcBorders>
            <w:shd w:val="clear" w:color="auto" w:fill="F2F2F2" w:themeFill="background1" w:themeFillShade="F2"/>
          </w:tcPr>
          <w:p w14:paraId="3F72BAF5"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86" w:type="dxa"/>
            <w:tcBorders>
              <w:top w:val="nil"/>
              <w:bottom w:val="nil"/>
            </w:tcBorders>
          </w:tcPr>
          <w:p w14:paraId="2F7B2BFC"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r>
      <w:tr w:rsidR="00A44B30" w:rsidRPr="00667D0D" w14:paraId="62CB8960" w14:textId="77777777" w:rsidTr="00190C73">
        <w:trPr>
          <w:trHeight w:val="189"/>
        </w:trPr>
        <w:tc>
          <w:tcPr>
            <w:cnfStyle w:val="001000000000" w:firstRow="0" w:lastRow="0" w:firstColumn="1" w:lastColumn="0" w:oddVBand="0" w:evenVBand="0" w:oddHBand="0" w:evenHBand="0" w:firstRowFirstColumn="0" w:firstRowLastColumn="0" w:lastRowFirstColumn="0" w:lastRowLastColumn="0"/>
            <w:tcW w:w="2767" w:type="dxa"/>
            <w:tcBorders>
              <w:top w:val="nil"/>
              <w:bottom w:val="nil"/>
            </w:tcBorders>
          </w:tcPr>
          <w:p w14:paraId="4AF2D721" w14:textId="77777777" w:rsidR="00733903" w:rsidRPr="00667D0D" w:rsidRDefault="00733903" w:rsidP="00C10719">
            <w:pPr>
              <w:rPr>
                <w:rFonts w:asciiTheme="majorHAnsi" w:hAnsiTheme="majorHAnsi" w:cstheme="majorHAnsi"/>
                <w:szCs w:val="17"/>
              </w:rPr>
            </w:pPr>
            <w:r w:rsidRPr="00667D0D">
              <w:rPr>
                <w:rFonts w:asciiTheme="majorHAnsi" w:hAnsiTheme="majorHAnsi" w:cstheme="majorHAnsi"/>
                <w:szCs w:val="17"/>
              </w:rPr>
              <w:t>Facilities</w:t>
            </w:r>
            <w:r w:rsidRPr="00667D0D">
              <w:rPr>
                <w:rFonts w:asciiTheme="majorHAnsi" w:hAnsiTheme="majorHAnsi" w:cstheme="majorHAnsi"/>
                <w:szCs w:val="17"/>
                <w:vertAlign w:val="superscript"/>
              </w:rPr>
              <w:t>(j)</w:t>
            </w:r>
          </w:p>
        </w:tc>
        <w:tc>
          <w:tcPr>
            <w:tcW w:w="909" w:type="dxa"/>
            <w:tcBorders>
              <w:top w:val="nil"/>
              <w:bottom w:val="nil"/>
            </w:tcBorders>
          </w:tcPr>
          <w:p w14:paraId="6133E28E"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1E874C10"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477DB98F"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nil"/>
            </w:tcBorders>
          </w:tcPr>
          <w:p w14:paraId="3D44822F"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nil"/>
            </w:tcBorders>
          </w:tcPr>
          <w:p w14:paraId="084319BF"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6" w:type="dxa"/>
            <w:tcBorders>
              <w:top w:val="nil"/>
              <w:bottom w:val="nil"/>
            </w:tcBorders>
            <w:shd w:val="clear" w:color="auto" w:fill="F2F2F2" w:themeFill="background1" w:themeFillShade="F2"/>
          </w:tcPr>
          <w:p w14:paraId="113F719B"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86" w:type="dxa"/>
            <w:tcBorders>
              <w:top w:val="nil"/>
              <w:bottom w:val="nil"/>
            </w:tcBorders>
          </w:tcPr>
          <w:p w14:paraId="49F60A25"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r>
      <w:tr w:rsidR="00A44B30" w:rsidRPr="00667D0D" w14:paraId="505414A0" w14:textId="77777777" w:rsidTr="00190C73">
        <w:trPr>
          <w:trHeight w:val="189"/>
        </w:trPr>
        <w:tc>
          <w:tcPr>
            <w:cnfStyle w:val="001000000000" w:firstRow="0" w:lastRow="0" w:firstColumn="1" w:lastColumn="0" w:oddVBand="0" w:evenVBand="0" w:oddHBand="0" w:evenHBand="0" w:firstRowFirstColumn="0" w:firstRowLastColumn="0" w:lastRowFirstColumn="0" w:lastRowLastColumn="0"/>
            <w:tcW w:w="2767" w:type="dxa"/>
            <w:tcBorders>
              <w:top w:val="nil"/>
              <w:bottom w:val="single" w:sz="4" w:space="0" w:color="auto"/>
            </w:tcBorders>
          </w:tcPr>
          <w:p w14:paraId="5976A546" w14:textId="77777777" w:rsidR="00733903" w:rsidRPr="00667D0D" w:rsidRDefault="00733903" w:rsidP="00C10719">
            <w:pPr>
              <w:rPr>
                <w:rFonts w:asciiTheme="majorHAnsi" w:hAnsiTheme="majorHAnsi" w:cstheme="majorHAnsi"/>
                <w:szCs w:val="17"/>
              </w:rPr>
            </w:pPr>
            <w:r w:rsidRPr="00667D0D">
              <w:rPr>
                <w:rFonts w:asciiTheme="majorHAnsi" w:hAnsiTheme="majorHAnsi" w:cstheme="majorHAnsi"/>
                <w:szCs w:val="17"/>
              </w:rPr>
              <w:lastRenderedPageBreak/>
              <w:t>Other</w:t>
            </w:r>
            <w:r w:rsidRPr="00667D0D">
              <w:rPr>
                <w:rFonts w:asciiTheme="majorHAnsi" w:hAnsiTheme="majorHAnsi" w:cstheme="majorHAnsi"/>
                <w:szCs w:val="17"/>
                <w:vertAlign w:val="superscript"/>
              </w:rPr>
              <w:t>(k)</w:t>
            </w:r>
          </w:p>
        </w:tc>
        <w:tc>
          <w:tcPr>
            <w:tcW w:w="909" w:type="dxa"/>
            <w:tcBorders>
              <w:top w:val="nil"/>
              <w:bottom w:val="single" w:sz="4" w:space="0" w:color="auto"/>
            </w:tcBorders>
          </w:tcPr>
          <w:p w14:paraId="37AF633E"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single" w:sz="4" w:space="0" w:color="auto"/>
            </w:tcBorders>
          </w:tcPr>
          <w:p w14:paraId="5E7F222E"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single" w:sz="4" w:space="0" w:color="auto"/>
            </w:tcBorders>
          </w:tcPr>
          <w:p w14:paraId="4E4F24B0"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7" w:type="dxa"/>
            <w:tcBorders>
              <w:top w:val="nil"/>
              <w:bottom w:val="single" w:sz="4" w:space="0" w:color="auto"/>
            </w:tcBorders>
          </w:tcPr>
          <w:p w14:paraId="4D3F55F1"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8" w:type="dxa"/>
            <w:tcBorders>
              <w:top w:val="nil"/>
              <w:bottom w:val="single" w:sz="4" w:space="0" w:color="auto"/>
            </w:tcBorders>
          </w:tcPr>
          <w:p w14:paraId="11D0EEDF"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06" w:type="dxa"/>
            <w:tcBorders>
              <w:top w:val="nil"/>
              <w:bottom w:val="single" w:sz="4" w:space="0" w:color="auto"/>
            </w:tcBorders>
            <w:shd w:val="clear" w:color="auto" w:fill="F2F2F2" w:themeFill="background1" w:themeFillShade="F2"/>
          </w:tcPr>
          <w:p w14:paraId="17689F34"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c>
          <w:tcPr>
            <w:tcW w:w="986" w:type="dxa"/>
            <w:tcBorders>
              <w:top w:val="nil"/>
              <w:bottom w:val="single" w:sz="4" w:space="0" w:color="auto"/>
            </w:tcBorders>
          </w:tcPr>
          <w:p w14:paraId="23B05E97" w14:textId="77777777" w:rsidR="00733903" w:rsidRPr="00667D0D" w:rsidRDefault="00733903" w:rsidP="007D7747">
            <w:pPr>
              <w:jc w:val="right"/>
              <w:cnfStyle w:val="000000000000" w:firstRow="0" w:lastRow="0" w:firstColumn="0" w:lastColumn="0" w:oddVBand="0" w:evenVBand="0" w:oddHBand="0" w:evenHBand="0" w:firstRowFirstColumn="0" w:firstRowLastColumn="0" w:lastRowFirstColumn="0" w:lastRowLastColumn="0"/>
            </w:pPr>
            <w:r w:rsidRPr="00667D0D">
              <w:t>0.000</w:t>
            </w:r>
          </w:p>
        </w:tc>
      </w:tr>
      <w:tr w:rsidR="00A44B30" w:rsidRPr="00667D0D" w14:paraId="2068A403" w14:textId="77777777" w:rsidTr="00190C73">
        <w:trPr>
          <w:cnfStyle w:val="010000000000" w:firstRow="0" w:lastRow="1"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767" w:type="dxa"/>
            <w:tcBorders>
              <w:top w:val="single" w:sz="4" w:space="0" w:color="auto"/>
            </w:tcBorders>
          </w:tcPr>
          <w:p w14:paraId="15E1970A" w14:textId="77777777" w:rsidR="00733903" w:rsidRPr="00667D0D" w:rsidRDefault="00733903" w:rsidP="00C10719">
            <w:r w:rsidRPr="00667D0D">
              <w:t>Total Project owner costs</w:t>
            </w:r>
          </w:p>
        </w:tc>
        <w:tc>
          <w:tcPr>
            <w:tcW w:w="909" w:type="dxa"/>
            <w:tcBorders>
              <w:top w:val="single" w:sz="4" w:space="0" w:color="auto"/>
            </w:tcBorders>
            <w:shd w:val="clear" w:color="auto" w:fill="F2F2F2" w:themeFill="background1" w:themeFillShade="F2"/>
          </w:tcPr>
          <w:p w14:paraId="0A6C2185" w14:textId="77777777" w:rsidR="00733903" w:rsidRPr="00667D0D" w:rsidRDefault="00733903" w:rsidP="007D7747">
            <w:pPr>
              <w:jc w:val="right"/>
              <w:cnfStyle w:val="010000000000" w:firstRow="0" w:lastRow="1" w:firstColumn="0" w:lastColumn="0" w:oddVBand="0" w:evenVBand="0" w:oddHBand="0" w:evenHBand="0" w:firstRowFirstColumn="0" w:firstRowLastColumn="0" w:lastRowFirstColumn="0" w:lastRowLastColumn="0"/>
            </w:pPr>
            <w:r w:rsidRPr="00667D0D">
              <w:t>0.000</w:t>
            </w:r>
          </w:p>
        </w:tc>
        <w:tc>
          <w:tcPr>
            <w:tcW w:w="907" w:type="dxa"/>
            <w:tcBorders>
              <w:top w:val="single" w:sz="4" w:space="0" w:color="auto"/>
            </w:tcBorders>
            <w:shd w:val="clear" w:color="auto" w:fill="F2F2F2" w:themeFill="background1" w:themeFillShade="F2"/>
          </w:tcPr>
          <w:p w14:paraId="714E9858" w14:textId="77777777" w:rsidR="00733903" w:rsidRPr="00667D0D" w:rsidRDefault="00733903" w:rsidP="007D7747">
            <w:pPr>
              <w:jc w:val="right"/>
              <w:cnfStyle w:val="010000000000" w:firstRow="0" w:lastRow="1" w:firstColumn="0" w:lastColumn="0" w:oddVBand="0" w:evenVBand="0" w:oddHBand="0" w:evenHBand="0" w:firstRowFirstColumn="0" w:firstRowLastColumn="0" w:lastRowFirstColumn="0" w:lastRowLastColumn="0"/>
            </w:pPr>
            <w:r w:rsidRPr="00667D0D">
              <w:t>0.000</w:t>
            </w:r>
          </w:p>
        </w:tc>
        <w:tc>
          <w:tcPr>
            <w:tcW w:w="908" w:type="dxa"/>
            <w:tcBorders>
              <w:top w:val="single" w:sz="4" w:space="0" w:color="auto"/>
            </w:tcBorders>
            <w:shd w:val="clear" w:color="auto" w:fill="F2F2F2" w:themeFill="background1" w:themeFillShade="F2"/>
          </w:tcPr>
          <w:p w14:paraId="6F376E8A" w14:textId="77777777" w:rsidR="00733903" w:rsidRPr="00667D0D" w:rsidRDefault="00733903" w:rsidP="007D7747">
            <w:pPr>
              <w:jc w:val="right"/>
              <w:cnfStyle w:val="010000000000" w:firstRow="0" w:lastRow="1" w:firstColumn="0" w:lastColumn="0" w:oddVBand="0" w:evenVBand="0" w:oddHBand="0" w:evenHBand="0" w:firstRowFirstColumn="0" w:firstRowLastColumn="0" w:lastRowFirstColumn="0" w:lastRowLastColumn="0"/>
            </w:pPr>
            <w:r w:rsidRPr="00667D0D">
              <w:t>0.000</w:t>
            </w:r>
          </w:p>
        </w:tc>
        <w:tc>
          <w:tcPr>
            <w:tcW w:w="907" w:type="dxa"/>
            <w:tcBorders>
              <w:top w:val="single" w:sz="4" w:space="0" w:color="auto"/>
            </w:tcBorders>
            <w:shd w:val="clear" w:color="auto" w:fill="F2F2F2" w:themeFill="background1" w:themeFillShade="F2"/>
          </w:tcPr>
          <w:p w14:paraId="3C9886AA" w14:textId="77777777" w:rsidR="00733903" w:rsidRPr="00667D0D" w:rsidRDefault="00733903" w:rsidP="007D7747">
            <w:pPr>
              <w:jc w:val="right"/>
              <w:cnfStyle w:val="010000000000" w:firstRow="0" w:lastRow="1" w:firstColumn="0" w:lastColumn="0" w:oddVBand="0" w:evenVBand="0" w:oddHBand="0" w:evenHBand="0" w:firstRowFirstColumn="0" w:firstRowLastColumn="0" w:lastRowFirstColumn="0" w:lastRowLastColumn="0"/>
            </w:pPr>
            <w:r w:rsidRPr="00667D0D">
              <w:t>0.000</w:t>
            </w:r>
          </w:p>
        </w:tc>
        <w:tc>
          <w:tcPr>
            <w:tcW w:w="908" w:type="dxa"/>
            <w:tcBorders>
              <w:top w:val="single" w:sz="4" w:space="0" w:color="auto"/>
            </w:tcBorders>
            <w:shd w:val="clear" w:color="auto" w:fill="F2F2F2" w:themeFill="background1" w:themeFillShade="F2"/>
          </w:tcPr>
          <w:p w14:paraId="4272FC34" w14:textId="77777777" w:rsidR="00733903" w:rsidRPr="00667D0D" w:rsidRDefault="00733903" w:rsidP="007D7747">
            <w:pPr>
              <w:jc w:val="right"/>
              <w:cnfStyle w:val="010000000000" w:firstRow="0" w:lastRow="1" w:firstColumn="0" w:lastColumn="0" w:oddVBand="0" w:evenVBand="0" w:oddHBand="0" w:evenHBand="0" w:firstRowFirstColumn="0" w:firstRowLastColumn="0" w:lastRowFirstColumn="0" w:lastRowLastColumn="0"/>
            </w:pPr>
            <w:r w:rsidRPr="00667D0D">
              <w:t>0.000</w:t>
            </w:r>
          </w:p>
        </w:tc>
        <w:tc>
          <w:tcPr>
            <w:tcW w:w="906" w:type="dxa"/>
            <w:tcBorders>
              <w:top w:val="single" w:sz="4" w:space="0" w:color="auto"/>
            </w:tcBorders>
            <w:shd w:val="clear" w:color="auto" w:fill="F2F2F2" w:themeFill="background1" w:themeFillShade="F2"/>
          </w:tcPr>
          <w:p w14:paraId="50422591" w14:textId="77777777" w:rsidR="00733903" w:rsidRPr="00667D0D" w:rsidRDefault="00733903" w:rsidP="007D7747">
            <w:pPr>
              <w:jc w:val="right"/>
              <w:cnfStyle w:val="010000000000" w:firstRow="0" w:lastRow="1" w:firstColumn="0" w:lastColumn="0" w:oddVBand="0" w:evenVBand="0" w:oddHBand="0" w:evenHBand="0" w:firstRowFirstColumn="0" w:firstRowLastColumn="0" w:lastRowFirstColumn="0" w:lastRowLastColumn="0"/>
            </w:pPr>
            <w:r w:rsidRPr="00667D0D">
              <w:t>0.000</w:t>
            </w:r>
          </w:p>
        </w:tc>
        <w:tc>
          <w:tcPr>
            <w:tcW w:w="986" w:type="dxa"/>
            <w:tcBorders>
              <w:top w:val="single" w:sz="4" w:space="0" w:color="auto"/>
            </w:tcBorders>
            <w:shd w:val="clear" w:color="auto" w:fill="F2F2F2" w:themeFill="background1" w:themeFillShade="F2"/>
          </w:tcPr>
          <w:p w14:paraId="14A7FAE1" w14:textId="77777777" w:rsidR="00733903" w:rsidRPr="00667D0D" w:rsidRDefault="00733903" w:rsidP="007D7747">
            <w:pPr>
              <w:jc w:val="right"/>
              <w:cnfStyle w:val="010000000000" w:firstRow="0" w:lastRow="1" w:firstColumn="0" w:lastColumn="0" w:oddVBand="0" w:evenVBand="0" w:oddHBand="0" w:evenHBand="0" w:firstRowFirstColumn="0" w:firstRowLastColumn="0" w:lastRowFirstColumn="0" w:lastRowLastColumn="0"/>
            </w:pPr>
            <w:r w:rsidRPr="00667D0D">
              <w:t>0.000</w:t>
            </w:r>
          </w:p>
        </w:tc>
      </w:tr>
    </w:tbl>
    <w:p w14:paraId="19BE0425" w14:textId="77777777" w:rsidR="00F442B8" w:rsidRPr="00667D0D" w:rsidRDefault="00F442B8" w:rsidP="00A968E4">
      <w:pPr>
        <w:pStyle w:val="NormalIndent"/>
        <w:spacing w:before="100" w:line="264" w:lineRule="auto"/>
        <w:ind w:left="794"/>
      </w:pPr>
    </w:p>
    <w:p w14:paraId="241DB307" w14:textId="0DABCD95" w:rsidR="001846C7" w:rsidRPr="00667D0D" w:rsidRDefault="001846C7" w:rsidP="002855AF">
      <w:pPr>
        <w:pStyle w:val="NormalIndent"/>
        <w:numPr>
          <w:ilvl w:val="0"/>
          <w:numId w:val="54"/>
        </w:numPr>
        <w:spacing w:before="100" w:line="264" w:lineRule="auto"/>
      </w:pPr>
      <w:r w:rsidRPr="00667D0D">
        <w:t xml:space="preserve">Legal and Commercial – advisory services including cost estimation, legal, commercial, procurement, constructability, contract management and probity advisors. </w:t>
      </w:r>
    </w:p>
    <w:p w14:paraId="2269E870" w14:textId="51F97383" w:rsidR="001846C7" w:rsidRPr="00667D0D" w:rsidRDefault="001846C7" w:rsidP="002855AF">
      <w:pPr>
        <w:pStyle w:val="NormalIndent"/>
        <w:numPr>
          <w:ilvl w:val="0"/>
          <w:numId w:val="54"/>
        </w:numPr>
        <w:spacing w:before="100" w:line="264" w:lineRule="auto"/>
      </w:pPr>
      <w:r w:rsidRPr="00667D0D">
        <w:t xml:space="preserve">Design and Engineering - design, engineering, </w:t>
      </w:r>
      <w:proofErr w:type="gramStart"/>
      <w:r w:rsidR="009A3E43" w:rsidRPr="00667D0D">
        <w:t>concept</w:t>
      </w:r>
      <w:proofErr w:type="gramEnd"/>
      <w:r w:rsidRPr="00667D0D">
        <w:t xml:space="preserve"> and detailed design.</w:t>
      </w:r>
    </w:p>
    <w:p w14:paraId="5406E2CF" w14:textId="384BE13F" w:rsidR="001846C7" w:rsidRPr="00667D0D" w:rsidRDefault="001846C7" w:rsidP="002855AF">
      <w:pPr>
        <w:pStyle w:val="NormalIndent"/>
        <w:numPr>
          <w:ilvl w:val="0"/>
          <w:numId w:val="54"/>
        </w:numPr>
        <w:spacing w:before="100" w:line="264" w:lineRule="auto"/>
      </w:pPr>
      <w:r w:rsidRPr="00667D0D">
        <w:t>Executive office – Executive staff, executive support functions and other executive associated costs.</w:t>
      </w:r>
    </w:p>
    <w:p w14:paraId="2737FC0A" w14:textId="4D996FFC" w:rsidR="001846C7" w:rsidRPr="00667D0D" w:rsidRDefault="001846C7" w:rsidP="002855AF">
      <w:pPr>
        <w:pStyle w:val="NormalIndent"/>
        <w:numPr>
          <w:ilvl w:val="0"/>
          <w:numId w:val="54"/>
        </w:numPr>
        <w:spacing w:before="100" w:line="264" w:lineRule="auto"/>
      </w:pPr>
      <w:r w:rsidRPr="00667D0D">
        <w:t xml:space="preserve">Project management and Business services – project management staff, package development, office expenses and general expenses. </w:t>
      </w:r>
    </w:p>
    <w:p w14:paraId="29CCC122" w14:textId="15D931AD" w:rsidR="001846C7" w:rsidRPr="00667D0D" w:rsidRDefault="001846C7" w:rsidP="002855AF">
      <w:pPr>
        <w:pStyle w:val="NormalIndent"/>
        <w:numPr>
          <w:ilvl w:val="0"/>
          <w:numId w:val="54"/>
        </w:numPr>
        <w:spacing w:before="100" w:line="264" w:lineRule="auto"/>
      </w:pPr>
      <w:r w:rsidRPr="00667D0D">
        <w:t>Land planning and environment - geotechnical investigations, site surveys, and environmental assessments.</w:t>
      </w:r>
    </w:p>
    <w:p w14:paraId="2F1A035A" w14:textId="271C73CE" w:rsidR="001846C7" w:rsidRPr="00667D0D" w:rsidRDefault="001846C7" w:rsidP="002855AF">
      <w:pPr>
        <w:pStyle w:val="NormalIndent"/>
        <w:numPr>
          <w:ilvl w:val="0"/>
          <w:numId w:val="54"/>
        </w:numPr>
        <w:spacing w:before="100" w:line="264" w:lineRule="auto"/>
      </w:pPr>
      <w:r w:rsidRPr="00667D0D">
        <w:t xml:space="preserve">Project controls – cost control, forecasting and project scheduling. </w:t>
      </w:r>
    </w:p>
    <w:p w14:paraId="13FF70E9" w14:textId="06D0E0E4" w:rsidR="001846C7" w:rsidRPr="00667D0D" w:rsidRDefault="001846C7" w:rsidP="002855AF">
      <w:pPr>
        <w:pStyle w:val="NormalIndent"/>
        <w:numPr>
          <w:ilvl w:val="0"/>
          <w:numId w:val="54"/>
        </w:numPr>
        <w:spacing w:before="100" w:line="264" w:lineRule="auto"/>
      </w:pPr>
      <w:r w:rsidRPr="00667D0D">
        <w:t>Safety – interface controls, safety management and compliance.</w:t>
      </w:r>
    </w:p>
    <w:p w14:paraId="499B4C9F" w14:textId="63357FF0" w:rsidR="001846C7" w:rsidRPr="00667D0D" w:rsidRDefault="001846C7" w:rsidP="002855AF">
      <w:pPr>
        <w:pStyle w:val="NormalIndent"/>
        <w:numPr>
          <w:ilvl w:val="0"/>
          <w:numId w:val="54"/>
        </w:numPr>
        <w:spacing w:before="100" w:line="264" w:lineRule="auto"/>
      </w:pPr>
      <w:r w:rsidRPr="00667D0D">
        <w:t xml:space="preserve">Communications and Stakeholder relations – Corporate and media affairs, stakeholder relations and communications including with utility providers, agencies, operators, </w:t>
      </w:r>
      <w:proofErr w:type="gramStart"/>
      <w:r w:rsidRPr="00667D0D">
        <w:t>council</w:t>
      </w:r>
      <w:proofErr w:type="gramEnd"/>
      <w:r w:rsidRPr="00667D0D">
        <w:t xml:space="preserve"> and community consultation.</w:t>
      </w:r>
    </w:p>
    <w:p w14:paraId="65D74F85" w14:textId="7B8F80AC" w:rsidR="001846C7" w:rsidRPr="00667D0D" w:rsidRDefault="001846C7" w:rsidP="002855AF">
      <w:pPr>
        <w:pStyle w:val="NormalIndent"/>
        <w:numPr>
          <w:ilvl w:val="0"/>
          <w:numId w:val="54"/>
        </w:numPr>
        <w:spacing w:before="100" w:line="264" w:lineRule="auto"/>
      </w:pPr>
      <w:r w:rsidRPr="00667D0D">
        <w:t>Finance – back-office staff, corporate finance and accounting and insurances.</w:t>
      </w:r>
    </w:p>
    <w:p w14:paraId="10128067" w14:textId="4C1ADBD6" w:rsidR="001846C7" w:rsidRPr="00667D0D" w:rsidRDefault="001846C7" w:rsidP="002855AF">
      <w:pPr>
        <w:pStyle w:val="NormalIndent"/>
        <w:numPr>
          <w:ilvl w:val="0"/>
          <w:numId w:val="54"/>
        </w:numPr>
        <w:spacing w:before="100" w:line="264" w:lineRule="auto"/>
      </w:pPr>
      <w:r w:rsidRPr="00667D0D">
        <w:t>Facilities - project office.</w:t>
      </w:r>
    </w:p>
    <w:p w14:paraId="30D4B627" w14:textId="2F07DE2D" w:rsidR="001846C7" w:rsidRPr="00667D0D" w:rsidRDefault="001846C7" w:rsidP="002855AF">
      <w:pPr>
        <w:pStyle w:val="NormalIndent"/>
        <w:numPr>
          <w:ilvl w:val="0"/>
          <w:numId w:val="54"/>
        </w:numPr>
        <w:spacing w:before="100" w:line="264" w:lineRule="auto"/>
      </w:pPr>
      <w:r w:rsidRPr="00667D0D">
        <w:t>Other – less than five per cent of the total project owner costs.</w:t>
      </w:r>
    </w:p>
    <w:p w14:paraId="6B5CBBA0" w14:textId="77966765" w:rsidR="001846C7" w:rsidRPr="00667D0D" w:rsidRDefault="00873AB0" w:rsidP="00F454CE">
      <w:pPr>
        <w:pStyle w:val="Heading3numbered"/>
        <w:rPr>
          <w:bCs w:val="0"/>
        </w:rPr>
      </w:pPr>
      <w:bookmarkStart w:id="186" w:name="_Toc121415340"/>
      <w:r w:rsidRPr="00667D0D">
        <w:rPr>
          <w:bCs w:val="0"/>
        </w:rPr>
        <w:t>Continuous improvement of project owner costs</w:t>
      </w:r>
      <w:bookmarkEnd w:id="186"/>
    </w:p>
    <w:p w14:paraId="1B3DF620" w14:textId="7F3BB632" w:rsidR="002D38AA" w:rsidRPr="00667D0D" w:rsidRDefault="00734167" w:rsidP="00734167">
      <w:pPr>
        <w:pStyle w:val="NormalIndent"/>
      </w:pPr>
      <w:r w:rsidRPr="00667D0D">
        <w:t xml:space="preserve">Continuous improvement initiatives relevant </w:t>
      </w:r>
      <w:r w:rsidR="00E23E72" w:rsidRPr="00667D0D">
        <w:t>to</w:t>
      </w:r>
      <w:r w:rsidRPr="00667D0D">
        <w:t xml:space="preserve"> </w:t>
      </w:r>
      <w:r w:rsidR="00122367" w:rsidRPr="00667D0D">
        <w:t xml:space="preserve">project </w:t>
      </w:r>
      <w:r w:rsidRPr="00667D0D">
        <w:t xml:space="preserve">owner costs </w:t>
      </w:r>
      <w:r w:rsidR="00E23E72" w:rsidRPr="00667D0D">
        <w:t>are</w:t>
      </w:r>
      <w:r w:rsidRPr="00667D0D">
        <w:t xml:space="preserve"> required, including</w:t>
      </w:r>
      <w:r w:rsidR="002D38AA" w:rsidRPr="00667D0D">
        <w:t>:</w:t>
      </w:r>
    </w:p>
    <w:p w14:paraId="1E3EDC0D" w14:textId="4B8FA238" w:rsidR="002D38AA" w:rsidRPr="00667D0D" w:rsidRDefault="005A32F9" w:rsidP="002D38AA">
      <w:pPr>
        <w:pStyle w:val="Bulletindent"/>
      </w:pPr>
      <w:r w:rsidRPr="00667D0D">
        <w:t>transparency of cost categorisation</w:t>
      </w:r>
      <w:r w:rsidR="00E23E72" w:rsidRPr="00667D0D">
        <w:t>,</w:t>
      </w:r>
      <w:r w:rsidRPr="00667D0D">
        <w:t xml:space="preserve"> including the quantum of cost</w:t>
      </w:r>
      <w:r w:rsidR="009A4C36" w:rsidRPr="00667D0D">
        <w:t xml:space="preserve"> associated with project </w:t>
      </w:r>
      <w:proofErr w:type="gramStart"/>
      <w:r w:rsidR="009A4C36" w:rsidRPr="00667D0D">
        <w:t>delivery;</w:t>
      </w:r>
      <w:proofErr w:type="gramEnd"/>
    </w:p>
    <w:p w14:paraId="2B7DAC19" w14:textId="77777777" w:rsidR="001E1F86" w:rsidRPr="00667D0D" w:rsidRDefault="009A4C36" w:rsidP="00A05204">
      <w:pPr>
        <w:pStyle w:val="Bulletindent"/>
      </w:pPr>
      <w:r w:rsidRPr="00667D0D">
        <w:t xml:space="preserve">consistency of cost categorisation to support </w:t>
      </w:r>
      <w:r w:rsidR="00F6445C" w:rsidRPr="00667D0D">
        <w:t xml:space="preserve">benchmarking over time and across portfolios; and </w:t>
      </w:r>
    </w:p>
    <w:p w14:paraId="7429334C" w14:textId="7178E506" w:rsidR="002D38AA" w:rsidRPr="00667D0D" w:rsidRDefault="00734167" w:rsidP="001E1F86">
      <w:pPr>
        <w:pStyle w:val="Bulletindent"/>
      </w:pPr>
      <w:r w:rsidRPr="00667D0D">
        <w:t xml:space="preserve">procurement strategies that streamline costs and time. </w:t>
      </w:r>
    </w:p>
    <w:p w14:paraId="3D5DEBA3" w14:textId="36D31679" w:rsidR="00D05D89" w:rsidRPr="00667D0D" w:rsidRDefault="00734167" w:rsidP="007E7E5D">
      <w:pPr>
        <w:pStyle w:val="NormalIndent"/>
      </w:pPr>
      <w:r w:rsidRPr="00667D0D">
        <w:t>Greater investment in front-end engineering and design work can result in reduced overall construction costs and mitigate risks for complex project delivery. As a result,</w:t>
      </w:r>
      <w:r w:rsidR="00122367" w:rsidRPr="00667D0D">
        <w:t xml:space="preserve"> </w:t>
      </w:r>
      <w:r w:rsidRPr="00667D0D">
        <w:t>owner costs need to be considered on balance with the potential impact on overall cost and risk profile.</w:t>
      </w:r>
    </w:p>
    <w:p w14:paraId="4EB3D37E" w14:textId="1F3D83C0" w:rsidR="00873AB0" w:rsidRPr="00667D0D" w:rsidRDefault="00873AB0" w:rsidP="00F454CE">
      <w:pPr>
        <w:pStyle w:val="Heading3numbered"/>
        <w:rPr>
          <w:bCs w:val="0"/>
        </w:rPr>
      </w:pPr>
      <w:bookmarkStart w:id="187" w:name="_Toc121415341"/>
      <w:r w:rsidRPr="00667D0D">
        <w:rPr>
          <w:bCs w:val="0"/>
        </w:rPr>
        <w:t>Commonwealth funding</w:t>
      </w:r>
      <w:bookmarkEnd w:id="187"/>
    </w:p>
    <w:p w14:paraId="48F708DF" w14:textId="7CF69950" w:rsidR="00873AB0" w:rsidRPr="00667D0D" w:rsidRDefault="00873AB0" w:rsidP="00873AB0">
      <w:pPr>
        <w:pStyle w:val="NormalIndent"/>
      </w:pPr>
      <w:r w:rsidRPr="00667D0D">
        <w:t xml:space="preserve">Departments and agencies are expected to establish a commitment that the State is not expected to fund project owner costs over and above its share of overall project costs on jointly funded or Commonwealth fully funded projects. </w:t>
      </w:r>
    </w:p>
    <w:p w14:paraId="37F2D656" w14:textId="46F6A6AB" w:rsidR="001846C7" w:rsidRPr="00667D0D" w:rsidRDefault="001846C7" w:rsidP="00F454CE">
      <w:pPr>
        <w:pStyle w:val="Heading3numbered"/>
        <w:rPr>
          <w:bCs w:val="0"/>
        </w:rPr>
      </w:pPr>
      <w:bookmarkStart w:id="188" w:name="_Toc121415342"/>
      <w:r w:rsidRPr="00667D0D">
        <w:rPr>
          <w:bCs w:val="0"/>
        </w:rPr>
        <w:t>Funding and capitalisation of expenditure</w:t>
      </w:r>
      <w:bookmarkEnd w:id="188"/>
    </w:p>
    <w:p w14:paraId="7A15643A" w14:textId="77777777" w:rsidR="001846C7" w:rsidRPr="00667D0D" w:rsidRDefault="001846C7" w:rsidP="001846C7">
      <w:pPr>
        <w:pStyle w:val="NormalIndent"/>
      </w:pPr>
      <w:r w:rsidRPr="00667D0D">
        <w:t xml:space="preserve">The accounting treatment of costs incurred in relation to capital works projects should be based on relevant accounting standards. </w:t>
      </w:r>
    </w:p>
    <w:p w14:paraId="21B2EDBF" w14:textId="6F1E5B11" w:rsidR="001846C7" w:rsidRPr="00667D0D" w:rsidRDefault="001846C7" w:rsidP="001846C7">
      <w:pPr>
        <w:pStyle w:val="NormalIndent"/>
      </w:pPr>
      <w:r w:rsidRPr="00667D0D">
        <w:lastRenderedPageBreak/>
        <w:t>How an agency is funded for their capital works project should not determine the accounting treatment applied to that project</w:t>
      </w:r>
      <w:r w:rsidR="00B4091A" w:rsidRPr="00667D0D">
        <w:t>,</w:t>
      </w:r>
      <w:r w:rsidRPr="00667D0D">
        <w:t xml:space="preserve"> i.e., all project costs should not be capitalised purely because the funding for the project was received as a capital injection.</w:t>
      </w:r>
    </w:p>
    <w:p w14:paraId="2A13C325" w14:textId="4549700D" w:rsidR="00D56625" w:rsidRPr="00667D0D" w:rsidRDefault="001846C7" w:rsidP="006B713F">
      <w:pPr>
        <w:pStyle w:val="NormalIndent"/>
      </w:pPr>
      <w:r w:rsidRPr="00667D0D">
        <w:t>Agencies should consider the appropriate accounting treatment for project costs when applying for funding, so that the funding requested reflects as much as possible the subsequent accounting for costs as either expenses or assets</w:t>
      </w:r>
      <w:r w:rsidR="00B81286" w:rsidRPr="00667D0D">
        <w:t>.</w:t>
      </w:r>
      <w:r w:rsidRPr="00667D0D">
        <w:t xml:space="preserve"> </w:t>
      </w:r>
    </w:p>
    <w:p w14:paraId="1C6FDDC6" w14:textId="11DCC8D0" w:rsidR="00560D1A" w:rsidRPr="00667D0D" w:rsidRDefault="00560D1A" w:rsidP="006B713F">
      <w:pPr>
        <w:pStyle w:val="NormalIndent"/>
      </w:pPr>
      <w:r w:rsidRPr="00667D0D">
        <w:t xml:space="preserve">Departments should consult with DTF </w:t>
      </w:r>
      <w:r w:rsidR="0059321B" w:rsidRPr="00667D0D">
        <w:t xml:space="preserve">for assistance </w:t>
      </w:r>
      <w:r w:rsidR="003915ED" w:rsidRPr="00667D0D">
        <w:t>in</w:t>
      </w:r>
      <w:r w:rsidR="0059321B" w:rsidRPr="00667D0D">
        <w:t xml:space="preserve"> understanding </w:t>
      </w:r>
      <w:r w:rsidR="007E08F5" w:rsidRPr="00667D0D">
        <w:t>the accounting standards</w:t>
      </w:r>
      <w:r w:rsidR="0059321B" w:rsidRPr="00667D0D">
        <w:t xml:space="preserve"> </w:t>
      </w:r>
      <w:r w:rsidRPr="00667D0D">
        <w:t>before submitting the business case for budget funding consideration.</w:t>
      </w:r>
    </w:p>
    <w:p w14:paraId="18D2195C" w14:textId="74347DF0" w:rsidR="00A00527" w:rsidRPr="00667D0D" w:rsidRDefault="00A00527" w:rsidP="00A00527">
      <w:pPr>
        <w:pStyle w:val="Heading3numbered"/>
      </w:pPr>
      <w:bookmarkStart w:id="189" w:name="_Toc121415343"/>
      <w:bookmarkStart w:id="190" w:name="_Hlk122692094"/>
      <w:bookmarkStart w:id="191" w:name="_Ref25937171"/>
      <w:bookmarkStart w:id="192" w:name="_Ref25914264"/>
      <w:r w:rsidRPr="00667D0D">
        <w:t>Funding sources</w:t>
      </w:r>
      <w:bookmarkEnd w:id="189"/>
      <w:r w:rsidR="00CA1184" w:rsidRPr="00667D0D">
        <w:t xml:space="preserve"> for the project solution</w:t>
      </w:r>
    </w:p>
    <w:bookmarkEnd w:id="190"/>
    <w:p w14:paraId="05E226BF" w14:textId="362E5DB1" w:rsidR="00D91D6E" w:rsidRPr="00667D0D" w:rsidRDefault="00D91D6E" w:rsidP="00D91D6E">
      <w:pPr>
        <w:pStyle w:val="NormalIndent"/>
      </w:pPr>
      <w:r w:rsidRPr="00667D0D">
        <w:t xml:space="preserve">In providing the </w:t>
      </w:r>
      <w:r w:rsidR="004C3F29" w:rsidRPr="00667D0D">
        <w:t xml:space="preserve">cost </w:t>
      </w:r>
      <w:r w:rsidRPr="00667D0D">
        <w:t xml:space="preserve">estimate, agencies should outline any existing </w:t>
      </w:r>
      <w:r w:rsidR="00CA1184" w:rsidRPr="00667D0D">
        <w:t>resources</w:t>
      </w:r>
      <w:r w:rsidRPr="00667D0D">
        <w:t xml:space="preserve"> that can be used to complement/subsidise the investment value. Any likely Commonwealth support and/or private investment or in</w:t>
      </w:r>
      <w:r w:rsidRPr="00667D0D">
        <w:noBreakHyphen/>
        <w:t xml:space="preserve">kind contribution that may reduce the State’s contribution should be outlined. Any surplus land or property </w:t>
      </w:r>
      <w:r w:rsidR="004C3F29" w:rsidRPr="00667D0D">
        <w:t xml:space="preserve">created </w:t>
      </w:r>
      <w:proofErr w:type="gramStart"/>
      <w:r w:rsidRPr="00667D0D">
        <w:t>as a result of</w:t>
      </w:r>
      <w:proofErr w:type="gramEnd"/>
      <w:r w:rsidRPr="00667D0D">
        <w:t xml:space="preserve"> the project</w:t>
      </w:r>
      <w:r w:rsidR="004C3F29" w:rsidRPr="00667D0D">
        <w:t>,</w:t>
      </w:r>
      <w:r w:rsidRPr="00667D0D">
        <w:t xml:space="preserve"> or at the project’s completion</w:t>
      </w:r>
      <w:r w:rsidR="004C3F29" w:rsidRPr="00667D0D">
        <w:t>,</w:t>
      </w:r>
      <w:r w:rsidRPr="00667D0D">
        <w:t xml:space="preserve"> should also be included. </w:t>
      </w:r>
    </w:p>
    <w:tbl>
      <w:tblPr>
        <w:tblStyle w:val="DTFfinancialtableindent"/>
        <w:tblW w:w="0" w:type="auto"/>
        <w:tblLook w:val="0680" w:firstRow="0" w:lastRow="0" w:firstColumn="1" w:lastColumn="0" w:noHBand="1" w:noVBand="1"/>
      </w:tblPr>
      <w:tblGrid>
        <w:gridCol w:w="8377"/>
      </w:tblGrid>
      <w:tr w:rsidR="00413875" w:rsidRPr="00667D0D" w14:paraId="63D0323E" w14:textId="77777777" w:rsidTr="003C44A3">
        <w:trPr>
          <w:cantSplit/>
        </w:trPr>
        <w:tc>
          <w:tcPr>
            <w:cnfStyle w:val="001000000000" w:firstRow="0" w:lastRow="0" w:firstColumn="1" w:lastColumn="0" w:oddVBand="0" w:evenVBand="0" w:oddHBand="0" w:evenHBand="0" w:firstRowFirstColumn="0" w:firstRowLastColumn="0" w:lastRowFirstColumn="0" w:lastRowLastColumn="0"/>
            <w:tcW w:w="8719" w:type="dxa"/>
          </w:tcPr>
          <w:p w14:paraId="4FF51386" w14:textId="77777777" w:rsidR="00D91D6E" w:rsidRPr="00667D0D" w:rsidRDefault="00D91D6E" w:rsidP="003C44A3">
            <w:pPr>
              <w:pStyle w:val="Tabletextbold"/>
              <w:rPr>
                <w:sz w:val="20"/>
              </w:rPr>
            </w:pPr>
            <w:r w:rsidRPr="00667D0D">
              <w:rPr>
                <w:sz w:val="20"/>
              </w:rPr>
              <w:t>Funding sources (fictional health example)</w:t>
            </w:r>
          </w:p>
          <w:p w14:paraId="07FAE6FB" w14:textId="77777777" w:rsidR="00D91D6E" w:rsidRPr="00667D0D" w:rsidRDefault="00D91D6E" w:rsidP="003C44A3">
            <w:pPr>
              <w:pStyle w:val="Tabletext"/>
            </w:pPr>
            <w:r w:rsidRPr="00667D0D">
              <w:t>Funding sources for the project must be clearly identified and explained. This case study provides an example of how this might be done for a fictional new hospital facility.</w:t>
            </w:r>
          </w:p>
          <w:p w14:paraId="3F7BE2DB" w14:textId="77777777" w:rsidR="00D91D6E" w:rsidRPr="00667D0D" w:rsidRDefault="00D91D6E" w:rsidP="003C44A3">
            <w:pPr>
              <w:pStyle w:val="Tabletextbold"/>
              <w:rPr>
                <w:sz w:val="18"/>
              </w:rPr>
            </w:pPr>
            <w:r w:rsidRPr="00667D0D">
              <w:rPr>
                <w:sz w:val="18"/>
              </w:rPr>
              <w:t>Detailed costing</w:t>
            </w:r>
          </w:p>
          <w:p w14:paraId="0EBAC3D4" w14:textId="77777777" w:rsidR="00D91D6E" w:rsidRPr="00667D0D" w:rsidRDefault="00D91D6E" w:rsidP="003C44A3">
            <w:pPr>
              <w:pStyle w:val="Tabletextbold"/>
            </w:pPr>
            <w:r w:rsidRPr="00667D0D">
              <w:t>Capital cost budget impact</w:t>
            </w:r>
          </w:p>
          <w:p w14:paraId="2DF74E72" w14:textId="77777777" w:rsidR="00D91D6E" w:rsidRPr="00667D0D" w:rsidRDefault="00D91D6E" w:rsidP="003C44A3">
            <w:pPr>
              <w:pStyle w:val="Tabletext"/>
            </w:pPr>
            <w:r w:rsidRPr="00667D0D">
              <w:t>The following table presents estimates on the gross TEI for the project and the net contribution required from the Victorian Government. The gross TEI of $77.8 million would be partly funded by the Australian Government ($20 million) and fundraising activities ($15 million), so that the contribution required of the Victorian Government is $42.7 million. The table also shows the time profile of estimated investment. Further detail on the external sources of funding is provided below.</w:t>
            </w:r>
          </w:p>
          <w:p w14:paraId="03892843" w14:textId="77777777" w:rsidR="00D91D6E" w:rsidRPr="00667D0D" w:rsidRDefault="00D91D6E" w:rsidP="003C44A3">
            <w:pPr>
              <w:rPr>
                <w:b/>
                <w:color w:val="000000" w:themeColor="text1"/>
              </w:rPr>
            </w:pPr>
            <w:r w:rsidRPr="00667D0D">
              <w:rPr>
                <w:b/>
                <w:color w:val="000000" w:themeColor="text1"/>
              </w:rPr>
              <w:t>Estimated capital cost budget impact of the recommended option ($’000)</w:t>
            </w:r>
          </w:p>
          <w:tbl>
            <w:tblPr>
              <w:tblStyle w:val="DTFTextTable"/>
              <w:tblW w:w="0" w:type="auto"/>
              <w:tblLook w:val="06E0" w:firstRow="1" w:lastRow="1" w:firstColumn="1" w:lastColumn="0" w:noHBand="1" w:noVBand="1"/>
            </w:tblPr>
            <w:tblGrid>
              <w:gridCol w:w="3831"/>
              <w:gridCol w:w="1101"/>
              <w:gridCol w:w="1102"/>
              <w:gridCol w:w="1101"/>
              <w:gridCol w:w="1100"/>
            </w:tblGrid>
            <w:tr w:rsidR="002855AF" w:rsidRPr="00667D0D" w14:paraId="08A96786" w14:textId="77777777" w:rsidTr="003C4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Pr>
                <w:p w14:paraId="3FDA3256" w14:textId="77777777" w:rsidR="00D91D6E" w:rsidRPr="00667D0D" w:rsidRDefault="00D91D6E" w:rsidP="003C44A3">
                  <w:pPr>
                    <w:spacing w:before="0" w:after="0" w:line="240" w:lineRule="auto"/>
                  </w:pPr>
                  <w:r w:rsidRPr="00667D0D">
                    <w:t xml:space="preserve">Capital cost budget impact </w:t>
                  </w:r>
                </w:p>
              </w:tc>
              <w:tc>
                <w:tcPr>
                  <w:tcW w:w="1107" w:type="dxa"/>
                </w:tcPr>
                <w:p w14:paraId="30C9D639" w14:textId="77777777" w:rsidR="00D91D6E" w:rsidRPr="00667D0D" w:rsidRDefault="00D91D6E" w:rsidP="003C44A3">
                  <w:pPr>
                    <w:spacing w:before="0" w:after="0"/>
                    <w:jc w:val="right"/>
                    <w:cnfStyle w:val="100000000000" w:firstRow="1" w:lastRow="0" w:firstColumn="0" w:lastColumn="0" w:oddVBand="0" w:evenVBand="0" w:oddHBand="0" w:evenHBand="0" w:firstRowFirstColumn="0" w:firstRowLastColumn="0" w:lastRowFirstColumn="0" w:lastRowLastColumn="0"/>
                  </w:pPr>
                  <w:r w:rsidRPr="00667D0D">
                    <w:t>Total</w:t>
                  </w:r>
                </w:p>
              </w:tc>
              <w:tc>
                <w:tcPr>
                  <w:tcW w:w="1108" w:type="dxa"/>
                </w:tcPr>
                <w:p w14:paraId="4A2C1F66" w14:textId="77777777" w:rsidR="00D91D6E" w:rsidRPr="00667D0D" w:rsidRDefault="00D91D6E" w:rsidP="003C44A3">
                  <w:pPr>
                    <w:spacing w:before="0" w:after="0"/>
                    <w:jc w:val="right"/>
                    <w:cnfStyle w:val="100000000000" w:firstRow="1" w:lastRow="0" w:firstColumn="0" w:lastColumn="0" w:oddVBand="0" w:evenVBand="0" w:oddHBand="0" w:evenHBand="0" w:firstRowFirstColumn="0" w:firstRowLastColumn="0" w:lastRowFirstColumn="0" w:lastRowLastColumn="0"/>
                  </w:pPr>
                  <w:r w:rsidRPr="00667D0D">
                    <w:t>2010–11</w:t>
                  </w:r>
                </w:p>
              </w:tc>
              <w:tc>
                <w:tcPr>
                  <w:tcW w:w="1107" w:type="dxa"/>
                </w:tcPr>
                <w:p w14:paraId="19BD6BF7" w14:textId="77777777" w:rsidR="00D91D6E" w:rsidRPr="00667D0D" w:rsidRDefault="00D91D6E" w:rsidP="003C44A3">
                  <w:pPr>
                    <w:spacing w:before="0" w:after="0"/>
                    <w:jc w:val="right"/>
                    <w:cnfStyle w:val="100000000000" w:firstRow="1" w:lastRow="0" w:firstColumn="0" w:lastColumn="0" w:oddVBand="0" w:evenVBand="0" w:oddHBand="0" w:evenHBand="0" w:firstRowFirstColumn="0" w:firstRowLastColumn="0" w:lastRowFirstColumn="0" w:lastRowLastColumn="0"/>
                  </w:pPr>
                  <w:r w:rsidRPr="00667D0D">
                    <w:t>2011–12</w:t>
                  </w:r>
                </w:p>
              </w:tc>
              <w:tc>
                <w:tcPr>
                  <w:tcW w:w="1108" w:type="dxa"/>
                </w:tcPr>
                <w:p w14:paraId="12E3A964" w14:textId="77777777" w:rsidR="00D91D6E" w:rsidRPr="00667D0D" w:rsidRDefault="00D91D6E" w:rsidP="003C44A3">
                  <w:pPr>
                    <w:spacing w:before="0" w:after="0"/>
                    <w:jc w:val="right"/>
                    <w:cnfStyle w:val="100000000000" w:firstRow="1" w:lastRow="0" w:firstColumn="0" w:lastColumn="0" w:oddVBand="0" w:evenVBand="0" w:oddHBand="0" w:evenHBand="0" w:firstRowFirstColumn="0" w:firstRowLastColumn="0" w:lastRowFirstColumn="0" w:lastRowLastColumn="0"/>
                  </w:pPr>
                  <w:r w:rsidRPr="00667D0D">
                    <w:t>2012–13</w:t>
                  </w:r>
                </w:p>
              </w:tc>
            </w:tr>
            <w:tr w:rsidR="002855AF" w:rsidRPr="00667D0D" w14:paraId="6EA38C2A" w14:textId="77777777" w:rsidTr="003C44A3">
              <w:tc>
                <w:tcPr>
                  <w:cnfStyle w:val="001000000000" w:firstRow="0" w:lastRow="0" w:firstColumn="1" w:lastColumn="0" w:oddVBand="0" w:evenVBand="0" w:oddHBand="0" w:evenHBand="0" w:firstRowFirstColumn="0" w:firstRowLastColumn="0" w:lastRowFirstColumn="0" w:lastRowLastColumn="0"/>
                  <w:tcW w:w="3899" w:type="dxa"/>
                </w:tcPr>
                <w:p w14:paraId="115F8180" w14:textId="77777777" w:rsidR="00D91D6E" w:rsidRPr="00667D0D" w:rsidRDefault="00D91D6E" w:rsidP="003C44A3">
                  <w:pPr>
                    <w:pStyle w:val="Tabletext"/>
                  </w:pPr>
                  <w:r w:rsidRPr="00667D0D">
                    <w:t>Project budget – gross TEI</w:t>
                  </w:r>
                </w:p>
              </w:tc>
              <w:tc>
                <w:tcPr>
                  <w:tcW w:w="1107" w:type="dxa"/>
                  <w:vAlign w:val="bottom"/>
                </w:tcPr>
                <w:p w14:paraId="17F7C68C" w14:textId="77777777" w:rsidR="00D91D6E" w:rsidRPr="00667D0D" w:rsidRDefault="00D91D6E" w:rsidP="003C44A3">
                  <w:pPr>
                    <w:pStyle w:val="Tabletextright"/>
                    <w:cnfStyle w:val="000000000000" w:firstRow="0" w:lastRow="0" w:firstColumn="0" w:lastColumn="0" w:oddVBand="0" w:evenVBand="0" w:oddHBand="0" w:evenHBand="0" w:firstRowFirstColumn="0" w:firstRowLastColumn="0" w:lastRowFirstColumn="0" w:lastRowLastColumn="0"/>
                  </w:pPr>
                  <w:r w:rsidRPr="00667D0D">
                    <w:t>$77 700</w:t>
                  </w:r>
                </w:p>
              </w:tc>
              <w:tc>
                <w:tcPr>
                  <w:tcW w:w="1108" w:type="dxa"/>
                  <w:vAlign w:val="bottom"/>
                </w:tcPr>
                <w:p w14:paraId="1788A16F" w14:textId="77777777" w:rsidR="00D91D6E" w:rsidRPr="00667D0D" w:rsidRDefault="00D91D6E" w:rsidP="003C44A3">
                  <w:pPr>
                    <w:pStyle w:val="Tabletextright"/>
                    <w:cnfStyle w:val="000000000000" w:firstRow="0" w:lastRow="0" w:firstColumn="0" w:lastColumn="0" w:oddVBand="0" w:evenVBand="0" w:oddHBand="0" w:evenHBand="0" w:firstRowFirstColumn="0" w:firstRowLastColumn="0" w:lastRowFirstColumn="0" w:lastRowLastColumn="0"/>
                  </w:pPr>
                  <w:r w:rsidRPr="00667D0D">
                    <w:t>$17 483</w:t>
                  </w:r>
                </w:p>
              </w:tc>
              <w:tc>
                <w:tcPr>
                  <w:tcW w:w="1107" w:type="dxa"/>
                  <w:vAlign w:val="bottom"/>
                </w:tcPr>
                <w:p w14:paraId="6FA5D81E" w14:textId="77777777" w:rsidR="00D91D6E" w:rsidRPr="00667D0D" w:rsidRDefault="00D91D6E" w:rsidP="003C44A3">
                  <w:pPr>
                    <w:pStyle w:val="Tabletextright"/>
                    <w:cnfStyle w:val="000000000000" w:firstRow="0" w:lastRow="0" w:firstColumn="0" w:lastColumn="0" w:oddVBand="0" w:evenVBand="0" w:oddHBand="0" w:evenHBand="0" w:firstRowFirstColumn="0" w:firstRowLastColumn="0" w:lastRowFirstColumn="0" w:lastRowLastColumn="0"/>
                  </w:pPr>
                  <w:r w:rsidRPr="00667D0D">
                    <w:t>$48 563</w:t>
                  </w:r>
                </w:p>
              </w:tc>
              <w:tc>
                <w:tcPr>
                  <w:tcW w:w="1108" w:type="dxa"/>
                  <w:vAlign w:val="bottom"/>
                </w:tcPr>
                <w:p w14:paraId="4860EAF6" w14:textId="77777777" w:rsidR="00D91D6E" w:rsidRPr="00667D0D" w:rsidRDefault="00D91D6E" w:rsidP="003C44A3">
                  <w:pPr>
                    <w:pStyle w:val="Tabletextright"/>
                    <w:cnfStyle w:val="000000000000" w:firstRow="0" w:lastRow="0" w:firstColumn="0" w:lastColumn="0" w:oddVBand="0" w:evenVBand="0" w:oddHBand="0" w:evenHBand="0" w:firstRowFirstColumn="0" w:firstRowLastColumn="0" w:lastRowFirstColumn="0" w:lastRowLastColumn="0"/>
                  </w:pPr>
                  <w:r w:rsidRPr="00667D0D">
                    <w:t>$11 655</w:t>
                  </w:r>
                </w:p>
              </w:tc>
            </w:tr>
            <w:tr w:rsidR="002855AF" w:rsidRPr="00667D0D" w14:paraId="7DDAAB77" w14:textId="77777777" w:rsidTr="003C44A3">
              <w:tc>
                <w:tcPr>
                  <w:cnfStyle w:val="001000000000" w:firstRow="0" w:lastRow="0" w:firstColumn="1" w:lastColumn="0" w:oddVBand="0" w:evenVBand="0" w:oddHBand="0" w:evenHBand="0" w:firstRowFirstColumn="0" w:firstRowLastColumn="0" w:lastRowFirstColumn="0" w:lastRowLastColumn="0"/>
                  <w:tcW w:w="3899" w:type="dxa"/>
                </w:tcPr>
                <w:p w14:paraId="563E9FDF" w14:textId="77777777" w:rsidR="00D91D6E" w:rsidRPr="00667D0D" w:rsidRDefault="00D91D6E" w:rsidP="003C44A3">
                  <w:pPr>
                    <w:pStyle w:val="Tabletext"/>
                  </w:pPr>
                  <w:r w:rsidRPr="00667D0D">
                    <w:t>Contribution from fundraising</w:t>
                  </w:r>
                </w:p>
              </w:tc>
              <w:tc>
                <w:tcPr>
                  <w:tcW w:w="1107" w:type="dxa"/>
                  <w:vAlign w:val="bottom"/>
                </w:tcPr>
                <w:p w14:paraId="3B880827" w14:textId="77777777" w:rsidR="00D91D6E" w:rsidRPr="00667D0D" w:rsidRDefault="00D91D6E" w:rsidP="003C44A3">
                  <w:pPr>
                    <w:pStyle w:val="Tabletextright"/>
                    <w:cnfStyle w:val="000000000000" w:firstRow="0" w:lastRow="0" w:firstColumn="0" w:lastColumn="0" w:oddVBand="0" w:evenVBand="0" w:oddHBand="0" w:evenHBand="0" w:firstRowFirstColumn="0" w:firstRowLastColumn="0" w:lastRowFirstColumn="0" w:lastRowLastColumn="0"/>
                  </w:pPr>
                  <w:r w:rsidRPr="00667D0D">
                    <w:t>($15 000)</w:t>
                  </w:r>
                </w:p>
              </w:tc>
              <w:tc>
                <w:tcPr>
                  <w:tcW w:w="1108" w:type="dxa"/>
                  <w:vAlign w:val="bottom"/>
                </w:tcPr>
                <w:p w14:paraId="6CAD8759" w14:textId="77777777" w:rsidR="00D91D6E" w:rsidRPr="00667D0D" w:rsidRDefault="00D91D6E" w:rsidP="003C44A3">
                  <w:pPr>
                    <w:pStyle w:val="Tabletextright"/>
                    <w:cnfStyle w:val="000000000000" w:firstRow="0" w:lastRow="0" w:firstColumn="0" w:lastColumn="0" w:oddVBand="0" w:evenVBand="0" w:oddHBand="0" w:evenHBand="0" w:firstRowFirstColumn="0" w:firstRowLastColumn="0" w:lastRowFirstColumn="0" w:lastRowLastColumn="0"/>
                  </w:pPr>
                </w:p>
              </w:tc>
              <w:tc>
                <w:tcPr>
                  <w:tcW w:w="1107" w:type="dxa"/>
                  <w:vAlign w:val="bottom"/>
                </w:tcPr>
                <w:p w14:paraId="582E5099" w14:textId="77777777" w:rsidR="00D91D6E" w:rsidRPr="00667D0D" w:rsidRDefault="00D91D6E" w:rsidP="003C44A3">
                  <w:pPr>
                    <w:pStyle w:val="Tabletextright"/>
                    <w:cnfStyle w:val="000000000000" w:firstRow="0" w:lastRow="0" w:firstColumn="0" w:lastColumn="0" w:oddVBand="0" w:evenVBand="0" w:oddHBand="0" w:evenHBand="0" w:firstRowFirstColumn="0" w:firstRowLastColumn="0" w:lastRowFirstColumn="0" w:lastRowLastColumn="0"/>
                  </w:pPr>
                  <w:r w:rsidRPr="00667D0D">
                    <w:t>($7 500)</w:t>
                  </w:r>
                </w:p>
              </w:tc>
              <w:tc>
                <w:tcPr>
                  <w:tcW w:w="1108" w:type="dxa"/>
                  <w:vAlign w:val="bottom"/>
                </w:tcPr>
                <w:p w14:paraId="03D6F3BF" w14:textId="77777777" w:rsidR="00D91D6E" w:rsidRPr="00667D0D" w:rsidRDefault="00D91D6E" w:rsidP="003C44A3">
                  <w:pPr>
                    <w:pStyle w:val="Tabletextright"/>
                    <w:cnfStyle w:val="000000000000" w:firstRow="0" w:lastRow="0" w:firstColumn="0" w:lastColumn="0" w:oddVBand="0" w:evenVBand="0" w:oddHBand="0" w:evenHBand="0" w:firstRowFirstColumn="0" w:firstRowLastColumn="0" w:lastRowFirstColumn="0" w:lastRowLastColumn="0"/>
                  </w:pPr>
                  <w:r w:rsidRPr="00667D0D">
                    <w:t>($7 500)</w:t>
                  </w:r>
                </w:p>
              </w:tc>
            </w:tr>
            <w:tr w:rsidR="002855AF" w:rsidRPr="00667D0D" w14:paraId="6DD083E2" w14:textId="77777777" w:rsidTr="003C44A3">
              <w:tc>
                <w:tcPr>
                  <w:cnfStyle w:val="001000000000" w:firstRow="0" w:lastRow="0" w:firstColumn="1" w:lastColumn="0" w:oddVBand="0" w:evenVBand="0" w:oddHBand="0" w:evenHBand="0" w:firstRowFirstColumn="0" w:firstRowLastColumn="0" w:lastRowFirstColumn="0" w:lastRowLastColumn="0"/>
                  <w:tcW w:w="3899" w:type="dxa"/>
                </w:tcPr>
                <w:p w14:paraId="201AC758" w14:textId="77777777" w:rsidR="00D91D6E" w:rsidRPr="00667D0D" w:rsidRDefault="00D91D6E" w:rsidP="003C44A3">
                  <w:pPr>
                    <w:pStyle w:val="Tabletext"/>
                  </w:pPr>
                  <w:r w:rsidRPr="00667D0D">
                    <w:t>Contribution from the Australian Government</w:t>
                  </w:r>
                </w:p>
              </w:tc>
              <w:tc>
                <w:tcPr>
                  <w:tcW w:w="1107" w:type="dxa"/>
                  <w:vAlign w:val="bottom"/>
                </w:tcPr>
                <w:p w14:paraId="3E5E3D5B" w14:textId="77777777" w:rsidR="00D91D6E" w:rsidRPr="00667D0D" w:rsidRDefault="00D91D6E" w:rsidP="003C44A3">
                  <w:pPr>
                    <w:pStyle w:val="Tabletextright"/>
                    <w:cnfStyle w:val="000000000000" w:firstRow="0" w:lastRow="0" w:firstColumn="0" w:lastColumn="0" w:oddVBand="0" w:evenVBand="0" w:oddHBand="0" w:evenHBand="0" w:firstRowFirstColumn="0" w:firstRowLastColumn="0" w:lastRowFirstColumn="0" w:lastRowLastColumn="0"/>
                  </w:pPr>
                  <w:r w:rsidRPr="00667D0D">
                    <w:t>($20 000)</w:t>
                  </w:r>
                </w:p>
              </w:tc>
              <w:tc>
                <w:tcPr>
                  <w:tcW w:w="1108" w:type="dxa"/>
                  <w:vAlign w:val="bottom"/>
                </w:tcPr>
                <w:p w14:paraId="4064A35A" w14:textId="77777777" w:rsidR="00D91D6E" w:rsidRPr="00667D0D" w:rsidRDefault="00D91D6E" w:rsidP="003C44A3">
                  <w:pPr>
                    <w:pStyle w:val="Tabletextright"/>
                    <w:cnfStyle w:val="000000000000" w:firstRow="0" w:lastRow="0" w:firstColumn="0" w:lastColumn="0" w:oddVBand="0" w:evenVBand="0" w:oddHBand="0" w:evenHBand="0" w:firstRowFirstColumn="0" w:firstRowLastColumn="0" w:lastRowFirstColumn="0" w:lastRowLastColumn="0"/>
                  </w:pPr>
                  <w:r w:rsidRPr="00667D0D">
                    <w:t>($10 000)</w:t>
                  </w:r>
                </w:p>
              </w:tc>
              <w:tc>
                <w:tcPr>
                  <w:tcW w:w="1107" w:type="dxa"/>
                  <w:vAlign w:val="bottom"/>
                </w:tcPr>
                <w:p w14:paraId="6FDB7E9F" w14:textId="77777777" w:rsidR="00D91D6E" w:rsidRPr="00667D0D" w:rsidRDefault="00D91D6E" w:rsidP="003C44A3">
                  <w:pPr>
                    <w:pStyle w:val="Tabletextright"/>
                    <w:cnfStyle w:val="000000000000" w:firstRow="0" w:lastRow="0" w:firstColumn="0" w:lastColumn="0" w:oddVBand="0" w:evenVBand="0" w:oddHBand="0" w:evenHBand="0" w:firstRowFirstColumn="0" w:firstRowLastColumn="0" w:lastRowFirstColumn="0" w:lastRowLastColumn="0"/>
                  </w:pPr>
                  <w:r w:rsidRPr="00667D0D">
                    <w:t>($10 000)</w:t>
                  </w:r>
                </w:p>
              </w:tc>
              <w:tc>
                <w:tcPr>
                  <w:tcW w:w="1108" w:type="dxa"/>
                  <w:vAlign w:val="bottom"/>
                </w:tcPr>
                <w:p w14:paraId="52958C2D" w14:textId="77777777" w:rsidR="00D91D6E" w:rsidRPr="00667D0D" w:rsidRDefault="00D91D6E" w:rsidP="003C44A3">
                  <w:pPr>
                    <w:pStyle w:val="Tabletextright"/>
                    <w:cnfStyle w:val="000000000000" w:firstRow="0" w:lastRow="0" w:firstColumn="0" w:lastColumn="0" w:oddVBand="0" w:evenVBand="0" w:oddHBand="0" w:evenHBand="0" w:firstRowFirstColumn="0" w:firstRowLastColumn="0" w:lastRowFirstColumn="0" w:lastRowLastColumn="0"/>
                  </w:pPr>
                </w:p>
              </w:tc>
            </w:tr>
            <w:tr w:rsidR="002855AF" w:rsidRPr="00667D0D" w14:paraId="3C8E1CE3" w14:textId="77777777" w:rsidTr="003C44A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9" w:type="dxa"/>
                </w:tcPr>
                <w:p w14:paraId="0FA58ECD" w14:textId="77777777" w:rsidR="00D91D6E" w:rsidRPr="00667D0D" w:rsidRDefault="00D91D6E" w:rsidP="003C44A3">
                  <w:pPr>
                    <w:pStyle w:val="Tabletextbold"/>
                    <w:rPr>
                      <w:b/>
                    </w:rPr>
                  </w:pPr>
                  <w:r w:rsidRPr="00667D0D">
                    <w:rPr>
                      <w:b/>
                    </w:rPr>
                    <w:t>Victorian Government – net contribution</w:t>
                  </w:r>
                </w:p>
              </w:tc>
              <w:tc>
                <w:tcPr>
                  <w:tcW w:w="1107" w:type="dxa"/>
                  <w:vAlign w:val="bottom"/>
                </w:tcPr>
                <w:p w14:paraId="5D63FA01" w14:textId="77777777" w:rsidR="00D91D6E" w:rsidRPr="00667D0D" w:rsidRDefault="00D91D6E" w:rsidP="003C44A3">
                  <w:pPr>
                    <w:pStyle w:val="Tabletextright"/>
                    <w:cnfStyle w:val="010000000000" w:firstRow="0" w:lastRow="1" w:firstColumn="0" w:lastColumn="0" w:oddVBand="0" w:evenVBand="0" w:oddHBand="0" w:evenHBand="0" w:firstRowFirstColumn="0" w:firstRowLastColumn="0" w:lastRowFirstColumn="0" w:lastRowLastColumn="0"/>
                  </w:pPr>
                  <w:r w:rsidRPr="00667D0D">
                    <w:t>$42 700</w:t>
                  </w:r>
                </w:p>
              </w:tc>
              <w:tc>
                <w:tcPr>
                  <w:tcW w:w="1108" w:type="dxa"/>
                  <w:vAlign w:val="bottom"/>
                </w:tcPr>
                <w:p w14:paraId="5F7AE6A8" w14:textId="77777777" w:rsidR="00D91D6E" w:rsidRPr="00667D0D" w:rsidRDefault="00D91D6E" w:rsidP="003C44A3">
                  <w:pPr>
                    <w:pStyle w:val="Tabletextright"/>
                    <w:cnfStyle w:val="010000000000" w:firstRow="0" w:lastRow="1" w:firstColumn="0" w:lastColumn="0" w:oddVBand="0" w:evenVBand="0" w:oddHBand="0" w:evenHBand="0" w:firstRowFirstColumn="0" w:firstRowLastColumn="0" w:lastRowFirstColumn="0" w:lastRowLastColumn="0"/>
                  </w:pPr>
                  <w:r w:rsidRPr="00667D0D">
                    <w:t>$7 483</w:t>
                  </w:r>
                </w:p>
              </w:tc>
              <w:tc>
                <w:tcPr>
                  <w:tcW w:w="1107" w:type="dxa"/>
                  <w:vAlign w:val="bottom"/>
                </w:tcPr>
                <w:p w14:paraId="08EFA343" w14:textId="77777777" w:rsidR="00D91D6E" w:rsidRPr="00667D0D" w:rsidRDefault="00D91D6E" w:rsidP="003C44A3">
                  <w:pPr>
                    <w:pStyle w:val="Tabletextright"/>
                    <w:cnfStyle w:val="010000000000" w:firstRow="0" w:lastRow="1" w:firstColumn="0" w:lastColumn="0" w:oddVBand="0" w:evenVBand="0" w:oddHBand="0" w:evenHBand="0" w:firstRowFirstColumn="0" w:firstRowLastColumn="0" w:lastRowFirstColumn="0" w:lastRowLastColumn="0"/>
                  </w:pPr>
                  <w:r w:rsidRPr="00667D0D">
                    <w:t>$31 063</w:t>
                  </w:r>
                </w:p>
              </w:tc>
              <w:tc>
                <w:tcPr>
                  <w:tcW w:w="1108" w:type="dxa"/>
                  <w:vAlign w:val="bottom"/>
                </w:tcPr>
                <w:p w14:paraId="6C56E7DA" w14:textId="77777777" w:rsidR="00D91D6E" w:rsidRPr="00667D0D" w:rsidRDefault="00D91D6E" w:rsidP="003C44A3">
                  <w:pPr>
                    <w:pStyle w:val="Tabletextright"/>
                    <w:cnfStyle w:val="010000000000" w:firstRow="0" w:lastRow="1" w:firstColumn="0" w:lastColumn="0" w:oddVBand="0" w:evenVBand="0" w:oddHBand="0" w:evenHBand="0" w:firstRowFirstColumn="0" w:firstRowLastColumn="0" w:lastRowFirstColumn="0" w:lastRowLastColumn="0"/>
                  </w:pPr>
                  <w:r w:rsidRPr="00667D0D">
                    <w:t>$4 155</w:t>
                  </w:r>
                </w:p>
              </w:tc>
            </w:tr>
          </w:tbl>
          <w:p w14:paraId="503282F6" w14:textId="77777777" w:rsidR="00D91D6E" w:rsidRPr="00667D0D" w:rsidRDefault="00D91D6E" w:rsidP="003C44A3">
            <w:pPr>
              <w:pStyle w:val="Spacer"/>
            </w:pPr>
          </w:p>
          <w:p w14:paraId="3CD6F87A" w14:textId="77777777" w:rsidR="00D91D6E" w:rsidRPr="00667D0D" w:rsidRDefault="00D91D6E" w:rsidP="003C44A3">
            <w:pPr>
              <w:pStyle w:val="Tabletextbold"/>
            </w:pPr>
            <w:r w:rsidRPr="00667D0D">
              <w:t>Output cost budget impact</w:t>
            </w:r>
          </w:p>
          <w:p w14:paraId="1E072362" w14:textId="77777777" w:rsidR="00D91D6E" w:rsidRPr="00667D0D" w:rsidRDefault="00D91D6E" w:rsidP="003C44A3">
            <w:pPr>
              <w:pStyle w:val="Tabletext"/>
            </w:pPr>
            <w:r w:rsidRPr="00667D0D">
              <w:t>In relation to the incremental operational costs of the recommended option, Bird Health will continue to source its recurrent clinical revenue from the State Government (through WIES, VACS and other acute and aged care funding models), grants funding, retail and car parking revenue and consulting suites. Department of Health has not yet agreed with Bird Health on the increases in funding associated with the increases in demand for clinical services. This will be resolved on an annual basis following negotiations between parties. Therefore, the specific budgetary impact of changes in operational costs from the recommended option is not estimated at this time.</w:t>
            </w:r>
          </w:p>
        </w:tc>
      </w:tr>
    </w:tbl>
    <w:p w14:paraId="7D6ABD4D" w14:textId="77777777" w:rsidR="00D91D6E" w:rsidRPr="00667D0D" w:rsidRDefault="00D91D6E" w:rsidP="00D91D6E"/>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2855AF" w:rsidRPr="00667D0D" w14:paraId="3499C3C0" w14:textId="77777777" w:rsidTr="003C44A3">
        <w:tc>
          <w:tcPr>
            <w:tcW w:w="8719" w:type="dxa"/>
            <w:shd w:val="clear" w:color="auto" w:fill="FDF3EA" w:themeFill="accent5" w:themeFillTint="33"/>
          </w:tcPr>
          <w:p w14:paraId="02ED28C4" w14:textId="77777777" w:rsidR="00D91D6E" w:rsidRPr="00667D0D" w:rsidRDefault="00D91D6E" w:rsidP="003C44A3">
            <w:pPr>
              <w:pStyle w:val="Tabletextbold"/>
            </w:pPr>
            <w:r w:rsidRPr="00667D0D">
              <w:t xml:space="preserve">Business case information requirements for funding sources of the project solution </w:t>
            </w:r>
          </w:p>
          <w:p w14:paraId="5F4188FF" w14:textId="558F9F01" w:rsidR="00D91D6E" w:rsidRPr="00667D0D" w:rsidRDefault="00D91D6E" w:rsidP="003C44A3">
            <w:pPr>
              <w:pStyle w:val="Tablebullet"/>
            </w:pPr>
            <w:r w:rsidRPr="00667D0D">
              <w:rPr>
                <w:rFonts w:ascii="Arial" w:eastAsia="Arial" w:hAnsi="Arial" w:cs="Times New Roman"/>
              </w:rPr>
              <w:t>Discuss proposed funding sources for capital and output requirements</w:t>
            </w:r>
            <w:r w:rsidRPr="00667D0D" w:rsidDel="00DE44FC">
              <w:t xml:space="preserve"> </w:t>
            </w:r>
            <w:r w:rsidRPr="00667D0D">
              <w:t>and in addition to the option of new budget funding, discuss potential funding sources including contributions from other levels of government, private sector,</w:t>
            </w:r>
            <w:r w:rsidR="00F5347B" w:rsidRPr="00667D0D">
              <w:t xml:space="preserve"> and</w:t>
            </w:r>
            <w:r w:rsidRPr="00667D0D">
              <w:t xml:space="preserve"> sale of assets including land and property, etc.</w:t>
            </w:r>
          </w:p>
          <w:p w14:paraId="70317567" w14:textId="77777777" w:rsidR="00D91D6E" w:rsidRPr="00667D0D" w:rsidRDefault="00D91D6E" w:rsidP="003C44A3">
            <w:pPr>
              <w:pStyle w:val="Tablebullet"/>
            </w:pPr>
            <w:r w:rsidRPr="00667D0D">
              <w:rPr>
                <w:rFonts w:ascii="Arial" w:eastAsia="Arial" w:hAnsi="Arial" w:cs="Times New Roman"/>
              </w:rPr>
              <w:t xml:space="preserve">Identify any conditional impacts of </w:t>
            </w:r>
            <w:proofErr w:type="gramStart"/>
            <w:r w:rsidRPr="00667D0D">
              <w:rPr>
                <w:rFonts w:ascii="Arial" w:eastAsia="Arial" w:hAnsi="Arial" w:cs="Times New Roman"/>
              </w:rPr>
              <w:t>particular sources</w:t>
            </w:r>
            <w:proofErr w:type="gramEnd"/>
            <w:r w:rsidRPr="00667D0D">
              <w:rPr>
                <w:rFonts w:ascii="Arial" w:eastAsia="Arial" w:hAnsi="Arial" w:cs="Times New Roman"/>
              </w:rPr>
              <w:t>.</w:t>
            </w:r>
          </w:p>
          <w:p w14:paraId="3471EE4C" w14:textId="77777777" w:rsidR="00D91D6E" w:rsidRPr="00667D0D" w:rsidRDefault="00D91D6E" w:rsidP="003C44A3">
            <w:pPr>
              <w:pStyle w:val="Tablebullet"/>
            </w:pPr>
            <w:r w:rsidRPr="00667D0D">
              <w:t xml:space="preserve">In providing the cost estimate, agencies should outline any existing capabilities that can be used to </w:t>
            </w:r>
            <w:r w:rsidRPr="00667D0D">
              <w:lastRenderedPageBreak/>
              <w:t xml:space="preserve">complement/subsidise/offset the investment value. </w:t>
            </w:r>
          </w:p>
          <w:p w14:paraId="11CFB972" w14:textId="77777777" w:rsidR="00D91D6E" w:rsidRPr="00667D0D" w:rsidRDefault="00D91D6E" w:rsidP="003C44A3">
            <w:pPr>
              <w:pStyle w:val="Tablebullet"/>
            </w:pPr>
            <w:r w:rsidRPr="00667D0D">
              <w:t>Any likely Commonwealth support and/or private investment or in</w:t>
            </w:r>
            <w:r w:rsidRPr="00667D0D">
              <w:noBreakHyphen/>
              <w:t>kind contribution that may reduce the State’s contribution should be outlined.</w:t>
            </w:r>
          </w:p>
        </w:tc>
      </w:tr>
    </w:tbl>
    <w:p w14:paraId="057AB915" w14:textId="5125441D" w:rsidR="007A13C8" w:rsidRPr="00667D0D" w:rsidRDefault="00D91D6E" w:rsidP="004C3F29">
      <w:pPr>
        <w:pStyle w:val="NormalIndent"/>
      </w:pPr>
      <w:r w:rsidRPr="00667D0D">
        <w:lastRenderedPageBreak/>
        <w:t>This guideline does not specify an estimating methodology as projects need to use the appropriate methodology for the particular investment type. It does advocate the need for appropriately skilled estimators</w:t>
      </w:r>
      <w:r w:rsidR="00F5347B" w:rsidRPr="00667D0D">
        <w:t xml:space="preserve">, </w:t>
      </w:r>
      <w:r w:rsidRPr="00667D0D">
        <w:t>insightful and meaningful reviews by peers</w:t>
      </w:r>
      <w:r w:rsidR="00F5347B" w:rsidRPr="00667D0D">
        <w:t>,</w:t>
      </w:r>
      <w:r w:rsidRPr="00667D0D">
        <w:t xml:space="preserve"> and</w:t>
      </w:r>
      <w:r w:rsidR="00F5347B" w:rsidRPr="00667D0D">
        <w:t xml:space="preserve"> for</w:t>
      </w:r>
      <w:r w:rsidRPr="00667D0D">
        <w:t xml:space="preserve"> the senior responsible owner to confirm it represents best in market and is </w:t>
      </w:r>
      <w:r w:rsidR="004C3F29" w:rsidRPr="00667D0D">
        <w:t>defensible</w:t>
      </w:r>
      <w:r w:rsidR="00413875">
        <w:br w:type="page"/>
      </w:r>
      <w:r w:rsidR="007A13C8" w:rsidRPr="00667D0D">
        <w:lastRenderedPageBreak/>
        <w:t>This guideline recommends using tables to present a summary of the costing (</w:t>
      </w:r>
      <w:proofErr w:type="spellStart"/>
      <w:r w:rsidR="00B520C7" w:rsidRPr="00667D0D">
        <w:t>e.g</w:t>
      </w:r>
      <w:proofErr w:type="spellEnd"/>
      <w:r w:rsidR="00F5347B" w:rsidRPr="00667D0D">
        <w:t>:</w:t>
      </w:r>
      <w:r w:rsidR="007A13C8" w:rsidRPr="00667D0D">
        <w:t xml:space="preserve"> </w:t>
      </w:r>
      <w:r w:rsidR="007A13C8" w:rsidRPr="00667D0D">
        <w:fldChar w:fldCharType="begin"/>
      </w:r>
      <w:r w:rsidR="007A13C8" w:rsidRPr="00667D0D">
        <w:instrText xml:space="preserve"> REF _Ref24627838 \h </w:instrText>
      </w:r>
      <w:r w:rsidR="00AE06B8" w:rsidRPr="00667D0D">
        <w:instrText xml:space="preserve"> \* MERGEFORMAT </w:instrText>
      </w:r>
      <w:r w:rsidR="007A13C8" w:rsidRPr="00667D0D">
        <w:fldChar w:fldCharType="separate"/>
      </w:r>
      <w:r w:rsidR="00295E8F" w:rsidRPr="00667D0D">
        <w:t xml:space="preserve">Table </w:t>
      </w:r>
      <w:r w:rsidR="00295E8F" w:rsidRPr="00667D0D">
        <w:rPr>
          <w:noProof/>
        </w:rPr>
        <w:t>13</w:t>
      </w:r>
      <w:r w:rsidR="007A13C8" w:rsidRPr="00667D0D">
        <w:fldChar w:fldCharType="end"/>
      </w:r>
      <w:r w:rsidR="007A13C8" w:rsidRPr="00667D0D">
        <w:t>).</w:t>
      </w:r>
    </w:p>
    <w:p w14:paraId="4756BDD0" w14:textId="6DF08F89" w:rsidR="00D56625" w:rsidRPr="00667D0D" w:rsidRDefault="009754E0" w:rsidP="00146F40">
      <w:pPr>
        <w:pStyle w:val="Caption"/>
        <w:ind w:left="720"/>
      </w:pPr>
      <w:r w:rsidRPr="00667D0D">
        <w:t>T</w:t>
      </w:r>
      <w:r w:rsidR="00D56625" w:rsidRPr="00667D0D">
        <w:t xml:space="preserve">able </w:t>
      </w:r>
      <w:fldSimple w:instr=" SEQ Table \* ARABIC ">
        <w:r w:rsidR="00295E8F" w:rsidRPr="00667D0D">
          <w:rPr>
            <w:noProof/>
          </w:rPr>
          <w:t>12</w:t>
        </w:r>
      </w:fldSimple>
      <w:bookmarkEnd w:id="191"/>
      <w:r w:rsidR="00D56625" w:rsidRPr="00667D0D">
        <w:t>: Headline project cost element summary</w:t>
      </w:r>
      <w:bookmarkEnd w:id="192"/>
      <w:r w:rsidR="00C21375" w:rsidRPr="00667D0D">
        <w:t xml:space="preserve"> ($million)</w:t>
      </w:r>
    </w:p>
    <w:tbl>
      <w:tblPr>
        <w:tblStyle w:val="DTFfinancialtableindent"/>
        <w:tblW w:w="8407" w:type="dxa"/>
        <w:tblLook w:val="0620" w:firstRow="1" w:lastRow="0" w:firstColumn="0" w:lastColumn="0" w:noHBand="1" w:noVBand="1"/>
      </w:tblPr>
      <w:tblGrid>
        <w:gridCol w:w="2922"/>
        <w:gridCol w:w="2703"/>
        <w:gridCol w:w="2782"/>
      </w:tblGrid>
      <w:tr w:rsidR="00C07653" w:rsidRPr="00667D0D" w14:paraId="742A3590" w14:textId="5E6A4894" w:rsidTr="009A3AA5">
        <w:trPr>
          <w:cnfStyle w:val="100000000000" w:firstRow="1" w:lastRow="0" w:firstColumn="0" w:lastColumn="0" w:oddVBand="0" w:evenVBand="0" w:oddHBand="0" w:evenHBand="0" w:firstRowFirstColumn="0" w:firstRowLastColumn="0" w:lastRowFirstColumn="0" w:lastRowLastColumn="0"/>
        </w:trPr>
        <w:tc>
          <w:tcPr>
            <w:tcW w:w="2903" w:type="dxa"/>
          </w:tcPr>
          <w:p w14:paraId="65BCB7FE" w14:textId="77777777" w:rsidR="00D56625" w:rsidRPr="00667D0D" w:rsidRDefault="00D56625" w:rsidP="00146F40">
            <w:pPr>
              <w:pStyle w:val="Tableheader"/>
              <w:ind w:left="720"/>
              <w:jc w:val="both"/>
              <w:rPr>
                <w:b/>
              </w:rPr>
            </w:pPr>
            <w:r w:rsidRPr="00667D0D">
              <w:rPr>
                <w:b/>
              </w:rPr>
              <w:t>Element</w:t>
            </w:r>
          </w:p>
        </w:tc>
        <w:tc>
          <w:tcPr>
            <w:tcW w:w="2685" w:type="dxa"/>
          </w:tcPr>
          <w:p w14:paraId="13EB668A" w14:textId="77777777" w:rsidR="00D56625" w:rsidRPr="00667D0D" w:rsidRDefault="00D56625" w:rsidP="00F454CE">
            <w:pPr>
              <w:pStyle w:val="Tableheader"/>
              <w:ind w:left="720"/>
              <w:rPr>
                <w:b/>
              </w:rPr>
            </w:pPr>
            <w:r w:rsidRPr="00667D0D">
              <w:rPr>
                <w:b/>
              </w:rPr>
              <w:t>Estimate</w:t>
            </w:r>
          </w:p>
        </w:tc>
        <w:tc>
          <w:tcPr>
            <w:tcW w:w="2763" w:type="dxa"/>
          </w:tcPr>
          <w:p w14:paraId="48C978C0" w14:textId="77777777" w:rsidR="00D56625" w:rsidRPr="00667D0D" w:rsidRDefault="00D56625" w:rsidP="00F454CE">
            <w:pPr>
              <w:pStyle w:val="Tableheader"/>
              <w:ind w:left="720"/>
              <w:rPr>
                <w:b/>
              </w:rPr>
            </w:pPr>
            <w:r w:rsidRPr="00667D0D">
              <w:rPr>
                <w:b/>
              </w:rPr>
              <w:t>Table reference</w:t>
            </w:r>
          </w:p>
        </w:tc>
      </w:tr>
      <w:tr w:rsidR="00FB0C15" w:rsidRPr="00667D0D" w14:paraId="14D924E8" w14:textId="50938003" w:rsidTr="009A3AA5">
        <w:tc>
          <w:tcPr>
            <w:tcW w:w="2903" w:type="dxa"/>
          </w:tcPr>
          <w:p w14:paraId="1255D106" w14:textId="77777777" w:rsidR="00D56625" w:rsidRPr="00667D0D" w:rsidRDefault="00D56625" w:rsidP="00146F40">
            <w:pPr>
              <w:spacing w:before="60"/>
              <w:jc w:val="both"/>
            </w:pPr>
            <w:r w:rsidRPr="00667D0D">
              <w:t>Base cost estimate</w:t>
            </w:r>
          </w:p>
        </w:tc>
        <w:tc>
          <w:tcPr>
            <w:tcW w:w="2685" w:type="dxa"/>
          </w:tcPr>
          <w:p w14:paraId="01408277" w14:textId="4BCEBD6F" w:rsidR="00D56625" w:rsidRPr="00667D0D" w:rsidRDefault="0059579A" w:rsidP="00F454CE">
            <w:pPr>
              <w:spacing w:before="60"/>
              <w:ind w:left="720"/>
            </w:pPr>
            <w:r w:rsidRPr="00667D0D">
              <w:t>0.000</w:t>
            </w:r>
          </w:p>
        </w:tc>
        <w:tc>
          <w:tcPr>
            <w:tcW w:w="2763" w:type="dxa"/>
          </w:tcPr>
          <w:p w14:paraId="22D9B3F3" w14:textId="7EBC118C" w:rsidR="00D56625" w:rsidRPr="00667D0D" w:rsidRDefault="00D56625" w:rsidP="00F454CE">
            <w:pPr>
              <w:spacing w:before="60"/>
              <w:ind w:left="720"/>
            </w:pPr>
            <w:r w:rsidRPr="00667D0D">
              <w:t xml:space="preserve">(Table </w:t>
            </w:r>
            <w:r w:rsidR="0059579A" w:rsidRPr="00667D0D">
              <w:t>X</w:t>
            </w:r>
            <w:r w:rsidRPr="00667D0D">
              <w:t>)</w:t>
            </w:r>
          </w:p>
        </w:tc>
      </w:tr>
      <w:tr w:rsidR="00FB0C15" w:rsidRPr="00667D0D" w14:paraId="5B8A2D10" w14:textId="7105A1AD" w:rsidTr="009A3AA5">
        <w:tc>
          <w:tcPr>
            <w:tcW w:w="2903" w:type="dxa"/>
          </w:tcPr>
          <w:p w14:paraId="69699D07" w14:textId="77777777" w:rsidR="00D56625" w:rsidRPr="00667D0D" w:rsidRDefault="00D56625" w:rsidP="00146F40">
            <w:pPr>
              <w:spacing w:before="60"/>
              <w:jc w:val="both"/>
            </w:pPr>
            <w:r w:rsidRPr="00667D0D">
              <w:t>Base risk allocation</w:t>
            </w:r>
          </w:p>
        </w:tc>
        <w:tc>
          <w:tcPr>
            <w:tcW w:w="2685" w:type="dxa"/>
          </w:tcPr>
          <w:p w14:paraId="13B9F558" w14:textId="0AD9FFD2" w:rsidR="00D56625" w:rsidRPr="00667D0D" w:rsidRDefault="009372EB" w:rsidP="00F454CE">
            <w:pPr>
              <w:spacing w:before="60"/>
              <w:ind w:left="720"/>
            </w:pPr>
            <w:r w:rsidRPr="00667D0D">
              <w:t>0.000</w:t>
            </w:r>
          </w:p>
        </w:tc>
        <w:tc>
          <w:tcPr>
            <w:tcW w:w="2763" w:type="dxa"/>
          </w:tcPr>
          <w:p w14:paraId="6005DA07" w14:textId="6837DD86" w:rsidR="00D56625" w:rsidRPr="00667D0D" w:rsidRDefault="00D56625" w:rsidP="00F454CE">
            <w:pPr>
              <w:spacing w:before="60"/>
              <w:ind w:left="720"/>
            </w:pPr>
            <w:r w:rsidRPr="00667D0D">
              <w:t xml:space="preserve">(Table </w:t>
            </w:r>
            <w:r w:rsidR="0059579A" w:rsidRPr="00667D0D">
              <w:t>X</w:t>
            </w:r>
            <w:r w:rsidRPr="00667D0D">
              <w:t>)</w:t>
            </w:r>
          </w:p>
        </w:tc>
      </w:tr>
      <w:tr w:rsidR="00A44B30" w:rsidRPr="00667D0D" w14:paraId="0649C932" w14:textId="77777777" w:rsidTr="009A3AA5">
        <w:tc>
          <w:tcPr>
            <w:tcW w:w="2903" w:type="dxa"/>
          </w:tcPr>
          <w:p w14:paraId="08F8A1EA" w14:textId="423A4D66" w:rsidR="00D56625" w:rsidRPr="00667D0D" w:rsidRDefault="00624779" w:rsidP="00146F40">
            <w:pPr>
              <w:spacing w:before="60"/>
              <w:jc w:val="both"/>
            </w:pPr>
            <w:r w:rsidRPr="00667D0D">
              <w:t>Excess risk estimate</w:t>
            </w:r>
          </w:p>
        </w:tc>
        <w:tc>
          <w:tcPr>
            <w:tcW w:w="2685" w:type="dxa"/>
          </w:tcPr>
          <w:p w14:paraId="45683499" w14:textId="69A591AD" w:rsidR="00D56625" w:rsidRPr="00667D0D" w:rsidRDefault="00007561" w:rsidP="00F454CE">
            <w:pPr>
              <w:spacing w:before="60"/>
              <w:ind w:left="720"/>
            </w:pPr>
            <w:r w:rsidRPr="00667D0D">
              <w:t>0</w:t>
            </w:r>
            <w:r w:rsidR="00C21375" w:rsidRPr="00667D0D">
              <w:t>.000</w:t>
            </w:r>
          </w:p>
        </w:tc>
        <w:tc>
          <w:tcPr>
            <w:tcW w:w="2763" w:type="dxa"/>
          </w:tcPr>
          <w:p w14:paraId="49B699F6" w14:textId="1E131D60" w:rsidR="00D56625" w:rsidRPr="00667D0D" w:rsidRDefault="00D56625" w:rsidP="00F454CE">
            <w:pPr>
              <w:spacing w:before="60"/>
              <w:ind w:left="720"/>
            </w:pPr>
            <w:r w:rsidRPr="00667D0D">
              <w:t xml:space="preserve">(Table </w:t>
            </w:r>
            <w:r w:rsidR="0059579A" w:rsidRPr="00667D0D">
              <w:t>X</w:t>
            </w:r>
            <w:r w:rsidRPr="00667D0D">
              <w:t>)</w:t>
            </w:r>
          </w:p>
        </w:tc>
      </w:tr>
      <w:tr w:rsidR="00FB0C15" w:rsidRPr="00667D0D" w14:paraId="4BB112CA" w14:textId="4FF4E706" w:rsidTr="009A3AA5">
        <w:tc>
          <w:tcPr>
            <w:tcW w:w="2903" w:type="dxa"/>
          </w:tcPr>
          <w:p w14:paraId="364D8026" w14:textId="77777777" w:rsidR="00D56625" w:rsidRPr="00667D0D" w:rsidRDefault="00D56625" w:rsidP="00146F40">
            <w:pPr>
              <w:spacing w:before="60"/>
              <w:jc w:val="both"/>
              <w:rPr>
                <w:b/>
                <w:bCs/>
              </w:rPr>
            </w:pPr>
            <w:r w:rsidRPr="00667D0D">
              <w:rPr>
                <w:b/>
                <w:bCs/>
              </w:rPr>
              <w:t>Project budget</w:t>
            </w:r>
          </w:p>
        </w:tc>
        <w:tc>
          <w:tcPr>
            <w:tcW w:w="2685" w:type="dxa"/>
          </w:tcPr>
          <w:p w14:paraId="5639F577" w14:textId="58C7CD07" w:rsidR="00D56625" w:rsidRPr="00667D0D" w:rsidRDefault="00C21375" w:rsidP="00F454CE">
            <w:pPr>
              <w:spacing w:before="60"/>
              <w:ind w:left="720"/>
              <w:rPr>
                <w:b/>
                <w:bCs/>
              </w:rPr>
            </w:pPr>
            <w:r w:rsidRPr="00667D0D">
              <w:rPr>
                <w:b/>
                <w:bCs/>
              </w:rPr>
              <w:t>0.000</w:t>
            </w:r>
          </w:p>
        </w:tc>
        <w:tc>
          <w:tcPr>
            <w:tcW w:w="2763" w:type="dxa"/>
          </w:tcPr>
          <w:p w14:paraId="088AB0E6" w14:textId="198E3760" w:rsidR="00D56625" w:rsidRPr="00667D0D" w:rsidRDefault="00C21375" w:rsidP="00F454CE">
            <w:pPr>
              <w:spacing w:before="60"/>
              <w:ind w:left="720"/>
            </w:pPr>
            <w:r w:rsidRPr="00667D0D">
              <w:t>(Table X)</w:t>
            </w:r>
          </w:p>
        </w:tc>
      </w:tr>
    </w:tbl>
    <w:p w14:paraId="758E2E2E" w14:textId="2DFDC518" w:rsidR="00D56625" w:rsidRPr="00667D0D" w:rsidRDefault="009754E0" w:rsidP="00F454CE">
      <w:pPr>
        <w:pStyle w:val="Caption"/>
        <w:ind w:left="720"/>
      </w:pPr>
      <w:bookmarkStart w:id="193" w:name="_Ref24627838"/>
      <w:r w:rsidRPr="00667D0D">
        <w:t>T</w:t>
      </w:r>
      <w:r w:rsidR="00D56625" w:rsidRPr="00667D0D">
        <w:t xml:space="preserve">able </w:t>
      </w:r>
      <w:r w:rsidR="00BB3C68">
        <w:fldChar w:fldCharType="begin"/>
      </w:r>
      <w:r w:rsidR="00BB3C68">
        <w:instrText xml:space="preserve"> SEQ Table \* ARABIC </w:instrText>
      </w:r>
      <w:r w:rsidR="00BB3C68">
        <w:fldChar w:fldCharType="separate"/>
      </w:r>
      <w:r w:rsidR="00295E8F" w:rsidRPr="00667D0D">
        <w:rPr>
          <w:noProof/>
        </w:rPr>
        <w:t>13</w:t>
      </w:r>
      <w:r w:rsidR="00BB3C68">
        <w:rPr>
          <w:noProof/>
        </w:rPr>
        <w:fldChar w:fldCharType="end"/>
      </w:r>
      <w:bookmarkEnd w:id="193"/>
      <w:r w:rsidR="00D56625" w:rsidRPr="00667D0D">
        <w:t>: Base cost estimate</w:t>
      </w:r>
      <w:r w:rsidR="00C21375" w:rsidRPr="00667D0D">
        <w:t xml:space="preserve"> (</w:t>
      </w:r>
      <w:r w:rsidR="008D7DE2" w:rsidRPr="00667D0D">
        <w:t>$ million</w:t>
      </w:r>
      <w:r w:rsidR="00C21375" w:rsidRPr="00667D0D">
        <w:t>)</w:t>
      </w:r>
    </w:p>
    <w:tbl>
      <w:tblPr>
        <w:tblStyle w:val="DTFtexttable0"/>
        <w:tblW w:w="5000" w:type="pct"/>
        <w:tblInd w:w="720" w:type="dxa"/>
        <w:tblLayout w:type="fixed"/>
        <w:tblLook w:val="0660" w:firstRow="1" w:lastRow="1" w:firstColumn="0" w:lastColumn="0" w:noHBand="1" w:noVBand="1"/>
      </w:tblPr>
      <w:tblGrid>
        <w:gridCol w:w="4053"/>
        <w:gridCol w:w="136"/>
        <w:gridCol w:w="1406"/>
        <w:gridCol w:w="277"/>
        <w:gridCol w:w="3326"/>
      </w:tblGrid>
      <w:tr w:rsidR="00A44B30" w:rsidRPr="00667D0D" w14:paraId="4C60153C" w14:textId="77777777" w:rsidTr="005D641A">
        <w:trPr>
          <w:cnfStyle w:val="100000000000" w:firstRow="1" w:lastRow="0" w:firstColumn="0" w:lastColumn="0" w:oddVBand="0" w:evenVBand="0" w:oddHBand="0" w:evenHBand="0" w:firstRowFirstColumn="0" w:firstRowLastColumn="0" w:lastRowFirstColumn="0" w:lastRowLastColumn="0"/>
        </w:trPr>
        <w:tc>
          <w:tcPr>
            <w:tcW w:w="9198" w:type="dxa"/>
            <w:gridSpan w:val="5"/>
            <w:tcBorders>
              <w:top w:val="single" w:sz="2" w:space="0" w:color="E57200"/>
              <w:bottom w:val="single" w:sz="6" w:space="0" w:color="A6A6A6" w:themeColor="background1" w:themeShade="A6"/>
            </w:tcBorders>
            <w:shd w:val="clear" w:color="auto" w:fill="E57200"/>
          </w:tcPr>
          <w:p w14:paraId="29EBBB1C" w14:textId="77777777" w:rsidR="009D788C" w:rsidRPr="00667D0D" w:rsidRDefault="009D788C" w:rsidP="005D641A">
            <w:pPr>
              <w:pStyle w:val="Tableheader"/>
            </w:pPr>
            <w:r w:rsidRPr="00667D0D">
              <w:t>Base cost estimate (BCE)</w:t>
            </w:r>
          </w:p>
        </w:tc>
      </w:tr>
      <w:tr w:rsidR="00A44B30" w:rsidRPr="00667D0D" w14:paraId="47039960" w14:textId="77777777" w:rsidTr="005D641A">
        <w:tc>
          <w:tcPr>
            <w:tcW w:w="9198" w:type="dxa"/>
            <w:gridSpan w:val="5"/>
            <w:tcBorders>
              <w:top w:val="single" w:sz="6" w:space="0" w:color="A6A6A6" w:themeColor="background1" w:themeShade="A6"/>
              <w:bottom w:val="single" w:sz="6" w:space="0" w:color="A6A6A6" w:themeColor="background1" w:themeShade="A6"/>
            </w:tcBorders>
            <w:shd w:val="clear" w:color="auto" w:fill="FDEACC"/>
          </w:tcPr>
          <w:p w14:paraId="6C1802B4" w14:textId="77777777" w:rsidR="009D788C" w:rsidRPr="00667D0D" w:rsidRDefault="009D788C" w:rsidP="00C10719">
            <w:r w:rsidRPr="00667D0D">
              <w:rPr>
                <w:b/>
                <w:bCs/>
              </w:rPr>
              <w:t>Effective date of BCE:</w:t>
            </w:r>
            <w:r w:rsidRPr="00667D0D">
              <w:t xml:space="preserve"> dd/mm/</w:t>
            </w:r>
            <w:proofErr w:type="spellStart"/>
            <w:r w:rsidRPr="00667D0D">
              <w:t>yyyy</w:t>
            </w:r>
            <w:proofErr w:type="spellEnd"/>
          </w:p>
          <w:p w14:paraId="702CB2EA" w14:textId="77777777" w:rsidR="009D788C" w:rsidRPr="00667D0D" w:rsidRDefault="009D788C" w:rsidP="00C10719">
            <w:r w:rsidRPr="00667D0D">
              <w:rPr>
                <w:b/>
                <w:bCs/>
              </w:rPr>
              <w:t>Estimated date of commencement of construction:</w:t>
            </w:r>
            <w:r w:rsidRPr="00667D0D">
              <w:t xml:space="preserve"> dd/mm/</w:t>
            </w:r>
            <w:proofErr w:type="spellStart"/>
            <w:r w:rsidRPr="00667D0D">
              <w:t>yyyy</w:t>
            </w:r>
            <w:proofErr w:type="spellEnd"/>
          </w:p>
        </w:tc>
      </w:tr>
      <w:tr w:rsidR="00A44B30" w:rsidRPr="00667D0D" w14:paraId="28D17A50" w14:textId="77777777" w:rsidTr="005D641A">
        <w:tc>
          <w:tcPr>
            <w:tcW w:w="5595" w:type="dxa"/>
            <w:gridSpan w:val="3"/>
            <w:tcBorders>
              <w:top w:val="single" w:sz="6" w:space="0" w:color="A6A6A6" w:themeColor="background1" w:themeShade="A6"/>
              <w:bottom w:val="nil"/>
            </w:tcBorders>
            <w:shd w:val="clear" w:color="auto" w:fill="F2F2F2" w:themeFill="background1" w:themeFillShade="F2"/>
          </w:tcPr>
          <w:p w14:paraId="7F78CE04" w14:textId="77777777" w:rsidR="009D788C" w:rsidRPr="00667D0D" w:rsidRDefault="009D788C" w:rsidP="00C10719">
            <w:pPr>
              <w:tabs>
                <w:tab w:val="left" w:pos="397"/>
                <w:tab w:val="left" w:pos="567"/>
              </w:tabs>
              <w:rPr>
                <w:b/>
                <w:bCs/>
              </w:rPr>
            </w:pPr>
            <w:r w:rsidRPr="00667D0D">
              <w:rPr>
                <w:b/>
                <w:bCs/>
              </w:rPr>
              <w:t>1                Main contract</w:t>
            </w:r>
          </w:p>
        </w:tc>
        <w:tc>
          <w:tcPr>
            <w:tcW w:w="277" w:type="dxa"/>
            <w:tcBorders>
              <w:top w:val="single" w:sz="6" w:space="0" w:color="A6A6A6" w:themeColor="background1" w:themeShade="A6"/>
              <w:bottom w:val="nil"/>
            </w:tcBorders>
            <w:shd w:val="clear" w:color="auto" w:fill="F2F2F2" w:themeFill="background1" w:themeFillShade="F2"/>
          </w:tcPr>
          <w:p w14:paraId="58845F78" w14:textId="77777777" w:rsidR="009D788C" w:rsidRPr="00667D0D" w:rsidRDefault="009D788C" w:rsidP="00C10719"/>
        </w:tc>
        <w:tc>
          <w:tcPr>
            <w:tcW w:w="3326" w:type="dxa"/>
            <w:tcBorders>
              <w:top w:val="single" w:sz="6" w:space="0" w:color="A6A6A6" w:themeColor="background1" w:themeShade="A6"/>
              <w:bottom w:val="nil"/>
            </w:tcBorders>
            <w:shd w:val="clear" w:color="auto" w:fill="F2F2F2" w:themeFill="background1" w:themeFillShade="F2"/>
          </w:tcPr>
          <w:p w14:paraId="694F6DB6" w14:textId="77777777" w:rsidR="009D788C" w:rsidRPr="00667D0D" w:rsidRDefault="009D788C" w:rsidP="00C10719">
            <w:pPr>
              <w:jc w:val="right"/>
            </w:pPr>
          </w:p>
        </w:tc>
      </w:tr>
      <w:tr w:rsidR="00A44B30" w:rsidRPr="00667D0D" w14:paraId="2953772E" w14:textId="77777777" w:rsidTr="005D641A">
        <w:tc>
          <w:tcPr>
            <w:tcW w:w="5595" w:type="dxa"/>
            <w:gridSpan w:val="3"/>
            <w:tcBorders>
              <w:top w:val="single" w:sz="6" w:space="0" w:color="A6A6A6" w:themeColor="background1" w:themeShade="A6"/>
              <w:bottom w:val="nil"/>
            </w:tcBorders>
            <w:shd w:val="clear" w:color="auto" w:fill="auto"/>
          </w:tcPr>
          <w:p w14:paraId="155967FA" w14:textId="77777777" w:rsidR="009D788C" w:rsidRPr="00667D0D" w:rsidRDefault="009D788C" w:rsidP="009D788C">
            <w:pPr>
              <w:pStyle w:val="ListParagraph"/>
              <w:keepLines w:val="0"/>
              <w:numPr>
                <w:ilvl w:val="1"/>
                <w:numId w:val="43"/>
              </w:numPr>
              <w:tabs>
                <w:tab w:val="left" w:pos="397"/>
                <w:tab w:val="left" w:pos="567"/>
              </w:tabs>
              <w:spacing w:before="60" w:after="60" w:line="264" w:lineRule="auto"/>
            </w:pPr>
            <w:r w:rsidRPr="00667D0D">
              <w:t xml:space="preserve">          Contractor management</w:t>
            </w:r>
          </w:p>
        </w:tc>
        <w:tc>
          <w:tcPr>
            <w:tcW w:w="277" w:type="dxa"/>
            <w:tcBorders>
              <w:top w:val="single" w:sz="6" w:space="0" w:color="A6A6A6" w:themeColor="background1" w:themeShade="A6"/>
              <w:bottom w:val="nil"/>
            </w:tcBorders>
            <w:shd w:val="clear" w:color="auto" w:fill="auto"/>
          </w:tcPr>
          <w:p w14:paraId="21F6A75B"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0E7F171E" w14:textId="77777777" w:rsidR="009D788C" w:rsidRPr="00667D0D" w:rsidRDefault="009D788C" w:rsidP="00C10719">
            <w:pPr>
              <w:jc w:val="right"/>
            </w:pPr>
            <w:r w:rsidRPr="00667D0D">
              <w:t>0.000</w:t>
            </w:r>
          </w:p>
        </w:tc>
      </w:tr>
      <w:tr w:rsidR="00A44B30" w:rsidRPr="00667D0D" w14:paraId="7F6D093F" w14:textId="77777777" w:rsidTr="005D641A">
        <w:tc>
          <w:tcPr>
            <w:tcW w:w="5595" w:type="dxa"/>
            <w:gridSpan w:val="3"/>
            <w:tcBorders>
              <w:top w:val="single" w:sz="6" w:space="0" w:color="A6A6A6" w:themeColor="background1" w:themeShade="A6"/>
              <w:bottom w:val="nil"/>
            </w:tcBorders>
            <w:shd w:val="clear" w:color="auto" w:fill="auto"/>
          </w:tcPr>
          <w:p w14:paraId="5D1D06F3" w14:textId="77777777" w:rsidR="009D788C" w:rsidRPr="00667D0D" w:rsidRDefault="009D788C" w:rsidP="009D788C">
            <w:pPr>
              <w:pStyle w:val="ListParagraph"/>
              <w:keepLines w:val="0"/>
              <w:numPr>
                <w:ilvl w:val="1"/>
                <w:numId w:val="43"/>
              </w:numPr>
              <w:tabs>
                <w:tab w:val="left" w:pos="397"/>
                <w:tab w:val="left" w:pos="567"/>
              </w:tabs>
              <w:spacing w:before="60" w:after="60" w:line="264" w:lineRule="auto"/>
            </w:pPr>
            <w:r w:rsidRPr="00667D0D">
              <w:t xml:space="preserve">          Design</w:t>
            </w:r>
          </w:p>
        </w:tc>
        <w:tc>
          <w:tcPr>
            <w:tcW w:w="277" w:type="dxa"/>
            <w:tcBorders>
              <w:top w:val="single" w:sz="6" w:space="0" w:color="A6A6A6" w:themeColor="background1" w:themeShade="A6"/>
              <w:bottom w:val="nil"/>
            </w:tcBorders>
            <w:shd w:val="clear" w:color="auto" w:fill="auto"/>
          </w:tcPr>
          <w:p w14:paraId="3DA085AC"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5234F8D1" w14:textId="77777777" w:rsidR="009D788C" w:rsidRPr="00667D0D" w:rsidRDefault="009D788C" w:rsidP="00C10719">
            <w:pPr>
              <w:jc w:val="right"/>
            </w:pPr>
            <w:r w:rsidRPr="00667D0D">
              <w:t>0.000</w:t>
            </w:r>
          </w:p>
        </w:tc>
      </w:tr>
      <w:tr w:rsidR="00A44B30" w:rsidRPr="00667D0D" w14:paraId="55B311CB" w14:textId="77777777" w:rsidTr="005D641A">
        <w:tc>
          <w:tcPr>
            <w:tcW w:w="5595" w:type="dxa"/>
            <w:gridSpan w:val="3"/>
            <w:tcBorders>
              <w:top w:val="single" w:sz="6" w:space="0" w:color="A6A6A6" w:themeColor="background1" w:themeShade="A6"/>
              <w:bottom w:val="nil"/>
            </w:tcBorders>
            <w:shd w:val="clear" w:color="auto" w:fill="auto"/>
          </w:tcPr>
          <w:p w14:paraId="36FEAB1C" w14:textId="77777777" w:rsidR="009D788C" w:rsidRPr="00667D0D" w:rsidRDefault="009D788C" w:rsidP="009D788C">
            <w:pPr>
              <w:pStyle w:val="ListParagraph"/>
              <w:keepLines w:val="0"/>
              <w:numPr>
                <w:ilvl w:val="1"/>
                <w:numId w:val="43"/>
              </w:numPr>
              <w:tabs>
                <w:tab w:val="left" w:pos="397"/>
                <w:tab w:val="left" w:pos="567"/>
              </w:tabs>
              <w:spacing w:before="60" w:after="60" w:line="264" w:lineRule="auto"/>
            </w:pPr>
            <w:r w:rsidRPr="00667D0D">
              <w:t xml:space="preserve">          Environmental management</w:t>
            </w:r>
          </w:p>
        </w:tc>
        <w:tc>
          <w:tcPr>
            <w:tcW w:w="277" w:type="dxa"/>
            <w:tcBorders>
              <w:top w:val="single" w:sz="6" w:space="0" w:color="A6A6A6" w:themeColor="background1" w:themeShade="A6"/>
              <w:bottom w:val="nil"/>
            </w:tcBorders>
            <w:shd w:val="clear" w:color="auto" w:fill="auto"/>
          </w:tcPr>
          <w:p w14:paraId="62F71E7F"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3D59D95C" w14:textId="77777777" w:rsidR="009D788C" w:rsidRPr="00667D0D" w:rsidRDefault="009D788C" w:rsidP="00C10719">
            <w:pPr>
              <w:jc w:val="right"/>
            </w:pPr>
            <w:r w:rsidRPr="00667D0D">
              <w:t>0.000</w:t>
            </w:r>
          </w:p>
        </w:tc>
      </w:tr>
      <w:tr w:rsidR="00A44B30" w:rsidRPr="00667D0D" w14:paraId="2933DA56" w14:textId="77777777" w:rsidTr="005D641A">
        <w:tc>
          <w:tcPr>
            <w:tcW w:w="5595" w:type="dxa"/>
            <w:gridSpan w:val="3"/>
            <w:tcBorders>
              <w:top w:val="single" w:sz="6" w:space="0" w:color="A6A6A6" w:themeColor="background1" w:themeShade="A6"/>
              <w:bottom w:val="nil"/>
            </w:tcBorders>
            <w:shd w:val="clear" w:color="auto" w:fill="auto"/>
          </w:tcPr>
          <w:p w14:paraId="4F4C18CC" w14:textId="77777777" w:rsidR="009D788C" w:rsidRPr="00667D0D" w:rsidRDefault="009D788C" w:rsidP="009D788C">
            <w:pPr>
              <w:pStyle w:val="ListParagraph"/>
              <w:keepLines w:val="0"/>
              <w:numPr>
                <w:ilvl w:val="1"/>
                <w:numId w:val="43"/>
              </w:numPr>
              <w:tabs>
                <w:tab w:val="left" w:pos="397"/>
                <w:tab w:val="left" w:pos="567"/>
              </w:tabs>
              <w:spacing w:before="60" w:after="60" w:line="264" w:lineRule="auto"/>
            </w:pPr>
            <w:r w:rsidRPr="00667D0D">
              <w:t xml:space="preserve">          Cultural heritage management</w:t>
            </w:r>
          </w:p>
        </w:tc>
        <w:tc>
          <w:tcPr>
            <w:tcW w:w="277" w:type="dxa"/>
            <w:tcBorders>
              <w:top w:val="single" w:sz="6" w:space="0" w:color="A6A6A6" w:themeColor="background1" w:themeShade="A6"/>
              <w:bottom w:val="nil"/>
            </w:tcBorders>
            <w:shd w:val="clear" w:color="auto" w:fill="auto"/>
          </w:tcPr>
          <w:p w14:paraId="35602287"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44195568" w14:textId="77777777" w:rsidR="009D788C" w:rsidRPr="00667D0D" w:rsidRDefault="009D788C" w:rsidP="00C10719">
            <w:pPr>
              <w:jc w:val="right"/>
            </w:pPr>
            <w:r w:rsidRPr="00667D0D">
              <w:t>0.000</w:t>
            </w:r>
          </w:p>
        </w:tc>
      </w:tr>
      <w:tr w:rsidR="00A44B30" w:rsidRPr="00667D0D" w14:paraId="2EBB710A" w14:textId="77777777" w:rsidTr="005D641A">
        <w:tc>
          <w:tcPr>
            <w:tcW w:w="5595" w:type="dxa"/>
            <w:gridSpan w:val="3"/>
            <w:tcBorders>
              <w:top w:val="single" w:sz="6" w:space="0" w:color="A6A6A6" w:themeColor="background1" w:themeShade="A6"/>
              <w:bottom w:val="nil"/>
            </w:tcBorders>
            <w:shd w:val="clear" w:color="auto" w:fill="auto"/>
          </w:tcPr>
          <w:p w14:paraId="43C2D37E" w14:textId="77777777" w:rsidR="009D788C" w:rsidRPr="00667D0D" w:rsidRDefault="009D788C" w:rsidP="009D788C">
            <w:pPr>
              <w:pStyle w:val="ListParagraph"/>
              <w:keepLines w:val="0"/>
              <w:numPr>
                <w:ilvl w:val="1"/>
                <w:numId w:val="43"/>
              </w:numPr>
              <w:tabs>
                <w:tab w:val="left" w:pos="397"/>
                <w:tab w:val="left" w:pos="567"/>
              </w:tabs>
              <w:spacing w:before="60" w:after="60" w:line="264" w:lineRule="auto"/>
            </w:pPr>
            <w:r w:rsidRPr="00667D0D">
              <w:t xml:space="preserve">          Communications and stakeholder management</w:t>
            </w:r>
          </w:p>
        </w:tc>
        <w:tc>
          <w:tcPr>
            <w:tcW w:w="277" w:type="dxa"/>
            <w:tcBorders>
              <w:top w:val="single" w:sz="6" w:space="0" w:color="A6A6A6" w:themeColor="background1" w:themeShade="A6"/>
              <w:bottom w:val="nil"/>
            </w:tcBorders>
            <w:shd w:val="clear" w:color="auto" w:fill="auto"/>
          </w:tcPr>
          <w:p w14:paraId="24387113"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2456B9C0" w14:textId="77777777" w:rsidR="009D788C" w:rsidRPr="00667D0D" w:rsidRDefault="009D788C" w:rsidP="00C10719">
            <w:pPr>
              <w:jc w:val="right"/>
            </w:pPr>
            <w:r w:rsidRPr="00667D0D">
              <w:t>0.000</w:t>
            </w:r>
          </w:p>
        </w:tc>
      </w:tr>
      <w:tr w:rsidR="00A44B30" w:rsidRPr="00667D0D" w14:paraId="4E0F066F" w14:textId="77777777" w:rsidTr="005D641A">
        <w:tc>
          <w:tcPr>
            <w:tcW w:w="5595" w:type="dxa"/>
            <w:gridSpan w:val="3"/>
            <w:tcBorders>
              <w:top w:val="single" w:sz="6" w:space="0" w:color="A6A6A6" w:themeColor="background1" w:themeShade="A6"/>
              <w:bottom w:val="nil"/>
            </w:tcBorders>
            <w:shd w:val="clear" w:color="auto" w:fill="auto"/>
          </w:tcPr>
          <w:p w14:paraId="384147CD" w14:textId="77777777" w:rsidR="009D788C" w:rsidRPr="00667D0D" w:rsidRDefault="009D788C" w:rsidP="009D788C">
            <w:pPr>
              <w:pStyle w:val="ListParagraph"/>
              <w:keepLines w:val="0"/>
              <w:numPr>
                <w:ilvl w:val="1"/>
                <w:numId w:val="43"/>
              </w:numPr>
              <w:tabs>
                <w:tab w:val="left" w:pos="397"/>
                <w:tab w:val="left" w:pos="567"/>
              </w:tabs>
              <w:spacing w:before="60" w:after="60" w:line="264" w:lineRule="auto"/>
            </w:pPr>
            <w:r w:rsidRPr="00667D0D">
              <w:t xml:space="preserve">          Temporary works</w:t>
            </w:r>
          </w:p>
        </w:tc>
        <w:tc>
          <w:tcPr>
            <w:tcW w:w="277" w:type="dxa"/>
            <w:tcBorders>
              <w:top w:val="single" w:sz="6" w:space="0" w:color="A6A6A6" w:themeColor="background1" w:themeShade="A6"/>
              <w:bottom w:val="nil"/>
            </w:tcBorders>
            <w:shd w:val="clear" w:color="auto" w:fill="auto"/>
          </w:tcPr>
          <w:p w14:paraId="3B6C5A17"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46C8FD4C" w14:textId="77777777" w:rsidR="009D788C" w:rsidRPr="00667D0D" w:rsidRDefault="009D788C" w:rsidP="00C10719">
            <w:pPr>
              <w:jc w:val="right"/>
            </w:pPr>
            <w:r w:rsidRPr="00667D0D">
              <w:t>0.000</w:t>
            </w:r>
          </w:p>
        </w:tc>
      </w:tr>
      <w:tr w:rsidR="00A44B30" w:rsidRPr="00667D0D" w14:paraId="292424EE" w14:textId="77777777" w:rsidTr="005D641A">
        <w:tc>
          <w:tcPr>
            <w:tcW w:w="5595" w:type="dxa"/>
            <w:gridSpan w:val="3"/>
            <w:tcBorders>
              <w:top w:val="single" w:sz="6" w:space="0" w:color="A6A6A6" w:themeColor="background1" w:themeShade="A6"/>
              <w:bottom w:val="nil"/>
            </w:tcBorders>
            <w:shd w:val="clear" w:color="auto" w:fill="auto"/>
          </w:tcPr>
          <w:p w14:paraId="43501572" w14:textId="77777777" w:rsidR="009D788C" w:rsidRPr="00667D0D" w:rsidRDefault="009D788C" w:rsidP="009D788C">
            <w:pPr>
              <w:pStyle w:val="ListParagraph"/>
              <w:keepLines w:val="0"/>
              <w:numPr>
                <w:ilvl w:val="1"/>
                <w:numId w:val="43"/>
              </w:numPr>
              <w:tabs>
                <w:tab w:val="left" w:pos="397"/>
                <w:tab w:val="left" w:pos="567"/>
              </w:tabs>
              <w:spacing w:before="60" w:after="60" w:line="264" w:lineRule="auto"/>
            </w:pPr>
            <w:r w:rsidRPr="00667D0D">
              <w:t xml:space="preserve">          Utilities</w:t>
            </w:r>
          </w:p>
        </w:tc>
        <w:tc>
          <w:tcPr>
            <w:tcW w:w="277" w:type="dxa"/>
            <w:tcBorders>
              <w:top w:val="single" w:sz="6" w:space="0" w:color="A6A6A6" w:themeColor="background1" w:themeShade="A6"/>
              <w:bottom w:val="nil"/>
            </w:tcBorders>
            <w:shd w:val="clear" w:color="auto" w:fill="auto"/>
          </w:tcPr>
          <w:p w14:paraId="72538024"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0867DB18" w14:textId="77777777" w:rsidR="009D788C" w:rsidRPr="00667D0D" w:rsidRDefault="009D788C" w:rsidP="00C10719">
            <w:pPr>
              <w:jc w:val="right"/>
            </w:pPr>
            <w:r w:rsidRPr="00667D0D">
              <w:t>0.000</w:t>
            </w:r>
          </w:p>
        </w:tc>
      </w:tr>
      <w:tr w:rsidR="00A44B30" w:rsidRPr="00667D0D" w14:paraId="61FB1350" w14:textId="77777777" w:rsidTr="005D641A">
        <w:tc>
          <w:tcPr>
            <w:tcW w:w="5595" w:type="dxa"/>
            <w:gridSpan w:val="3"/>
            <w:tcBorders>
              <w:top w:val="single" w:sz="6" w:space="0" w:color="A6A6A6" w:themeColor="background1" w:themeShade="A6"/>
              <w:bottom w:val="nil"/>
            </w:tcBorders>
            <w:shd w:val="clear" w:color="auto" w:fill="auto"/>
          </w:tcPr>
          <w:p w14:paraId="07005926" w14:textId="77777777" w:rsidR="009D788C" w:rsidRPr="00667D0D" w:rsidRDefault="009D788C" w:rsidP="00C10719">
            <w:pPr>
              <w:tabs>
                <w:tab w:val="left" w:pos="397"/>
                <w:tab w:val="left" w:pos="567"/>
              </w:tabs>
            </w:pPr>
            <w:r w:rsidRPr="00667D0D">
              <w:t>1.8</w:t>
            </w:r>
            <w:r w:rsidRPr="00667D0D">
              <w:tab/>
              <w:t xml:space="preserve">          Site preparation and demolition</w:t>
            </w:r>
          </w:p>
        </w:tc>
        <w:tc>
          <w:tcPr>
            <w:tcW w:w="277" w:type="dxa"/>
            <w:tcBorders>
              <w:top w:val="single" w:sz="6" w:space="0" w:color="A6A6A6" w:themeColor="background1" w:themeShade="A6"/>
              <w:bottom w:val="nil"/>
            </w:tcBorders>
            <w:shd w:val="clear" w:color="auto" w:fill="auto"/>
          </w:tcPr>
          <w:p w14:paraId="3368C452"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55405C7F" w14:textId="77777777" w:rsidR="009D788C" w:rsidRPr="00667D0D" w:rsidRDefault="009D788C" w:rsidP="00C10719">
            <w:pPr>
              <w:jc w:val="right"/>
            </w:pPr>
            <w:r w:rsidRPr="00667D0D">
              <w:t>0.000</w:t>
            </w:r>
          </w:p>
        </w:tc>
      </w:tr>
      <w:tr w:rsidR="00A44B30" w:rsidRPr="00667D0D" w14:paraId="5AE8CB82" w14:textId="77777777" w:rsidTr="005D641A">
        <w:tc>
          <w:tcPr>
            <w:tcW w:w="5595" w:type="dxa"/>
            <w:gridSpan w:val="3"/>
            <w:tcBorders>
              <w:top w:val="single" w:sz="6" w:space="0" w:color="A6A6A6" w:themeColor="background1" w:themeShade="A6"/>
              <w:bottom w:val="nil"/>
            </w:tcBorders>
            <w:shd w:val="clear" w:color="auto" w:fill="auto"/>
          </w:tcPr>
          <w:p w14:paraId="4C0B1A2D" w14:textId="77777777" w:rsidR="009D788C" w:rsidRPr="00667D0D" w:rsidRDefault="009D788C" w:rsidP="00C10719">
            <w:pPr>
              <w:tabs>
                <w:tab w:val="left" w:pos="397"/>
                <w:tab w:val="left" w:pos="567"/>
              </w:tabs>
            </w:pPr>
            <w:r w:rsidRPr="00667D0D">
              <w:t>1.9             Earth works</w:t>
            </w:r>
          </w:p>
        </w:tc>
        <w:tc>
          <w:tcPr>
            <w:tcW w:w="277" w:type="dxa"/>
            <w:tcBorders>
              <w:top w:val="single" w:sz="6" w:space="0" w:color="A6A6A6" w:themeColor="background1" w:themeShade="A6"/>
              <w:bottom w:val="nil"/>
            </w:tcBorders>
            <w:shd w:val="clear" w:color="auto" w:fill="auto"/>
          </w:tcPr>
          <w:p w14:paraId="60F816EC"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28944F20" w14:textId="77777777" w:rsidR="009D788C" w:rsidRPr="00667D0D" w:rsidRDefault="009D788C" w:rsidP="00C10719">
            <w:pPr>
              <w:jc w:val="right"/>
            </w:pPr>
            <w:r w:rsidRPr="00667D0D">
              <w:t>0.000</w:t>
            </w:r>
          </w:p>
        </w:tc>
      </w:tr>
      <w:tr w:rsidR="00A44B30" w:rsidRPr="00667D0D" w14:paraId="600C390A" w14:textId="77777777" w:rsidTr="005D641A">
        <w:tc>
          <w:tcPr>
            <w:tcW w:w="5595" w:type="dxa"/>
            <w:gridSpan w:val="3"/>
            <w:tcBorders>
              <w:top w:val="single" w:sz="6" w:space="0" w:color="A6A6A6" w:themeColor="background1" w:themeShade="A6"/>
              <w:bottom w:val="nil"/>
            </w:tcBorders>
            <w:shd w:val="clear" w:color="auto" w:fill="auto"/>
          </w:tcPr>
          <w:p w14:paraId="59383102" w14:textId="77777777" w:rsidR="009D788C" w:rsidRPr="00667D0D" w:rsidRDefault="009D788C" w:rsidP="00C10719">
            <w:pPr>
              <w:tabs>
                <w:tab w:val="left" w:pos="397"/>
                <w:tab w:val="left" w:pos="567"/>
              </w:tabs>
            </w:pPr>
            <w:r w:rsidRPr="00667D0D">
              <w:t>1.10</w:t>
            </w:r>
            <w:r w:rsidRPr="00667D0D">
              <w:tab/>
              <w:t xml:space="preserve">          Drainage</w:t>
            </w:r>
          </w:p>
        </w:tc>
        <w:tc>
          <w:tcPr>
            <w:tcW w:w="277" w:type="dxa"/>
            <w:tcBorders>
              <w:top w:val="single" w:sz="6" w:space="0" w:color="A6A6A6" w:themeColor="background1" w:themeShade="A6"/>
              <w:bottom w:val="nil"/>
            </w:tcBorders>
            <w:shd w:val="clear" w:color="auto" w:fill="auto"/>
          </w:tcPr>
          <w:p w14:paraId="5BBCF49D"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7B011189" w14:textId="77777777" w:rsidR="009D788C" w:rsidRPr="00667D0D" w:rsidRDefault="009D788C" w:rsidP="00C10719">
            <w:pPr>
              <w:jc w:val="right"/>
            </w:pPr>
            <w:r w:rsidRPr="00667D0D">
              <w:t>0.000</w:t>
            </w:r>
          </w:p>
        </w:tc>
      </w:tr>
      <w:tr w:rsidR="00A44B30" w:rsidRPr="00667D0D" w14:paraId="2518F6EA" w14:textId="77777777" w:rsidTr="005D641A">
        <w:tc>
          <w:tcPr>
            <w:tcW w:w="5595" w:type="dxa"/>
            <w:gridSpan w:val="3"/>
            <w:tcBorders>
              <w:top w:val="single" w:sz="6" w:space="0" w:color="A6A6A6" w:themeColor="background1" w:themeShade="A6"/>
              <w:bottom w:val="nil"/>
            </w:tcBorders>
            <w:shd w:val="clear" w:color="auto" w:fill="auto"/>
          </w:tcPr>
          <w:p w14:paraId="79D6A858" w14:textId="77777777" w:rsidR="009D788C" w:rsidRPr="00667D0D" w:rsidRDefault="009D788C" w:rsidP="00C10719">
            <w:pPr>
              <w:tabs>
                <w:tab w:val="left" w:pos="397"/>
                <w:tab w:val="left" w:pos="567"/>
              </w:tabs>
            </w:pPr>
            <w:r w:rsidRPr="00667D0D">
              <w:t>1.11</w:t>
            </w:r>
            <w:r w:rsidRPr="00667D0D">
              <w:tab/>
              <w:t xml:space="preserve">          Pavement</w:t>
            </w:r>
          </w:p>
        </w:tc>
        <w:tc>
          <w:tcPr>
            <w:tcW w:w="277" w:type="dxa"/>
            <w:tcBorders>
              <w:top w:val="single" w:sz="6" w:space="0" w:color="A6A6A6" w:themeColor="background1" w:themeShade="A6"/>
              <w:bottom w:val="nil"/>
            </w:tcBorders>
            <w:shd w:val="clear" w:color="auto" w:fill="auto"/>
          </w:tcPr>
          <w:p w14:paraId="3B052630"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4F96E0C5" w14:textId="77777777" w:rsidR="009D788C" w:rsidRPr="00667D0D" w:rsidRDefault="009D788C" w:rsidP="00C10719">
            <w:pPr>
              <w:jc w:val="right"/>
            </w:pPr>
            <w:r w:rsidRPr="00667D0D">
              <w:t>0.000</w:t>
            </w:r>
          </w:p>
        </w:tc>
      </w:tr>
      <w:tr w:rsidR="00A44B30" w:rsidRPr="00667D0D" w14:paraId="01E8CE97" w14:textId="77777777" w:rsidTr="005D641A">
        <w:tc>
          <w:tcPr>
            <w:tcW w:w="5595" w:type="dxa"/>
            <w:gridSpan w:val="3"/>
            <w:tcBorders>
              <w:top w:val="single" w:sz="6" w:space="0" w:color="A6A6A6" w:themeColor="background1" w:themeShade="A6"/>
              <w:bottom w:val="nil"/>
            </w:tcBorders>
            <w:shd w:val="clear" w:color="auto" w:fill="auto"/>
          </w:tcPr>
          <w:p w14:paraId="4428EDB0" w14:textId="77777777" w:rsidR="009D788C" w:rsidRPr="00667D0D" w:rsidRDefault="009D788C" w:rsidP="00C10719">
            <w:pPr>
              <w:tabs>
                <w:tab w:val="left" w:pos="397"/>
                <w:tab w:val="left" w:pos="567"/>
              </w:tabs>
            </w:pPr>
            <w:r w:rsidRPr="00667D0D">
              <w:t>1.12           Concrete works</w:t>
            </w:r>
          </w:p>
        </w:tc>
        <w:tc>
          <w:tcPr>
            <w:tcW w:w="277" w:type="dxa"/>
            <w:tcBorders>
              <w:top w:val="single" w:sz="6" w:space="0" w:color="A6A6A6" w:themeColor="background1" w:themeShade="A6"/>
              <w:bottom w:val="nil"/>
            </w:tcBorders>
            <w:shd w:val="clear" w:color="auto" w:fill="auto"/>
          </w:tcPr>
          <w:p w14:paraId="71334643"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571B6390" w14:textId="77777777" w:rsidR="009D788C" w:rsidRPr="00667D0D" w:rsidRDefault="009D788C" w:rsidP="00C10719">
            <w:pPr>
              <w:jc w:val="right"/>
            </w:pPr>
            <w:r w:rsidRPr="00667D0D">
              <w:t>0.000</w:t>
            </w:r>
          </w:p>
        </w:tc>
      </w:tr>
      <w:tr w:rsidR="00A44B30" w:rsidRPr="00667D0D" w14:paraId="6381CF1D" w14:textId="77777777" w:rsidTr="005D641A">
        <w:tc>
          <w:tcPr>
            <w:tcW w:w="5595" w:type="dxa"/>
            <w:gridSpan w:val="3"/>
            <w:tcBorders>
              <w:top w:val="single" w:sz="6" w:space="0" w:color="A6A6A6" w:themeColor="background1" w:themeShade="A6"/>
              <w:bottom w:val="nil"/>
            </w:tcBorders>
            <w:shd w:val="clear" w:color="auto" w:fill="auto"/>
          </w:tcPr>
          <w:p w14:paraId="0C18DF80" w14:textId="77777777" w:rsidR="009D788C" w:rsidRPr="00667D0D" w:rsidRDefault="009D788C" w:rsidP="00C10719">
            <w:pPr>
              <w:tabs>
                <w:tab w:val="left" w:pos="397"/>
                <w:tab w:val="left" w:pos="567"/>
              </w:tabs>
            </w:pPr>
            <w:r w:rsidRPr="00667D0D">
              <w:t>1.13           Structures – specify</w:t>
            </w:r>
          </w:p>
        </w:tc>
        <w:tc>
          <w:tcPr>
            <w:tcW w:w="277" w:type="dxa"/>
            <w:tcBorders>
              <w:top w:val="single" w:sz="6" w:space="0" w:color="A6A6A6" w:themeColor="background1" w:themeShade="A6"/>
              <w:bottom w:val="nil"/>
            </w:tcBorders>
            <w:shd w:val="clear" w:color="auto" w:fill="auto"/>
          </w:tcPr>
          <w:p w14:paraId="3142DF6F"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6D82660F" w14:textId="77777777" w:rsidR="009D788C" w:rsidRPr="00667D0D" w:rsidRDefault="009D788C" w:rsidP="00C10719">
            <w:pPr>
              <w:jc w:val="right"/>
            </w:pPr>
            <w:r w:rsidRPr="00667D0D">
              <w:t>0.000</w:t>
            </w:r>
          </w:p>
        </w:tc>
      </w:tr>
      <w:tr w:rsidR="00A44B30" w:rsidRPr="00667D0D" w14:paraId="6A6C09F5" w14:textId="77777777" w:rsidTr="005D641A">
        <w:tc>
          <w:tcPr>
            <w:tcW w:w="5595" w:type="dxa"/>
            <w:gridSpan w:val="3"/>
            <w:tcBorders>
              <w:top w:val="single" w:sz="6" w:space="0" w:color="A6A6A6" w:themeColor="background1" w:themeShade="A6"/>
              <w:bottom w:val="nil"/>
            </w:tcBorders>
            <w:shd w:val="clear" w:color="auto" w:fill="auto"/>
          </w:tcPr>
          <w:p w14:paraId="0D5DD58E" w14:textId="77777777" w:rsidR="009D788C" w:rsidRPr="00667D0D" w:rsidRDefault="009D788C" w:rsidP="00C10719">
            <w:pPr>
              <w:tabs>
                <w:tab w:val="left" w:pos="397"/>
                <w:tab w:val="left" w:pos="567"/>
              </w:tabs>
            </w:pPr>
            <w:r w:rsidRPr="00667D0D">
              <w:t>1.14           Furniture, fittings, and equipment</w:t>
            </w:r>
          </w:p>
        </w:tc>
        <w:tc>
          <w:tcPr>
            <w:tcW w:w="277" w:type="dxa"/>
            <w:tcBorders>
              <w:top w:val="single" w:sz="6" w:space="0" w:color="A6A6A6" w:themeColor="background1" w:themeShade="A6"/>
              <w:bottom w:val="nil"/>
            </w:tcBorders>
            <w:shd w:val="clear" w:color="auto" w:fill="auto"/>
          </w:tcPr>
          <w:p w14:paraId="63D6735D"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35149B44" w14:textId="77777777" w:rsidR="009D788C" w:rsidRPr="00667D0D" w:rsidRDefault="009D788C" w:rsidP="00C10719">
            <w:pPr>
              <w:jc w:val="right"/>
            </w:pPr>
            <w:r w:rsidRPr="00667D0D">
              <w:t>0.000</w:t>
            </w:r>
          </w:p>
        </w:tc>
      </w:tr>
      <w:tr w:rsidR="00A44B30" w:rsidRPr="00667D0D" w14:paraId="52E753D3" w14:textId="77777777" w:rsidTr="005D641A">
        <w:tc>
          <w:tcPr>
            <w:tcW w:w="5595" w:type="dxa"/>
            <w:gridSpan w:val="3"/>
            <w:tcBorders>
              <w:top w:val="single" w:sz="6" w:space="0" w:color="A6A6A6" w:themeColor="background1" w:themeShade="A6"/>
              <w:bottom w:val="nil"/>
            </w:tcBorders>
            <w:shd w:val="clear" w:color="auto" w:fill="auto"/>
          </w:tcPr>
          <w:p w14:paraId="642EF6F9" w14:textId="77777777" w:rsidR="009D788C" w:rsidRPr="00667D0D" w:rsidRDefault="009D788C" w:rsidP="00C10719">
            <w:pPr>
              <w:tabs>
                <w:tab w:val="left" w:pos="397"/>
                <w:tab w:val="left" w:pos="567"/>
              </w:tabs>
            </w:pPr>
            <w:r w:rsidRPr="00667D0D">
              <w:t xml:space="preserve">1.15           Landscape </w:t>
            </w:r>
          </w:p>
        </w:tc>
        <w:tc>
          <w:tcPr>
            <w:tcW w:w="277" w:type="dxa"/>
            <w:tcBorders>
              <w:top w:val="single" w:sz="6" w:space="0" w:color="A6A6A6" w:themeColor="background1" w:themeShade="A6"/>
              <w:bottom w:val="nil"/>
            </w:tcBorders>
            <w:shd w:val="clear" w:color="auto" w:fill="auto"/>
          </w:tcPr>
          <w:p w14:paraId="78C58B97"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4D891797" w14:textId="77777777" w:rsidR="009D788C" w:rsidRPr="00667D0D" w:rsidRDefault="009D788C" w:rsidP="00C10719">
            <w:pPr>
              <w:jc w:val="right"/>
            </w:pPr>
            <w:r w:rsidRPr="00667D0D">
              <w:t>0.000</w:t>
            </w:r>
          </w:p>
        </w:tc>
      </w:tr>
      <w:tr w:rsidR="00A44B30" w:rsidRPr="00667D0D" w14:paraId="6E0EF0BF" w14:textId="77777777" w:rsidTr="005D641A">
        <w:tc>
          <w:tcPr>
            <w:tcW w:w="5595" w:type="dxa"/>
            <w:gridSpan w:val="3"/>
            <w:tcBorders>
              <w:top w:val="single" w:sz="6" w:space="0" w:color="A6A6A6" w:themeColor="background1" w:themeShade="A6"/>
              <w:bottom w:val="nil"/>
            </w:tcBorders>
            <w:shd w:val="clear" w:color="auto" w:fill="auto"/>
          </w:tcPr>
          <w:p w14:paraId="7C4BCDBF" w14:textId="77777777" w:rsidR="009D788C" w:rsidRPr="00667D0D" w:rsidRDefault="009D788C" w:rsidP="00C10719">
            <w:pPr>
              <w:tabs>
                <w:tab w:val="left" w:pos="397"/>
                <w:tab w:val="left" w:pos="567"/>
              </w:tabs>
            </w:pPr>
            <w:r w:rsidRPr="00667D0D">
              <w:t>1.16           Provisional Sums</w:t>
            </w:r>
          </w:p>
        </w:tc>
        <w:tc>
          <w:tcPr>
            <w:tcW w:w="277" w:type="dxa"/>
            <w:tcBorders>
              <w:top w:val="single" w:sz="6" w:space="0" w:color="A6A6A6" w:themeColor="background1" w:themeShade="A6"/>
              <w:bottom w:val="nil"/>
            </w:tcBorders>
            <w:shd w:val="clear" w:color="auto" w:fill="auto"/>
          </w:tcPr>
          <w:p w14:paraId="032100C4"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242713BB" w14:textId="77777777" w:rsidR="009D788C" w:rsidRPr="00667D0D" w:rsidRDefault="009D788C" w:rsidP="00C10719">
            <w:pPr>
              <w:jc w:val="right"/>
            </w:pPr>
            <w:r w:rsidRPr="00667D0D">
              <w:t>0.000</w:t>
            </w:r>
          </w:p>
        </w:tc>
      </w:tr>
      <w:tr w:rsidR="00A44B30" w:rsidRPr="00667D0D" w14:paraId="53582CFD" w14:textId="77777777" w:rsidTr="005D641A">
        <w:tc>
          <w:tcPr>
            <w:tcW w:w="5595" w:type="dxa"/>
            <w:gridSpan w:val="3"/>
            <w:tcBorders>
              <w:top w:val="single" w:sz="6" w:space="0" w:color="A6A6A6" w:themeColor="background1" w:themeShade="A6"/>
              <w:bottom w:val="nil"/>
            </w:tcBorders>
            <w:shd w:val="clear" w:color="auto" w:fill="auto"/>
          </w:tcPr>
          <w:p w14:paraId="6EF88EF6" w14:textId="77777777" w:rsidR="009D788C" w:rsidRPr="00667D0D" w:rsidRDefault="009D788C" w:rsidP="00C10719">
            <w:pPr>
              <w:tabs>
                <w:tab w:val="left" w:pos="397"/>
                <w:tab w:val="left" w:pos="567"/>
              </w:tabs>
            </w:pPr>
            <w:r w:rsidRPr="00667D0D">
              <w:t>1.17           Corporate overhead and profit</w:t>
            </w:r>
          </w:p>
        </w:tc>
        <w:tc>
          <w:tcPr>
            <w:tcW w:w="277" w:type="dxa"/>
            <w:tcBorders>
              <w:top w:val="single" w:sz="6" w:space="0" w:color="A6A6A6" w:themeColor="background1" w:themeShade="A6"/>
              <w:bottom w:val="nil"/>
            </w:tcBorders>
            <w:shd w:val="clear" w:color="auto" w:fill="auto"/>
          </w:tcPr>
          <w:p w14:paraId="50916422"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74BB546D" w14:textId="77777777" w:rsidR="009D788C" w:rsidRPr="00667D0D" w:rsidRDefault="009D788C" w:rsidP="00C10719">
            <w:pPr>
              <w:jc w:val="right"/>
            </w:pPr>
            <w:r w:rsidRPr="00667D0D">
              <w:t>0.000</w:t>
            </w:r>
          </w:p>
        </w:tc>
      </w:tr>
      <w:tr w:rsidR="00A44B30" w:rsidRPr="00667D0D" w14:paraId="553A6180" w14:textId="77777777" w:rsidTr="005D641A">
        <w:tc>
          <w:tcPr>
            <w:tcW w:w="5595" w:type="dxa"/>
            <w:gridSpan w:val="3"/>
            <w:tcBorders>
              <w:top w:val="single" w:sz="6" w:space="0" w:color="A6A6A6" w:themeColor="background1" w:themeShade="A6"/>
              <w:bottom w:val="nil"/>
            </w:tcBorders>
            <w:shd w:val="clear" w:color="auto" w:fill="auto"/>
          </w:tcPr>
          <w:p w14:paraId="6B826D92" w14:textId="77777777" w:rsidR="009D788C" w:rsidRPr="00667D0D" w:rsidRDefault="009D788C" w:rsidP="00C10719">
            <w:pPr>
              <w:tabs>
                <w:tab w:val="left" w:pos="397"/>
                <w:tab w:val="left" w:pos="567"/>
              </w:tabs>
            </w:pPr>
            <w:r w:rsidRPr="00667D0D">
              <w:t>1.18           Other – specify</w:t>
            </w:r>
          </w:p>
        </w:tc>
        <w:tc>
          <w:tcPr>
            <w:tcW w:w="277" w:type="dxa"/>
            <w:tcBorders>
              <w:top w:val="single" w:sz="6" w:space="0" w:color="A6A6A6" w:themeColor="background1" w:themeShade="A6"/>
              <w:bottom w:val="nil"/>
            </w:tcBorders>
            <w:shd w:val="clear" w:color="auto" w:fill="auto"/>
          </w:tcPr>
          <w:p w14:paraId="05B26916"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28762BF6" w14:textId="77777777" w:rsidR="009D788C" w:rsidRPr="00667D0D" w:rsidRDefault="009D788C" w:rsidP="00C10719">
            <w:pPr>
              <w:jc w:val="right"/>
            </w:pPr>
            <w:r w:rsidRPr="00667D0D">
              <w:t>0.000</w:t>
            </w:r>
          </w:p>
        </w:tc>
      </w:tr>
      <w:tr w:rsidR="00A44B30" w:rsidRPr="00667D0D" w14:paraId="27DA5F5F" w14:textId="77777777" w:rsidTr="005D641A">
        <w:tc>
          <w:tcPr>
            <w:tcW w:w="5595" w:type="dxa"/>
            <w:gridSpan w:val="3"/>
            <w:tcBorders>
              <w:top w:val="single" w:sz="6" w:space="0" w:color="A6A6A6" w:themeColor="background1" w:themeShade="A6"/>
              <w:bottom w:val="nil"/>
            </w:tcBorders>
            <w:shd w:val="clear" w:color="auto" w:fill="auto"/>
          </w:tcPr>
          <w:p w14:paraId="748D2428" w14:textId="77777777" w:rsidR="009D788C" w:rsidRPr="00667D0D" w:rsidRDefault="009D788C" w:rsidP="00C10719">
            <w:pPr>
              <w:tabs>
                <w:tab w:val="left" w:pos="397"/>
                <w:tab w:val="left" w:pos="567"/>
              </w:tabs>
            </w:pPr>
            <w:r w:rsidRPr="00667D0D">
              <w:t>1.19           Other – specify</w:t>
            </w:r>
          </w:p>
        </w:tc>
        <w:tc>
          <w:tcPr>
            <w:tcW w:w="277" w:type="dxa"/>
            <w:tcBorders>
              <w:top w:val="single" w:sz="6" w:space="0" w:color="A6A6A6" w:themeColor="background1" w:themeShade="A6"/>
              <w:bottom w:val="nil"/>
            </w:tcBorders>
            <w:shd w:val="clear" w:color="auto" w:fill="auto"/>
          </w:tcPr>
          <w:p w14:paraId="65B10638"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53487D91" w14:textId="77777777" w:rsidR="009D788C" w:rsidRPr="00667D0D" w:rsidRDefault="009D788C" w:rsidP="00C10719">
            <w:pPr>
              <w:jc w:val="right"/>
            </w:pPr>
            <w:r w:rsidRPr="00667D0D">
              <w:t>0.000</w:t>
            </w:r>
          </w:p>
        </w:tc>
      </w:tr>
      <w:tr w:rsidR="00A44B30" w:rsidRPr="00667D0D" w14:paraId="1A042DF0" w14:textId="77777777" w:rsidTr="005D641A">
        <w:tc>
          <w:tcPr>
            <w:tcW w:w="5595" w:type="dxa"/>
            <w:gridSpan w:val="3"/>
            <w:tcBorders>
              <w:top w:val="single" w:sz="6" w:space="0" w:color="A6A6A6" w:themeColor="background1" w:themeShade="A6"/>
              <w:bottom w:val="nil"/>
            </w:tcBorders>
            <w:shd w:val="clear" w:color="auto" w:fill="auto"/>
          </w:tcPr>
          <w:p w14:paraId="43712769" w14:textId="77777777" w:rsidR="009D788C" w:rsidRPr="00667D0D" w:rsidRDefault="009D788C" w:rsidP="00C10719">
            <w:pPr>
              <w:tabs>
                <w:tab w:val="left" w:pos="397"/>
                <w:tab w:val="left" w:pos="567"/>
              </w:tabs>
            </w:pPr>
            <w:r w:rsidRPr="00667D0D">
              <w:t>1.20           Other – specify</w:t>
            </w:r>
          </w:p>
        </w:tc>
        <w:tc>
          <w:tcPr>
            <w:tcW w:w="277" w:type="dxa"/>
            <w:tcBorders>
              <w:top w:val="single" w:sz="6" w:space="0" w:color="A6A6A6" w:themeColor="background1" w:themeShade="A6"/>
              <w:bottom w:val="nil"/>
            </w:tcBorders>
            <w:shd w:val="clear" w:color="auto" w:fill="auto"/>
          </w:tcPr>
          <w:p w14:paraId="6701BF8F"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491EB7AD" w14:textId="77777777" w:rsidR="009D788C" w:rsidRPr="00667D0D" w:rsidRDefault="009D788C" w:rsidP="00C10719">
            <w:pPr>
              <w:jc w:val="right"/>
            </w:pPr>
            <w:r w:rsidRPr="00667D0D">
              <w:t>0.000</w:t>
            </w:r>
          </w:p>
        </w:tc>
      </w:tr>
      <w:tr w:rsidR="00A44B30" w:rsidRPr="00667D0D" w14:paraId="5F6E15AC" w14:textId="77777777" w:rsidTr="005D641A">
        <w:tc>
          <w:tcPr>
            <w:tcW w:w="5595" w:type="dxa"/>
            <w:gridSpan w:val="3"/>
            <w:tcBorders>
              <w:top w:val="single" w:sz="6" w:space="0" w:color="A6A6A6" w:themeColor="background1" w:themeShade="A6"/>
              <w:bottom w:val="nil"/>
            </w:tcBorders>
            <w:shd w:val="clear" w:color="auto" w:fill="auto"/>
          </w:tcPr>
          <w:p w14:paraId="5904ECAB" w14:textId="77777777" w:rsidR="009D788C" w:rsidRPr="00667D0D" w:rsidRDefault="009D788C" w:rsidP="00C10719">
            <w:pPr>
              <w:tabs>
                <w:tab w:val="left" w:pos="397"/>
                <w:tab w:val="left" w:pos="567"/>
              </w:tabs>
            </w:pPr>
            <w:r w:rsidRPr="00667D0D">
              <w:t>1.21           Other – specify</w:t>
            </w:r>
          </w:p>
        </w:tc>
        <w:tc>
          <w:tcPr>
            <w:tcW w:w="277" w:type="dxa"/>
            <w:tcBorders>
              <w:top w:val="single" w:sz="6" w:space="0" w:color="A6A6A6" w:themeColor="background1" w:themeShade="A6"/>
              <w:bottom w:val="nil"/>
            </w:tcBorders>
            <w:shd w:val="clear" w:color="auto" w:fill="auto"/>
          </w:tcPr>
          <w:p w14:paraId="2CF8446C"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4B65B714" w14:textId="77777777" w:rsidR="009D788C" w:rsidRPr="00667D0D" w:rsidRDefault="009D788C" w:rsidP="00C10719">
            <w:pPr>
              <w:jc w:val="right"/>
            </w:pPr>
            <w:r w:rsidRPr="00667D0D">
              <w:t>0.000</w:t>
            </w:r>
          </w:p>
        </w:tc>
      </w:tr>
      <w:tr w:rsidR="00A44B30" w:rsidRPr="00667D0D" w14:paraId="39A7F5DF" w14:textId="77777777" w:rsidTr="005D641A">
        <w:tc>
          <w:tcPr>
            <w:tcW w:w="5595" w:type="dxa"/>
            <w:gridSpan w:val="3"/>
            <w:tcBorders>
              <w:top w:val="single" w:sz="6" w:space="0" w:color="A6A6A6" w:themeColor="background1" w:themeShade="A6"/>
              <w:bottom w:val="nil"/>
            </w:tcBorders>
            <w:shd w:val="clear" w:color="auto" w:fill="auto"/>
          </w:tcPr>
          <w:p w14:paraId="1F78F08B" w14:textId="77777777" w:rsidR="009D788C" w:rsidRPr="00667D0D" w:rsidRDefault="009D788C" w:rsidP="00C10719">
            <w:pPr>
              <w:tabs>
                <w:tab w:val="left" w:pos="397"/>
                <w:tab w:val="left" w:pos="567"/>
              </w:tabs>
            </w:pPr>
            <w:r w:rsidRPr="00667D0D">
              <w:rPr>
                <w:b/>
              </w:rPr>
              <w:t>Subtotal – Main contract</w:t>
            </w:r>
          </w:p>
        </w:tc>
        <w:tc>
          <w:tcPr>
            <w:tcW w:w="277" w:type="dxa"/>
            <w:tcBorders>
              <w:top w:val="single" w:sz="6" w:space="0" w:color="A6A6A6" w:themeColor="background1" w:themeShade="A6"/>
              <w:bottom w:val="nil"/>
            </w:tcBorders>
            <w:shd w:val="clear" w:color="auto" w:fill="auto"/>
          </w:tcPr>
          <w:p w14:paraId="7DB0B4BF"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7F1302B0" w14:textId="77777777" w:rsidR="009D788C" w:rsidRPr="00667D0D" w:rsidRDefault="009D788C" w:rsidP="00C10719">
            <w:pPr>
              <w:jc w:val="right"/>
            </w:pPr>
            <w:r w:rsidRPr="00667D0D">
              <w:rPr>
                <w:b/>
              </w:rPr>
              <w:t>0.000</w:t>
            </w:r>
          </w:p>
        </w:tc>
      </w:tr>
      <w:tr w:rsidR="00A44B30" w:rsidRPr="00667D0D" w14:paraId="741D8B8E" w14:textId="77777777" w:rsidTr="005D641A">
        <w:tc>
          <w:tcPr>
            <w:tcW w:w="5595" w:type="dxa"/>
            <w:gridSpan w:val="3"/>
            <w:tcBorders>
              <w:top w:val="single" w:sz="6" w:space="0" w:color="A6A6A6" w:themeColor="background1" w:themeShade="A6"/>
              <w:bottom w:val="nil"/>
            </w:tcBorders>
            <w:shd w:val="clear" w:color="auto" w:fill="F2F2F2" w:themeFill="background1" w:themeFillShade="F2"/>
          </w:tcPr>
          <w:p w14:paraId="1AC7C2B1" w14:textId="77777777" w:rsidR="009D788C" w:rsidRPr="00667D0D" w:rsidRDefault="009D788C" w:rsidP="00C10719">
            <w:pPr>
              <w:tabs>
                <w:tab w:val="left" w:pos="397"/>
                <w:tab w:val="left" w:pos="567"/>
              </w:tabs>
              <w:rPr>
                <w:b/>
                <w:bCs/>
              </w:rPr>
            </w:pPr>
            <w:r w:rsidRPr="00667D0D">
              <w:rPr>
                <w:b/>
                <w:bCs/>
              </w:rPr>
              <w:t xml:space="preserve">2 </w:t>
            </w:r>
            <w:r w:rsidRPr="00667D0D">
              <w:t xml:space="preserve">               </w:t>
            </w:r>
            <w:r w:rsidRPr="00667D0D">
              <w:rPr>
                <w:b/>
                <w:bCs/>
              </w:rPr>
              <w:t>Minor works</w:t>
            </w:r>
          </w:p>
        </w:tc>
        <w:tc>
          <w:tcPr>
            <w:tcW w:w="277" w:type="dxa"/>
            <w:tcBorders>
              <w:top w:val="single" w:sz="6" w:space="0" w:color="A6A6A6" w:themeColor="background1" w:themeShade="A6"/>
              <w:bottom w:val="nil"/>
            </w:tcBorders>
            <w:shd w:val="clear" w:color="auto" w:fill="F2F2F2" w:themeFill="background1" w:themeFillShade="F2"/>
          </w:tcPr>
          <w:p w14:paraId="7C84CCE0" w14:textId="77777777" w:rsidR="009D788C" w:rsidRPr="00667D0D" w:rsidRDefault="009D788C" w:rsidP="00C10719"/>
        </w:tc>
        <w:tc>
          <w:tcPr>
            <w:tcW w:w="3326" w:type="dxa"/>
            <w:tcBorders>
              <w:top w:val="single" w:sz="6" w:space="0" w:color="A6A6A6" w:themeColor="background1" w:themeShade="A6"/>
              <w:bottom w:val="nil"/>
            </w:tcBorders>
            <w:shd w:val="clear" w:color="auto" w:fill="F2F2F2" w:themeFill="background1" w:themeFillShade="F2"/>
          </w:tcPr>
          <w:p w14:paraId="0DB49FA5" w14:textId="77777777" w:rsidR="009D788C" w:rsidRPr="00667D0D" w:rsidRDefault="009D788C" w:rsidP="00C10719">
            <w:pPr>
              <w:jc w:val="right"/>
            </w:pPr>
          </w:p>
        </w:tc>
      </w:tr>
      <w:tr w:rsidR="00A44B30" w:rsidRPr="00667D0D" w14:paraId="068956A5" w14:textId="77777777" w:rsidTr="005D641A">
        <w:tc>
          <w:tcPr>
            <w:tcW w:w="5595" w:type="dxa"/>
            <w:gridSpan w:val="3"/>
            <w:tcBorders>
              <w:top w:val="single" w:sz="6" w:space="0" w:color="A6A6A6" w:themeColor="background1" w:themeShade="A6"/>
              <w:bottom w:val="nil"/>
            </w:tcBorders>
            <w:shd w:val="clear" w:color="auto" w:fill="auto"/>
          </w:tcPr>
          <w:p w14:paraId="431D0A49" w14:textId="77777777" w:rsidR="009D788C" w:rsidRPr="00667D0D" w:rsidRDefault="009D788C" w:rsidP="00C10719">
            <w:pPr>
              <w:tabs>
                <w:tab w:val="left" w:pos="397"/>
                <w:tab w:val="left" w:pos="567"/>
              </w:tabs>
            </w:pPr>
            <w:r w:rsidRPr="00667D0D">
              <w:t>2.1</w:t>
            </w:r>
            <w:r w:rsidRPr="00667D0D">
              <w:tab/>
              <w:t xml:space="preserve">          Net gain offsets</w:t>
            </w:r>
          </w:p>
        </w:tc>
        <w:tc>
          <w:tcPr>
            <w:tcW w:w="277" w:type="dxa"/>
            <w:tcBorders>
              <w:top w:val="single" w:sz="6" w:space="0" w:color="A6A6A6" w:themeColor="background1" w:themeShade="A6"/>
              <w:bottom w:val="nil"/>
            </w:tcBorders>
            <w:shd w:val="clear" w:color="auto" w:fill="auto"/>
          </w:tcPr>
          <w:p w14:paraId="4C2063AB"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119C6619" w14:textId="77777777" w:rsidR="009D788C" w:rsidRPr="00667D0D" w:rsidRDefault="009D788C" w:rsidP="00C10719">
            <w:pPr>
              <w:jc w:val="right"/>
            </w:pPr>
            <w:r w:rsidRPr="00667D0D">
              <w:t>0.000</w:t>
            </w:r>
          </w:p>
        </w:tc>
      </w:tr>
      <w:tr w:rsidR="00A44B30" w:rsidRPr="00667D0D" w14:paraId="6663C905" w14:textId="77777777" w:rsidTr="005D641A">
        <w:tc>
          <w:tcPr>
            <w:tcW w:w="5595" w:type="dxa"/>
            <w:gridSpan w:val="3"/>
            <w:tcBorders>
              <w:top w:val="single" w:sz="6" w:space="0" w:color="A6A6A6" w:themeColor="background1" w:themeShade="A6"/>
              <w:bottom w:val="nil"/>
            </w:tcBorders>
            <w:shd w:val="clear" w:color="auto" w:fill="auto"/>
          </w:tcPr>
          <w:p w14:paraId="48B6E1E0" w14:textId="77777777" w:rsidR="009D788C" w:rsidRPr="00667D0D" w:rsidRDefault="009D788C" w:rsidP="00C10719">
            <w:pPr>
              <w:tabs>
                <w:tab w:val="left" w:pos="397"/>
                <w:tab w:val="left" w:pos="567"/>
              </w:tabs>
            </w:pPr>
            <w:r w:rsidRPr="00667D0D">
              <w:t>2.2</w:t>
            </w:r>
            <w:r w:rsidRPr="00667D0D">
              <w:tab/>
              <w:t xml:space="preserve">          Insurance – specify</w:t>
            </w:r>
          </w:p>
        </w:tc>
        <w:tc>
          <w:tcPr>
            <w:tcW w:w="277" w:type="dxa"/>
            <w:tcBorders>
              <w:top w:val="single" w:sz="6" w:space="0" w:color="A6A6A6" w:themeColor="background1" w:themeShade="A6"/>
              <w:bottom w:val="nil"/>
            </w:tcBorders>
            <w:shd w:val="clear" w:color="auto" w:fill="auto"/>
          </w:tcPr>
          <w:p w14:paraId="2B043301"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5B258507" w14:textId="77777777" w:rsidR="009D788C" w:rsidRPr="00667D0D" w:rsidRDefault="009D788C" w:rsidP="00C10719">
            <w:pPr>
              <w:jc w:val="right"/>
            </w:pPr>
            <w:r w:rsidRPr="00667D0D">
              <w:t>0.000</w:t>
            </w:r>
          </w:p>
        </w:tc>
      </w:tr>
      <w:tr w:rsidR="00A44B30" w:rsidRPr="00667D0D" w14:paraId="6B44BCA4" w14:textId="77777777" w:rsidTr="005D641A">
        <w:tc>
          <w:tcPr>
            <w:tcW w:w="5595" w:type="dxa"/>
            <w:gridSpan w:val="3"/>
            <w:tcBorders>
              <w:top w:val="single" w:sz="6" w:space="0" w:color="A6A6A6" w:themeColor="background1" w:themeShade="A6"/>
              <w:bottom w:val="nil"/>
            </w:tcBorders>
            <w:shd w:val="clear" w:color="auto" w:fill="auto"/>
          </w:tcPr>
          <w:p w14:paraId="00EF19E0" w14:textId="77777777" w:rsidR="009D788C" w:rsidRPr="00667D0D" w:rsidRDefault="009D788C" w:rsidP="00C10719">
            <w:pPr>
              <w:tabs>
                <w:tab w:val="left" w:pos="397"/>
                <w:tab w:val="left" w:pos="567"/>
              </w:tabs>
            </w:pPr>
            <w:r w:rsidRPr="00667D0D">
              <w:t>2.3</w:t>
            </w:r>
            <w:r w:rsidRPr="00667D0D">
              <w:tab/>
              <w:t xml:space="preserve">          Operator/Stakeholder costs</w:t>
            </w:r>
          </w:p>
        </w:tc>
        <w:tc>
          <w:tcPr>
            <w:tcW w:w="277" w:type="dxa"/>
            <w:tcBorders>
              <w:top w:val="single" w:sz="6" w:space="0" w:color="A6A6A6" w:themeColor="background1" w:themeShade="A6"/>
              <w:bottom w:val="nil"/>
            </w:tcBorders>
            <w:shd w:val="clear" w:color="auto" w:fill="auto"/>
          </w:tcPr>
          <w:p w14:paraId="6FC069BC"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43A53674" w14:textId="77777777" w:rsidR="009D788C" w:rsidRPr="00667D0D" w:rsidRDefault="009D788C" w:rsidP="00C10719">
            <w:pPr>
              <w:jc w:val="right"/>
            </w:pPr>
            <w:r w:rsidRPr="00667D0D">
              <w:t>0.000</w:t>
            </w:r>
          </w:p>
        </w:tc>
      </w:tr>
      <w:tr w:rsidR="00A44B30" w:rsidRPr="00667D0D" w14:paraId="76359ED2" w14:textId="77777777" w:rsidTr="005D641A">
        <w:tc>
          <w:tcPr>
            <w:tcW w:w="5595" w:type="dxa"/>
            <w:gridSpan w:val="3"/>
            <w:tcBorders>
              <w:top w:val="single" w:sz="6" w:space="0" w:color="A6A6A6" w:themeColor="background1" w:themeShade="A6"/>
              <w:bottom w:val="nil"/>
            </w:tcBorders>
            <w:shd w:val="clear" w:color="auto" w:fill="auto"/>
          </w:tcPr>
          <w:p w14:paraId="4EBC63ED" w14:textId="77777777" w:rsidR="009D788C" w:rsidRPr="00667D0D" w:rsidRDefault="009D788C" w:rsidP="00C10719">
            <w:pPr>
              <w:tabs>
                <w:tab w:val="left" w:pos="397"/>
                <w:tab w:val="left" w:pos="567"/>
              </w:tabs>
            </w:pPr>
            <w:r w:rsidRPr="00667D0D">
              <w:t>2.4</w:t>
            </w:r>
            <w:r w:rsidRPr="00667D0D">
              <w:tab/>
              <w:t xml:space="preserve">          Other – specify</w:t>
            </w:r>
          </w:p>
        </w:tc>
        <w:tc>
          <w:tcPr>
            <w:tcW w:w="277" w:type="dxa"/>
            <w:tcBorders>
              <w:top w:val="single" w:sz="6" w:space="0" w:color="A6A6A6" w:themeColor="background1" w:themeShade="A6"/>
              <w:bottom w:val="nil"/>
            </w:tcBorders>
            <w:shd w:val="clear" w:color="auto" w:fill="auto"/>
          </w:tcPr>
          <w:p w14:paraId="2C526D11"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712EE337" w14:textId="77777777" w:rsidR="009D788C" w:rsidRPr="00667D0D" w:rsidRDefault="009D788C" w:rsidP="00C10719">
            <w:pPr>
              <w:jc w:val="right"/>
            </w:pPr>
            <w:r w:rsidRPr="00667D0D">
              <w:t>0.000</w:t>
            </w:r>
          </w:p>
        </w:tc>
      </w:tr>
      <w:tr w:rsidR="00A44B30" w:rsidRPr="00667D0D" w14:paraId="0B0C254A" w14:textId="77777777" w:rsidTr="005D641A">
        <w:tc>
          <w:tcPr>
            <w:tcW w:w="5595" w:type="dxa"/>
            <w:gridSpan w:val="3"/>
            <w:tcBorders>
              <w:top w:val="single" w:sz="6" w:space="0" w:color="A6A6A6" w:themeColor="background1" w:themeShade="A6"/>
              <w:bottom w:val="nil"/>
            </w:tcBorders>
            <w:shd w:val="clear" w:color="auto" w:fill="auto"/>
          </w:tcPr>
          <w:p w14:paraId="6DF145A7" w14:textId="77777777" w:rsidR="009D788C" w:rsidRPr="00667D0D" w:rsidRDefault="009D788C" w:rsidP="00C10719">
            <w:pPr>
              <w:tabs>
                <w:tab w:val="left" w:pos="397"/>
                <w:tab w:val="left" w:pos="567"/>
              </w:tabs>
            </w:pPr>
            <w:r w:rsidRPr="00667D0D">
              <w:rPr>
                <w:b/>
              </w:rPr>
              <w:t>Subtotal – Minor works</w:t>
            </w:r>
          </w:p>
        </w:tc>
        <w:tc>
          <w:tcPr>
            <w:tcW w:w="277" w:type="dxa"/>
            <w:tcBorders>
              <w:top w:val="single" w:sz="6" w:space="0" w:color="A6A6A6" w:themeColor="background1" w:themeShade="A6"/>
              <w:bottom w:val="nil"/>
            </w:tcBorders>
            <w:shd w:val="clear" w:color="auto" w:fill="auto"/>
          </w:tcPr>
          <w:p w14:paraId="5C09FB52"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05FB691C" w14:textId="77777777" w:rsidR="009D788C" w:rsidRPr="00667D0D" w:rsidRDefault="009D788C" w:rsidP="00C10719">
            <w:pPr>
              <w:jc w:val="right"/>
            </w:pPr>
            <w:r w:rsidRPr="00667D0D">
              <w:rPr>
                <w:b/>
              </w:rPr>
              <w:t>0.000</w:t>
            </w:r>
          </w:p>
        </w:tc>
      </w:tr>
      <w:tr w:rsidR="00A44B30" w:rsidRPr="00667D0D" w14:paraId="7106034D" w14:textId="77777777" w:rsidTr="005D641A">
        <w:tc>
          <w:tcPr>
            <w:tcW w:w="5595" w:type="dxa"/>
            <w:gridSpan w:val="3"/>
            <w:tcBorders>
              <w:top w:val="single" w:sz="6" w:space="0" w:color="A6A6A6" w:themeColor="background1" w:themeShade="A6"/>
              <w:bottom w:val="nil"/>
            </w:tcBorders>
            <w:shd w:val="clear" w:color="auto" w:fill="F2F2F2" w:themeFill="background1" w:themeFillShade="F2"/>
          </w:tcPr>
          <w:p w14:paraId="19CC617C" w14:textId="77777777" w:rsidR="009D788C" w:rsidRPr="00667D0D" w:rsidRDefault="009D788C" w:rsidP="00C10719">
            <w:pPr>
              <w:tabs>
                <w:tab w:val="left" w:pos="397"/>
                <w:tab w:val="left" w:pos="567"/>
              </w:tabs>
              <w:rPr>
                <w:b/>
                <w:bCs/>
              </w:rPr>
            </w:pPr>
            <w:r w:rsidRPr="00667D0D">
              <w:rPr>
                <w:b/>
                <w:bCs/>
              </w:rPr>
              <w:t>3                Land acquisition</w:t>
            </w:r>
          </w:p>
        </w:tc>
        <w:tc>
          <w:tcPr>
            <w:tcW w:w="277" w:type="dxa"/>
            <w:tcBorders>
              <w:top w:val="single" w:sz="6" w:space="0" w:color="A6A6A6" w:themeColor="background1" w:themeShade="A6"/>
              <w:bottom w:val="nil"/>
            </w:tcBorders>
            <w:shd w:val="clear" w:color="auto" w:fill="F2F2F2" w:themeFill="background1" w:themeFillShade="F2"/>
          </w:tcPr>
          <w:p w14:paraId="50C49D93" w14:textId="77777777" w:rsidR="009D788C" w:rsidRPr="00667D0D" w:rsidRDefault="009D788C" w:rsidP="00C10719"/>
        </w:tc>
        <w:tc>
          <w:tcPr>
            <w:tcW w:w="3326" w:type="dxa"/>
            <w:tcBorders>
              <w:top w:val="single" w:sz="6" w:space="0" w:color="A6A6A6" w:themeColor="background1" w:themeShade="A6"/>
              <w:bottom w:val="nil"/>
            </w:tcBorders>
            <w:shd w:val="clear" w:color="auto" w:fill="F2F2F2" w:themeFill="background1" w:themeFillShade="F2"/>
          </w:tcPr>
          <w:p w14:paraId="21DDEDD7" w14:textId="77777777" w:rsidR="009D788C" w:rsidRPr="00667D0D" w:rsidRDefault="009D788C" w:rsidP="00C10719">
            <w:pPr>
              <w:jc w:val="right"/>
            </w:pPr>
          </w:p>
        </w:tc>
      </w:tr>
      <w:tr w:rsidR="00A44B30" w:rsidRPr="00667D0D" w14:paraId="0303C54A" w14:textId="77777777" w:rsidTr="005D641A">
        <w:tc>
          <w:tcPr>
            <w:tcW w:w="5595" w:type="dxa"/>
            <w:gridSpan w:val="3"/>
            <w:tcBorders>
              <w:top w:val="single" w:sz="6" w:space="0" w:color="A6A6A6" w:themeColor="background1" w:themeShade="A6"/>
              <w:bottom w:val="nil"/>
            </w:tcBorders>
            <w:shd w:val="clear" w:color="auto" w:fill="auto"/>
          </w:tcPr>
          <w:p w14:paraId="6A77184E" w14:textId="77777777" w:rsidR="009D788C" w:rsidRPr="00667D0D" w:rsidRDefault="009D788C" w:rsidP="00C10719">
            <w:pPr>
              <w:tabs>
                <w:tab w:val="left" w:pos="397"/>
                <w:tab w:val="left" w:pos="567"/>
              </w:tabs>
            </w:pPr>
            <w:r w:rsidRPr="00667D0D">
              <w:lastRenderedPageBreak/>
              <w:t>3.1</w:t>
            </w:r>
            <w:r w:rsidRPr="00667D0D">
              <w:tab/>
              <w:t xml:space="preserve">          Land acquisition</w:t>
            </w:r>
          </w:p>
        </w:tc>
        <w:tc>
          <w:tcPr>
            <w:tcW w:w="277" w:type="dxa"/>
            <w:tcBorders>
              <w:top w:val="single" w:sz="6" w:space="0" w:color="A6A6A6" w:themeColor="background1" w:themeShade="A6"/>
              <w:bottom w:val="nil"/>
            </w:tcBorders>
            <w:shd w:val="clear" w:color="auto" w:fill="auto"/>
          </w:tcPr>
          <w:p w14:paraId="75EC488A"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04A7DF08" w14:textId="77777777" w:rsidR="009D788C" w:rsidRPr="00667D0D" w:rsidRDefault="009D788C" w:rsidP="00C10719">
            <w:pPr>
              <w:jc w:val="right"/>
            </w:pPr>
            <w:r w:rsidRPr="00667D0D">
              <w:t>0.000</w:t>
            </w:r>
          </w:p>
        </w:tc>
      </w:tr>
      <w:tr w:rsidR="00A44B30" w:rsidRPr="00667D0D" w14:paraId="6EBB493A" w14:textId="77777777" w:rsidTr="005D641A">
        <w:tc>
          <w:tcPr>
            <w:tcW w:w="5595" w:type="dxa"/>
            <w:gridSpan w:val="3"/>
            <w:tcBorders>
              <w:top w:val="single" w:sz="6" w:space="0" w:color="A6A6A6" w:themeColor="background1" w:themeShade="A6"/>
              <w:bottom w:val="nil"/>
            </w:tcBorders>
            <w:shd w:val="clear" w:color="auto" w:fill="auto"/>
          </w:tcPr>
          <w:p w14:paraId="76EE2F95" w14:textId="77777777" w:rsidR="009D788C" w:rsidRPr="00667D0D" w:rsidRDefault="009D788C" w:rsidP="00C10719">
            <w:pPr>
              <w:tabs>
                <w:tab w:val="left" w:pos="397"/>
                <w:tab w:val="left" w:pos="567"/>
              </w:tabs>
            </w:pPr>
            <w:r w:rsidRPr="00667D0D">
              <w:rPr>
                <w:b/>
              </w:rPr>
              <w:t>Subtotal – Land acquisition</w:t>
            </w:r>
          </w:p>
        </w:tc>
        <w:tc>
          <w:tcPr>
            <w:tcW w:w="277" w:type="dxa"/>
            <w:tcBorders>
              <w:top w:val="single" w:sz="6" w:space="0" w:color="A6A6A6" w:themeColor="background1" w:themeShade="A6"/>
              <w:bottom w:val="nil"/>
            </w:tcBorders>
            <w:shd w:val="clear" w:color="auto" w:fill="auto"/>
          </w:tcPr>
          <w:p w14:paraId="2AA45CB1" w14:textId="77777777" w:rsidR="009D788C" w:rsidRPr="00667D0D" w:rsidRDefault="009D788C" w:rsidP="00C10719"/>
        </w:tc>
        <w:tc>
          <w:tcPr>
            <w:tcW w:w="3326" w:type="dxa"/>
            <w:tcBorders>
              <w:top w:val="single" w:sz="6" w:space="0" w:color="A6A6A6" w:themeColor="background1" w:themeShade="A6"/>
              <w:bottom w:val="nil"/>
            </w:tcBorders>
            <w:shd w:val="clear" w:color="auto" w:fill="auto"/>
          </w:tcPr>
          <w:p w14:paraId="7E84CBFD" w14:textId="77777777" w:rsidR="009D788C" w:rsidRPr="00667D0D" w:rsidRDefault="009D788C" w:rsidP="00C10719">
            <w:pPr>
              <w:jc w:val="right"/>
            </w:pPr>
            <w:r w:rsidRPr="00667D0D">
              <w:rPr>
                <w:b/>
              </w:rPr>
              <w:t>0.000</w:t>
            </w:r>
          </w:p>
        </w:tc>
      </w:tr>
      <w:tr w:rsidR="00A44B30" w:rsidRPr="00667D0D" w14:paraId="2C818C2F" w14:textId="77777777" w:rsidTr="005D641A">
        <w:tc>
          <w:tcPr>
            <w:tcW w:w="4053" w:type="dxa"/>
            <w:tcBorders>
              <w:top w:val="single" w:sz="6" w:space="0" w:color="A6A6A6" w:themeColor="background1" w:themeShade="A6"/>
              <w:bottom w:val="nil"/>
            </w:tcBorders>
            <w:shd w:val="clear" w:color="auto" w:fill="F2F2F2" w:themeFill="background1" w:themeFillShade="F2"/>
          </w:tcPr>
          <w:p w14:paraId="5D1E955B" w14:textId="77777777" w:rsidR="009D788C" w:rsidRPr="00667D0D" w:rsidRDefault="009D788C" w:rsidP="00C10719">
            <w:pPr>
              <w:tabs>
                <w:tab w:val="left" w:pos="397"/>
              </w:tabs>
            </w:pPr>
            <w:r w:rsidRPr="00667D0D">
              <w:rPr>
                <w:b/>
                <w:bCs/>
              </w:rPr>
              <w:t>4                Project owner costs</w:t>
            </w:r>
          </w:p>
        </w:tc>
        <w:tc>
          <w:tcPr>
            <w:tcW w:w="136" w:type="dxa"/>
            <w:tcBorders>
              <w:top w:val="single" w:sz="6" w:space="0" w:color="A6A6A6" w:themeColor="background1" w:themeShade="A6"/>
              <w:bottom w:val="nil"/>
            </w:tcBorders>
            <w:shd w:val="clear" w:color="auto" w:fill="F2F2F2" w:themeFill="background1" w:themeFillShade="F2"/>
          </w:tcPr>
          <w:p w14:paraId="7954B7E5" w14:textId="77777777" w:rsidR="009D788C" w:rsidRPr="00667D0D" w:rsidRDefault="009D788C" w:rsidP="00C10719"/>
        </w:tc>
        <w:tc>
          <w:tcPr>
            <w:tcW w:w="5009" w:type="dxa"/>
            <w:gridSpan w:val="3"/>
            <w:tcBorders>
              <w:top w:val="single" w:sz="6" w:space="0" w:color="A6A6A6" w:themeColor="background1" w:themeShade="A6"/>
              <w:bottom w:val="nil"/>
            </w:tcBorders>
            <w:shd w:val="clear" w:color="auto" w:fill="F2F2F2" w:themeFill="background1" w:themeFillShade="F2"/>
          </w:tcPr>
          <w:p w14:paraId="421FC55A" w14:textId="77777777" w:rsidR="009D788C" w:rsidRPr="00667D0D" w:rsidRDefault="009D788C" w:rsidP="00C10719">
            <w:pPr>
              <w:jc w:val="right"/>
            </w:pPr>
          </w:p>
        </w:tc>
      </w:tr>
      <w:tr w:rsidR="00A44B30" w:rsidRPr="00667D0D" w14:paraId="65ACB883" w14:textId="77777777" w:rsidTr="005D641A">
        <w:tc>
          <w:tcPr>
            <w:tcW w:w="4053" w:type="dxa"/>
            <w:tcBorders>
              <w:top w:val="nil"/>
              <w:bottom w:val="nil"/>
            </w:tcBorders>
            <w:shd w:val="clear" w:color="auto" w:fill="auto"/>
          </w:tcPr>
          <w:p w14:paraId="35359753" w14:textId="77777777" w:rsidR="009D788C" w:rsidRPr="00667D0D" w:rsidRDefault="009D788C" w:rsidP="00C10719">
            <w:pPr>
              <w:tabs>
                <w:tab w:val="left" w:pos="397"/>
              </w:tabs>
            </w:pPr>
            <w:r w:rsidRPr="00667D0D">
              <w:t>4.1</w:t>
            </w:r>
            <w:r w:rsidRPr="00667D0D">
              <w:tab/>
              <w:t xml:space="preserve">          Project owner costs</w:t>
            </w:r>
          </w:p>
        </w:tc>
        <w:tc>
          <w:tcPr>
            <w:tcW w:w="136" w:type="dxa"/>
            <w:tcBorders>
              <w:top w:val="nil"/>
              <w:bottom w:val="nil"/>
            </w:tcBorders>
            <w:shd w:val="clear" w:color="auto" w:fill="auto"/>
          </w:tcPr>
          <w:p w14:paraId="63FB1867" w14:textId="77777777" w:rsidR="009D788C" w:rsidRPr="00667D0D" w:rsidRDefault="009D788C" w:rsidP="00C10719"/>
        </w:tc>
        <w:tc>
          <w:tcPr>
            <w:tcW w:w="5009" w:type="dxa"/>
            <w:gridSpan w:val="3"/>
            <w:tcBorders>
              <w:top w:val="nil"/>
              <w:bottom w:val="nil"/>
            </w:tcBorders>
            <w:shd w:val="clear" w:color="auto" w:fill="auto"/>
          </w:tcPr>
          <w:p w14:paraId="32E40BAC" w14:textId="77777777" w:rsidR="009D788C" w:rsidRPr="00667D0D" w:rsidRDefault="009D788C" w:rsidP="00C10719">
            <w:pPr>
              <w:jc w:val="right"/>
            </w:pPr>
            <w:r w:rsidRPr="00667D0D">
              <w:t>0.000</w:t>
            </w:r>
          </w:p>
        </w:tc>
      </w:tr>
      <w:tr w:rsidR="00A44B30" w:rsidRPr="00667D0D" w14:paraId="36A5AC88" w14:textId="77777777" w:rsidTr="005D641A">
        <w:tc>
          <w:tcPr>
            <w:tcW w:w="4053" w:type="dxa"/>
            <w:tcBorders>
              <w:top w:val="single" w:sz="6" w:space="0" w:color="A6A6A6" w:themeColor="background1" w:themeShade="A6"/>
              <w:bottom w:val="single" w:sz="6" w:space="0" w:color="A6A6A6" w:themeColor="background1" w:themeShade="A6"/>
            </w:tcBorders>
            <w:shd w:val="clear" w:color="auto" w:fill="auto"/>
          </w:tcPr>
          <w:p w14:paraId="3A40C27F" w14:textId="77777777" w:rsidR="009D788C" w:rsidRPr="00667D0D" w:rsidRDefault="009D788C" w:rsidP="00C10719">
            <w:pPr>
              <w:tabs>
                <w:tab w:val="left" w:pos="567"/>
              </w:tabs>
              <w:rPr>
                <w:b/>
              </w:rPr>
            </w:pPr>
            <w:r w:rsidRPr="00667D0D">
              <w:rPr>
                <w:b/>
              </w:rPr>
              <w:t>Subtotal – Project owner costs</w:t>
            </w:r>
          </w:p>
        </w:tc>
        <w:tc>
          <w:tcPr>
            <w:tcW w:w="136" w:type="dxa"/>
            <w:tcBorders>
              <w:top w:val="single" w:sz="6" w:space="0" w:color="A6A6A6" w:themeColor="background1" w:themeShade="A6"/>
              <w:bottom w:val="single" w:sz="6" w:space="0" w:color="A6A6A6" w:themeColor="background1" w:themeShade="A6"/>
            </w:tcBorders>
            <w:shd w:val="clear" w:color="auto" w:fill="auto"/>
          </w:tcPr>
          <w:p w14:paraId="61725E12" w14:textId="77777777" w:rsidR="009D788C" w:rsidRPr="00667D0D" w:rsidRDefault="009D788C" w:rsidP="00C10719">
            <w:pPr>
              <w:rPr>
                <w:b/>
              </w:rPr>
            </w:pPr>
          </w:p>
        </w:tc>
        <w:tc>
          <w:tcPr>
            <w:tcW w:w="5009" w:type="dxa"/>
            <w:gridSpan w:val="3"/>
            <w:tcBorders>
              <w:top w:val="single" w:sz="6" w:space="0" w:color="A6A6A6" w:themeColor="background1" w:themeShade="A6"/>
              <w:bottom w:val="single" w:sz="6" w:space="0" w:color="A6A6A6" w:themeColor="background1" w:themeShade="A6"/>
            </w:tcBorders>
            <w:shd w:val="clear" w:color="auto" w:fill="auto"/>
          </w:tcPr>
          <w:p w14:paraId="7B8FD3DE" w14:textId="77777777" w:rsidR="009D788C" w:rsidRPr="00667D0D" w:rsidRDefault="009D788C" w:rsidP="00C10719">
            <w:pPr>
              <w:jc w:val="right"/>
              <w:rPr>
                <w:b/>
              </w:rPr>
            </w:pPr>
            <w:r w:rsidRPr="00667D0D">
              <w:rPr>
                <w:b/>
              </w:rPr>
              <w:t>0.000</w:t>
            </w:r>
          </w:p>
        </w:tc>
      </w:tr>
      <w:tr w:rsidR="00A44B30" w:rsidRPr="00667D0D" w14:paraId="7F0EA713" w14:textId="77777777" w:rsidTr="005D641A">
        <w:trPr>
          <w:cnfStyle w:val="010000000000" w:firstRow="0" w:lastRow="1" w:firstColumn="0" w:lastColumn="0" w:oddVBand="0" w:evenVBand="0" w:oddHBand="0" w:evenHBand="0" w:firstRowFirstColumn="0" w:firstRowLastColumn="0" w:lastRowFirstColumn="0" w:lastRowLastColumn="0"/>
        </w:trPr>
        <w:tc>
          <w:tcPr>
            <w:tcW w:w="4189" w:type="dxa"/>
            <w:gridSpan w:val="2"/>
            <w:tcBorders>
              <w:bottom w:val="single" w:sz="12" w:space="0" w:color="E57200"/>
            </w:tcBorders>
          </w:tcPr>
          <w:p w14:paraId="78AB1D3B" w14:textId="77777777" w:rsidR="009D788C" w:rsidRPr="00667D0D" w:rsidRDefault="009D788C" w:rsidP="00C10719">
            <w:r w:rsidRPr="00667D0D">
              <w:t>Total of base cost estimate</w:t>
            </w:r>
          </w:p>
        </w:tc>
        <w:tc>
          <w:tcPr>
            <w:tcW w:w="5009" w:type="dxa"/>
            <w:gridSpan w:val="3"/>
            <w:tcBorders>
              <w:bottom w:val="single" w:sz="12" w:space="0" w:color="E57200"/>
            </w:tcBorders>
          </w:tcPr>
          <w:p w14:paraId="578D6A00" w14:textId="77777777" w:rsidR="009D788C" w:rsidRPr="00667D0D" w:rsidRDefault="009D788C" w:rsidP="00C10719">
            <w:pPr>
              <w:jc w:val="right"/>
            </w:pPr>
            <w:r w:rsidRPr="00667D0D">
              <w:t>0.000</w:t>
            </w:r>
          </w:p>
        </w:tc>
      </w:tr>
    </w:tbl>
    <w:p w14:paraId="7BB84425" w14:textId="78FF6837" w:rsidR="00D56625" w:rsidRPr="00667D0D" w:rsidRDefault="00D56625" w:rsidP="00586BA5">
      <w:pPr>
        <w:pStyle w:val="Caption"/>
        <w:ind w:left="720"/>
      </w:pPr>
      <w:bookmarkStart w:id="194" w:name="_Ref25062452"/>
      <w:r w:rsidRPr="00667D0D">
        <w:t xml:space="preserve">Table </w:t>
      </w:r>
      <w:fldSimple w:instr=" SEQ Table \* ARABIC ">
        <w:r w:rsidR="00295E8F" w:rsidRPr="00667D0D">
          <w:rPr>
            <w:noProof/>
          </w:rPr>
          <w:t>14</w:t>
        </w:r>
      </w:fldSimple>
      <w:r w:rsidRPr="00667D0D">
        <w:t>: Project risks</w:t>
      </w:r>
      <w:bookmarkEnd w:id="194"/>
    </w:p>
    <w:tbl>
      <w:tblPr>
        <w:tblStyle w:val="DTFfinancialtableindent"/>
        <w:tblW w:w="8550" w:type="dxa"/>
        <w:tblLayout w:type="fixed"/>
        <w:tblLook w:val="0620" w:firstRow="1" w:lastRow="0" w:firstColumn="0" w:lastColumn="0" w:noHBand="1" w:noVBand="1"/>
      </w:tblPr>
      <w:tblGrid>
        <w:gridCol w:w="450"/>
        <w:gridCol w:w="996"/>
        <w:gridCol w:w="2126"/>
        <w:gridCol w:w="3685"/>
        <w:gridCol w:w="1293"/>
      </w:tblGrid>
      <w:tr w:rsidR="00D56625" w:rsidRPr="00667D0D" w14:paraId="17B3B950" w14:textId="77777777" w:rsidTr="00586BA5">
        <w:trPr>
          <w:cnfStyle w:val="100000000000" w:firstRow="1" w:lastRow="0" w:firstColumn="0" w:lastColumn="0" w:oddVBand="0" w:evenVBand="0" w:oddHBand="0" w:evenHBand="0" w:firstRowFirstColumn="0" w:firstRowLastColumn="0" w:lastRowFirstColumn="0" w:lastRowLastColumn="0"/>
        </w:trPr>
        <w:tc>
          <w:tcPr>
            <w:tcW w:w="8550" w:type="dxa"/>
            <w:gridSpan w:val="5"/>
          </w:tcPr>
          <w:p w14:paraId="671B26FE" w14:textId="77777777" w:rsidR="00D56625" w:rsidRPr="00667D0D" w:rsidRDefault="00D56625" w:rsidP="00586BA5">
            <w:pPr>
              <w:pStyle w:val="Tableheader"/>
              <w:rPr>
                <w:b/>
              </w:rPr>
            </w:pPr>
            <w:r w:rsidRPr="00667D0D">
              <w:rPr>
                <w:b/>
              </w:rPr>
              <w:t>Base risk allocation and contingency</w:t>
            </w:r>
          </w:p>
        </w:tc>
      </w:tr>
      <w:tr w:rsidR="00D56625" w:rsidRPr="00667D0D" w14:paraId="510CE25B" w14:textId="77777777" w:rsidTr="00586BA5">
        <w:tc>
          <w:tcPr>
            <w:tcW w:w="450" w:type="dxa"/>
            <w:shd w:val="clear" w:color="auto" w:fill="FDEACC" w:themeFill="accent6"/>
          </w:tcPr>
          <w:p w14:paraId="64D90023" w14:textId="13B57B56" w:rsidR="00D56625" w:rsidRPr="00667D0D" w:rsidRDefault="004F683E" w:rsidP="00586BA5">
            <w:pPr>
              <w:pStyle w:val="Tabletextbold"/>
            </w:pPr>
            <w:r w:rsidRPr="00667D0D">
              <w:t>5</w:t>
            </w:r>
          </w:p>
        </w:tc>
        <w:tc>
          <w:tcPr>
            <w:tcW w:w="3122" w:type="dxa"/>
            <w:gridSpan w:val="2"/>
            <w:shd w:val="clear" w:color="auto" w:fill="FDEACC" w:themeFill="accent6"/>
          </w:tcPr>
          <w:p w14:paraId="73E722E4" w14:textId="17E05F37" w:rsidR="00D56625" w:rsidRPr="00667D0D" w:rsidRDefault="00D56625" w:rsidP="0094464D">
            <w:pPr>
              <w:pStyle w:val="Tabletextbold"/>
            </w:pPr>
            <w:r w:rsidRPr="00667D0D">
              <w:t xml:space="preserve">Base </w:t>
            </w:r>
            <w:r w:rsidR="0094464D" w:rsidRPr="00667D0D">
              <w:t>risk allocation</w:t>
            </w:r>
          </w:p>
        </w:tc>
        <w:tc>
          <w:tcPr>
            <w:tcW w:w="3685" w:type="dxa"/>
            <w:shd w:val="clear" w:color="auto" w:fill="FDEACC" w:themeFill="accent6"/>
          </w:tcPr>
          <w:p w14:paraId="05327F6A" w14:textId="77777777" w:rsidR="00D56625" w:rsidRPr="00667D0D" w:rsidRDefault="00D56625" w:rsidP="00586BA5">
            <w:pPr>
              <w:pStyle w:val="Tabletextbold"/>
            </w:pPr>
          </w:p>
        </w:tc>
        <w:tc>
          <w:tcPr>
            <w:tcW w:w="1293" w:type="dxa"/>
            <w:shd w:val="clear" w:color="auto" w:fill="FDEACC" w:themeFill="accent6"/>
          </w:tcPr>
          <w:p w14:paraId="7D4EBF46" w14:textId="77777777" w:rsidR="00D56625" w:rsidRPr="00667D0D" w:rsidRDefault="00D56625" w:rsidP="00586BA5">
            <w:pPr>
              <w:pStyle w:val="Tabletextbold"/>
            </w:pPr>
          </w:p>
        </w:tc>
      </w:tr>
      <w:tr w:rsidR="00D56625" w:rsidRPr="00667D0D" w14:paraId="7F0501D5" w14:textId="77777777" w:rsidTr="00586BA5">
        <w:tc>
          <w:tcPr>
            <w:tcW w:w="450" w:type="dxa"/>
          </w:tcPr>
          <w:p w14:paraId="765495B2" w14:textId="77777777" w:rsidR="00D56625" w:rsidRPr="00667D0D" w:rsidRDefault="00D56625" w:rsidP="00AB2141">
            <w:pPr>
              <w:spacing w:before="40" w:after="40"/>
              <w:rPr>
                <w:b/>
              </w:rPr>
            </w:pPr>
          </w:p>
        </w:tc>
        <w:tc>
          <w:tcPr>
            <w:tcW w:w="996" w:type="dxa"/>
          </w:tcPr>
          <w:p w14:paraId="25FFC94C" w14:textId="34495DEC" w:rsidR="00D56625" w:rsidRPr="00667D0D" w:rsidRDefault="004F683E" w:rsidP="00AB2141">
            <w:pPr>
              <w:spacing w:before="40" w:after="40"/>
            </w:pPr>
            <w:r w:rsidRPr="00667D0D">
              <w:t>5</w:t>
            </w:r>
            <w:r w:rsidR="00D56625" w:rsidRPr="00667D0D">
              <w:t>.1</w:t>
            </w:r>
          </w:p>
        </w:tc>
        <w:tc>
          <w:tcPr>
            <w:tcW w:w="2126" w:type="dxa"/>
          </w:tcPr>
          <w:p w14:paraId="60DA375B" w14:textId="77777777" w:rsidR="00D56625" w:rsidRPr="00667D0D" w:rsidRDefault="00D56625" w:rsidP="00AB2141">
            <w:pPr>
              <w:spacing w:before="40" w:after="40"/>
            </w:pPr>
            <w:r w:rsidRPr="00667D0D">
              <w:t>Escalation</w:t>
            </w:r>
          </w:p>
        </w:tc>
        <w:tc>
          <w:tcPr>
            <w:tcW w:w="3685" w:type="dxa"/>
          </w:tcPr>
          <w:p w14:paraId="2E8A9A97" w14:textId="01206079" w:rsidR="00D56625" w:rsidRPr="00667D0D" w:rsidRDefault="00D56625" w:rsidP="0094464D">
            <w:pPr>
              <w:spacing w:before="40" w:after="40"/>
            </w:pPr>
            <w:r w:rsidRPr="00667D0D">
              <w:t>(</w:t>
            </w:r>
            <w:r w:rsidR="0094464D" w:rsidRPr="00667D0D">
              <w:t xml:space="preserve">Period </w:t>
            </w:r>
            <w:r w:rsidRPr="00667D0D">
              <w:t>between BCE and construction)</w:t>
            </w:r>
          </w:p>
        </w:tc>
        <w:tc>
          <w:tcPr>
            <w:tcW w:w="1293" w:type="dxa"/>
          </w:tcPr>
          <w:p w14:paraId="1659685A" w14:textId="77777777" w:rsidR="00D56625" w:rsidRPr="00667D0D" w:rsidRDefault="00D56625" w:rsidP="00AB2141">
            <w:pPr>
              <w:spacing w:before="40" w:after="40"/>
            </w:pPr>
          </w:p>
        </w:tc>
      </w:tr>
      <w:tr w:rsidR="00D56625" w:rsidRPr="00667D0D" w14:paraId="2B36BFC8" w14:textId="77777777" w:rsidTr="00586BA5">
        <w:tc>
          <w:tcPr>
            <w:tcW w:w="450" w:type="dxa"/>
          </w:tcPr>
          <w:p w14:paraId="7E2450F8" w14:textId="77777777" w:rsidR="00D56625" w:rsidRPr="00667D0D" w:rsidRDefault="00D56625" w:rsidP="00AB2141">
            <w:pPr>
              <w:spacing w:before="40" w:after="40"/>
              <w:rPr>
                <w:b/>
              </w:rPr>
            </w:pPr>
          </w:p>
        </w:tc>
        <w:tc>
          <w:tcPr>
            <w:tcW w:w="996" w:type="dxa"/>
          </w:tcPr>
          <w:p w14:paraId="52433F64" w14:textId="7DA4EBBD" w:rsidR="00D56625" w:rsidRPr="00667D0D" w:rsidRDefault="003363DC" w:rsidP="00AB2141">
            <w:pPr>
              <w:spacing w:before="40" w:after="40"/>
            </w:pPr>
            <w:r w:rsidRPr="00667D0D">
              <w:t>5</w:t>
            </w:r>
            <w:r w:rsidR="00D56625" w:rsidRPr="00667D0D">
              <w:t>.2</w:t>
            </w:r>
          </w:p>
        </w:tc>
        <w:tc>
          <w:tcPr>
            <w:tcW w:w="2126" w:type="dxa"/>
          </w:tcPr>
          <w:p w14:paraId="78E3BE8F" w14:textId="77777777" w:rsidR="00D56625" w:rsidRPr="00667D0D" w:rsidRDefault="00D56625" w:rsidP="00AB2141">
            <w:pPr>
              <w:spacing w:before="40" w:after="40"/>
            </w:pPr>
            <w:r w:rsidRPr="00667D0D">
              <w:t>Project Risk A</w:t>
            </w:r>
          </w:p>
        </w:tc>
        <w:tc>
          <w:tcPr>
            <w:tcW w:w="3685" w:type="dxa"/>
          </w:tcPr>
          <w:p w14:paraId="54126EFB" w14:textId="77777777" w:rsidR="00D56625" w:rsidRPr="00667D0D" w:rsidRDefault="00D56625" w:rsidP="00AB2141">
            <w:pPr>
              <w:spacing w:before="40" w:after="40"/>
            </w:pPr>
          </w:p>
        </w:tc>
        <w:tc>
          <w:tcPr>
            <w:tcW w:w="1293" w:type="dxa"/>
          </w:tcPr>
          <w:p w14:paraId="623876E9" w14:textId="77777777" w:rsidR="00D56625" w:rsidRPr="00667D0D" w:rsidRDefault="00D56625" w:rsidP="00AB2141">
            <w:pPr>
              <w:spacing w:before="40" w:after="40"/>
            </w:pPr>
          </w:p>
        </w:tc>
      </w:tr>
      <w:tr w:rsidR="00D56625" w:rsidRPr="00667D0D" w14:paraId="7F4B22BE" w14:textId="77777777" w:rsidTr="00586BA5">
        <w:tc>
          <w:tcPr>
            <w:tcW w:w="450" w:type="dxa"/>
          </w:tcPr>
          <w:p w14:paraId="6E682E26" w14:textId="77777777" w:rsidR="00D56625" w:rsidRPr="00667D0D" w:rsidRDefault="00D56625" w:rsidP="00AB2141">
            <w:pPr>
              <w:spacing w:before="40" w:after="40"/>
              <w:rPr>
                <w:b/>
              </w:rPr>
            </w:pPr>
          </w:p>
        </w:tc>
        <w:tc>
          <w:tcPr>
            <w:tcW w:w="996" w:type="dxa"/>
          </w:tcPr>
          <w:p w14:paraId="2DBF677C" w14:textId="3AF4BD07" w:rsidR="00D56625" w:rsidRPr="00667D0D" w:rsidRDefault="003363DC" w:rsidP="00AB2141">
            <w:pPr>
              <w:spacing w:before="40" w:after="40"/>
            </w:pPr>
            <w:r w:rsidRPr="00667D0D">
              <w:t>5</w:t>
            </w:r>
            <w:r w:rsidR="00D56625" w:rsidRPr="00667D0D">
              <w:t>.3</w:t>
            </w:r>
          </w:p>
        </w:tc>
        <w:tc>
          <w:tcPr>
            <w:tcW w:w="2126" w:type="dxa"/>
          </w:tcPr>
          <w:p w14:paraId="22F1C74E" w14:textId="2D1B04CD" w:rsidR="00D56625" w:rsidRPr="00667D0D" w:rsidRDefault="00D56625" w:rsidP="00AB2141">
            <w:pPr>
              <w:spacing w:before="40" w:after="40"/>
            </w:pPr>
            <w:r w:rsidRPr="00667D0D">
              <w:t>Project Risk B</w:t>
            </w:r>
            <w:r w:rsidR="0094464D" w:rsidRPr="00667D0D">
              <w:t>,</w:t>
            </w:r>
            <w:r w:rsidRPr="00667D0D">
              <w:t xml:space="preserve"> etc.</w:t>
            </w:r>
          </w:p>
        </w:tc>
        <w:tc>
          <w:tcPr>
            <w:tcW w:w="3685" w:type="dxa"/>
          </w:tcPr>
          <w:p w14:paraId="3077CB36" w14:textId="77777777" w:rsidR="00D56625" w:rsidRPr="00667D0D" w:rsidRDefault="00D56625" w:rsidP="00AB2141">
            <w:pPr>
              <w:spacing w:before="40" w:after="40"/>
            </w:pPr>
          </w:p>
        </w:tc>
        <w:tc>
          <w:tcPr>
            <w:tcW w:w="1293" w:type="dxa"/>
          </w:tcPr>
          <w:p w14:paraId="7EBBA237" w14:textId="77777777" w:rsidR="00D56625" w:rsidRPr="00667D0D" w:rsidRDefault="00D56625" w:rsidP="00AB2141">
            <w:pPr>
              <w:spacing w:before="40" w:after="40"/>
            </w:pPr>
          </w:p>
        </w:tc>
      </w:tr>
      <w:tr w:rsidR="00D56625" w:rsidRPr="00667D0D" w14:paraId="49A6D504" w14:textId="77777777" w:rsidTr="00586BA5">
        <w:tc>
          <w:tcPr>
            <w:tcW w:w="450" w:type="dxa"/>
          </w:tcPr>
          <w:p w14:paraId="0080E284" w14:textId="77777777" w:rsidR="00D56625" w:rsidRPr="00667D0D" w:rsidRDefault="00D56625" w:rsidP="00AB2141">
            <w:pPr>
              <w:spacing w:before="40" w:after="40"/>
              <w:rPr>
                <w:b/>
              </w:rPr>
            </w:pPr>
          </w:p>
        </w:tc>
        <w:tc>
          <w:tcPr>
            <w:tcW w:w="996" w:type="dxa"/>
          </w:tcPr>
          <w:p w14:paraId="6B7E8F6F" w14:textId="37D11B2D" w:rsidR="00D56625" w:rsidRPr="00667D0D" w:rsidRDefault="00D56625" w:rsidP="00AB2141">
            <w:pPr>
              <w:spacing w:before="40" w:after="40"/>
            </w:pPr>
            <w:r w:rsidRPr="00667D0D">
              <w:t>Subtotal</w:t>
            </w:r>
          </w:p>
        </w:tc>
        <w:tc>
          <w:tcPr>
            <w:tcW w:w="2126" w:type="dxa"/>
          </w:tcPr>
          <w:p w14:paraId="715178FA" w14:textId="77777777" w:rsidR="00D56625" w:rsidRPr="00667D0D" w:rsidRDefault="00D56625" w:rsidP="00AB2141">
            <w:pPr>
              <w:spacing w:before="40" w:after="40"/>
            </w:pPr>
          </w:p>
        </w:tc>
        <w:tc>
          <w:tcPr>
            <w:tcW w:w="3685" w:type="dxa"/>
          </w:tcPr>
          <w:p w14:paraId="5D9B0A87" w14:textId="77777777" w:rsidR="00D56625" w:rsidRPr="00667D0D" w:rsidRDefault="00D56625" w:rsidP="00AB2141">
            <w:pPr>
              <w:spacing w:before="40" w:after="40"/>
            </w:pPr>
          </w:p>
        </w:tc>
        <w:tc>
          <w:tcPr>
            <w:tcW w:w="1293" w:type="dxa"/>
          </w:tcPr>
          <w:p w14:paraId="1FEFB2B0" w14:textId="77777777" w:rsidR="00D56625" w:rsidRPr="00667D0D" w:rsidRDefault="00D56625" w:rsidP="00AB2141">
            <w:pPr>
              <w:spacing w:before="40" w:after="40"/>
            </w:pPr>
            <w:r w:rsidRPr="00667D0D">
              <w:t>$</w:t>
            </w:r>
          </w:p>
        </w:tc>
      </w:tr>
      <w:tr w:rsidR="00D56625" w:rsidRPr="00667D0D" w14:paraId="3DB37BAB" w14:textId="77777777" w:rsidTr="00586BA5">
        <w:tc>
          <w:tcPr>
            <w:tcW w:w="450" w:type="dxa"/>
            <w:shd w:val="clear" w:color="auto" w:fill="FDEACC" w:themeFill="accent6"/>
          </w:tcPr>
          <w:p w14:paraId="2046D472" w14:textId="5A0489B0" w:rsidR="00D56625" w:rsidRPr="00667D0D" w:rsidRDefault="00CD4042" w:rsidP="00586BA5">
            <w:pPr>
              <w:pStyle w:val="Tabletextbold"/>
            </w:pPr>
            <w:r w:rsidRPr="00667D0D">
              <w:t>6</w:t>
            </w:r>
          </w:p>
        </w:tc>
        <w:tc>
          <w:tcPr>
            <w:tcW w:w="3122" w:type="dxa"/>
            <w:gridSpan w:val="2"/>
            <w:shd w:val="clear" w:color="auto" w:fill="FDEACC" w:themeFill="accent6"/>
          </w:tcPr>
          <w:p w14:paraId="5850D2A8" w14:textId="7A59290E" w:rsidR="00D56625" w:rsidRPr="00667D0D" w:rsidRDefault="00D97E6C" w:rsidP="00586BA5">
            <w:pPr>
              <w:pStyle w:val="Tabletextbold"/>
            </w:pPr>
            <w:r w:rsidRPr="00667D0D">
              <w:t>Excess risk estimate (</w:t>
            </w:r>
            <w:r w:rsidR="00D56625" w:rsidRPr="00667D0D">
              <w:t>Contingency</w:t>
            </w:r>
            <w:r w:rsidRPr="00667D0D">
              <w:t>)</w:t>
            </w:r>
          </w:p>
        </w:tc>
        <w:tc>
          <w:tcPr>
            <w:tcW w:w="3685" w:type="dxa"/>
            <w:shd w:val="clear" w:color="auto" w:fill="FDEACC" w:themeFill="accent6"/>
          </w:tcPr>
          <w:p w14:paraId="2FAE6E8B" w14:textId="77777777" w:rsidR="00D56625" w:rsidRPr="00667D0D" w:rsidRDefault="00D56625" w:rsidP="00586BA5">
            <w:pPr>
              <w:pStyle w:val="Tabletextbold"/>
            </w:pPr>
          </w:p>
        </w:tc>
        <w:tc>
          <w:tcPr>
            <w:tcW w:w="1293" w:type="dxa"/>
            <w:shd w:val="clear" w:color="auto" w:fill="FDEACC" w:themeFill="accent6"/>
          </w:tcPr>
          <w:p w14:paraId="51D39978" w14:textId="77777777" w:rsidR="00D56625" w:rsidRPr="00667D0D" w:rsidRDefault="00D56625" w:rsidP="00586BA5">
            <w:pPr>
              <w:pStyle w:val="Tabletextbold"/>
            </w:pPr>
          </w:p>
        </w:tc>
      </w:tr>
      <w:tr w:rsidR="00D56625" w:rsidRPr="00667D0D" w14:paraId="4D22409C" w14:textId="77777777" w:rsidTr="00586BA5">
        <w:tc>
          <w:tcPr>
            <w:tcW w:w="450" w:type="dxa"/>
          </w:tcPr>
          <w:p w14:paraId="299C1841" w14:textId="77777777" w:rsidR="00D56625" w:rsidRPr="00667D0D" w:rsidRDefault="00D56625" w:rsidP="00AB2141">
            <w:pPr>
              <w:spacing w:before="40" w:after="40"/>
              <w:rPr>
                <w:b/>
              </w:rPr>
            </w:pPr>
          </w:p>
        </w:tc>
        <w:tc>
          <w:tcPr>
            <w:tcW w:w="996" w:type="dxa"/>
          </w:tcPr>
          <w:p w14:paraId="645B33E0" w14:textId="7B22FE19" w:rsidR="00D56625" w:rsidRPr="00667D0D" w:rsidRDefault="00CD4042" w:rsidP="00AB2141">
            <w:pPr>
              <w:spacing w:before="40" w:after="40"/>
            </w:pPr>
            <w:r w:rsidRPr="00667D0D">
              <w:t>6</w:t>
            </w:r>
            <w:r w:rsidR="00D56625" w:rsidRPr="00667D0D">
              <w:t>.1</w:t>
            </w:r>
          </w:p>
        </w:tc>
        <w:tc>
          <w:tcPr>
            <w:tcW w:w="2126" w:type="dxa"/>
          </w:tcPr>
          <w:p w14:paraId="19E21668" w14:textId="267CFBBC" w:rsidR="00D56625" w:rsidRPr="00667D0D" w:rsidRDefault="00D56625" w:rsidP="00AB2141">
            <w:pPr>
              <w:spacing w:before="40" w:after="40"/>
            </w:pPr>
          </w:p>
        </w:tc>
        <w:tc>
          <w:tcPr>
            <w:tcW w:w="3685" w:type="dxa"/>
          </w:tcPr>
          <w:p w14:paraId="11825B31" w14:textId="77777777" w:rsidR="00D56625" w:rsidRPr="00667D0D" w:rsidRDefault="00D56625" w:rsidP="00AB2141">
            <w:pPr>
              <w:spacing w:before="40" w:after="40"/>
            </w:pPr>
          </w:p>
        </w:tc>
        <w:tc>
          <w:tcPr>
            <w:tcW w:w="1293" w:type="dxa"/>
          </w:tcPr>
          <w:p w14:paraId="50F11E3F" w14:textId="77777777" w:rsidR="00D56625" w:rsidRPr="00667D0D" w:rsidRDefault="00D56625" w:rsidP="00AB2141">
            <w:pPr>
              <w:spacing w:before="40" w:after="40"/>
            </w:pPr>
          </w:p>
        </w:tc>
      </w:tr>
      <w:tr w:rsidR="00D56625" w:rsidRPr="00667D0D" w14:paraId="71920B27" w14:textId="77777777" w:rsidTr="00586BA5">
        <w:tc>
          <w:tcPr>
            <w:tcW w:w="450" w:type="dxa"/>
          </w:tcPr>
          <w:p w14:paraId="361585D3" w14:textId="77777777" w:rsidR="00D56625" w:rsidRPr="00667D0D" w:rsidRDefault="00D56625" w:rsidP="00AB2141">
            <w:pPr>
              <w:spacing w:before="40" w:after="40"/>
              <w:rPr>
                <w:b/>
              </w:rPr>
            </w:pPr>
          </w:p>
        </w:tc>
        <w:tc>
          <w:tcPr>
            <w:tcW w:w="996" w:type="dxa"/>
          </w:tcPr>
          <w:p w14:paraId="72BBD1BB" w14:textId="77777777" w:rsidR="00D56625" w:rsidRPr="00667D0D" w:rsidRDefault="00D56625" w:rsidP="00AB2141">
            <w:pPr>
              <w:spacing w:before="40" w:after="40"/>
            </w:pPr>
            <w:r w:rsidRPr="00667D0D">
              <w:t>Subtotal</w:t>
            </w:r>
          </w:p>
        </w:tc>
        <w:tc>
          <w:tcPr>
            <w:tcW w:w="2126" w:type="dxa"/>
          </w:tcPr>
          <w:p w14:paraId="2A69EA39" w14:textId="77777777" w:rsidR="00D56625" w:rsidRPr="00667D0D" w:rsidRDefault="00D56625" w:rsidP="00AB2141">
            <w:pPr>
              <w:spacing w:before="40" w:after="40"/>
            </w:pPr>
          </w:p>
        </w:tc>
        <w:tc>
          <w:tcPr>
            <w:tcW w:w="3685" w:type="dxa"/>
          </w:tcPr>
          <w:p w14:paraId="3C4B46C7" w14:textId="77777777" w:rsidR="00D56625" w:rsidRPr="00667D0D" w:rsidRDefault="00D56625" w:rsidP="00AB2141">
            <w:pPr>
              <w:spacing w:before="40" w:after="40"/>
            </w:pPr>
          </w:p>
        </w:tc>
        <w:tc>
          <w:tcPr>
            <w:tcW w:w="1293" w:type="dxa"/>
          </w:tcPr>
          <w:p w14:paraId="2EE7115E" w14:textId="77777777" w:rsidR="00D56625" w:rsidRPr="00667D0D" w:rsidRDefault="00D56625" w:rsidP="00AB2141">
            <w:pPr>
              <w:spacing w:before="40" w:after="40"/>
            </w:pPr>
            <w:r w:rsidRPr="00667D0D">
              <w:t>$</w:t>
            </w:r>
          </w:p>
        </w:tc>
      </w:tr>
      <w:tr w:rsidR="00D56625" w:rsidRPr="00667D0D" w14:paraId="6441E448" w14:textId="77777777" w:rsidTr="00586BA5">
        <w:tc>
          <w:tcPr>
            <w:tcW w:w="7257" w:type="dxa"/>
            <w:gridSpan w:val="4"/>
            <w:shd w:val="clear" w:color="auto" w:fill="FDEACC" w:themeFill="accent6"/>
          </w:tcPr>
          <w:p w14:paraId="0AC2C65D" w14:textId="77777777" w:rsidR="00D56625" w:rsidRPr="00667D0D" w:rsidRDefault="00D56625" w:rsidP="00586BA5">
            <w:pPr>
              <w:pStyle w:val="Tabletextbold"/>
            </w:pPr>
            <w:r w:rsidRPr="00667D0D">
              <w:t>Total of project risks</w:t>
            </w:r>
          </w:p>
        </w:tc>
        <w:tc>
          <w:tcPr>
            <w:tcW w:w="1293" w:type="dxa"/>
            <w:shd w:val="clear" w:color="auto" w:fill="FDEACC" w:themeFill="accent6"/>
          </w:tcPr>
          <w:p w14:paraId="6D40A68A" w14:textId="77777777" w:rsidR="00D56625" w:rsidRPr="00667D0D" w:rsidRDefault="00D56625" w:rsidP="00586BA5">
            <w:pPr>
              <w:pStyle w:val="Tabletextbold"/>
            </w:pPr>
            <w:r w:rsidRPr="00667D0D">
              <w:t>$</w:t>
            </w:r>
          </w:p>
        </w:tc>
      </w:tr>
    </w:tbl>
    <w:p w14:paraId="4EDF8A94" w14:textId="77777777" w:rsidR="00D56625" w:rsidRPr="00667D0D" w:rsidRDefault="00D56625" w:rsidP="00D56625"/>
    <w:tbl>
      <w:tblPr>
        <w:tblStyle w:val="DTFfinancialtableindent"/>
        <w:tblW w:w="0" w:type="auto"/>
        <w:shd w:val="clear" w:color="auto" w:fill="FDEACC" w:themeFill="accent6"/>
        <w:tblLook w:val="0600" w:firstRow="0" w:lastRow="0" w:firstColumn="0" w:lastColumn="0" w:noHBand="1" w:noVBand="1"/>
      </w:tblPr>
      <w:tblGrid>
        <w:gridCol w:w="8377"/>
      </w:tblGrid>
      <w:tr w:rsidR="00AE0F23" w:rsidRPr="00667D0D" w14:paraId="3DCA5924" w14:textId="77777777" w:rsidTr="00586BA5">
        <w:tc>
          <w:tcPr>
            <w:tcW w:w="8719" w:type="dxa"/>
            <w:shd w:val="clear" w:color="auto" w:fill="FDEACC" w:themeFill="accent6"/>
          </w:tcPr>
          <w:p w14:paraId="3F23DDD5" w14:textId="6CCE0D22" w:rsidR="00AE0F23" w:rsidRPr="00667D0D" w:rsidRDefault="00C640B9" w:rsidP="00586BA5">
            <w:pPr>
              <w:pStyle w:val="Tabletextbold"/>
              <w:rPr>
                <w:sz w:val="20"/>
              </w:rPr>
            </w:pPr>
            <w:r w:rsidRPr="00667D0D">
              <w:rPr>
                <w:sz w:val="20"/>
              </w:rPr>
              <w:t>D</w:t>
            </w:r>
            <w:r w:rsidR="00AE0F23" w:rsidRPr="00667D0D">
              <w:rPr>
                <w:sz w:val="20"/>
              </w:rPr>
              <w:t xml:space="preserve">etailed costing and economic evaluation (fictional health example) </w:t>
            </w:r>
          </w:p>
          <w:p w14:paraId="33116D85" w14:textId="757A8874" w:rsidR="00C640B9" w:rsidRPr="00667D0D" w:rsidRDefault="00C640B9" w:rsidP="00586BA5">
            <w:pPr>
              <w:pStyle w:val="Tabletext"/>
            </w:pPr>
            <w:r w:rsidRPr="00667D0D">
              <w:t>B</w:t>
            </w:r>
            <w:r w:rsidR="00AE0F23" w:rsidRPr="00667D0D">
              <w:t>usiness case</w:t>
            </w:r>
            <w:r w:rsidRPr="00667D0D">
              <w:t>s</w:t>
            </w:r>
            <w:r w:rsidR="00AE0F23" w:rsidRPr="00667D0D">
              <w:t xml:space="preserve"> must provide a detailed overview of the costing for the </w:t>
            </w:r>
            <w:r w:rsidR="00D21FB0" w:rsidRPr="00667D0D">
              <w:t xml:space="preserve">project </w:t>
            </w:r>
            <w:r w:rsidR="00AE0F23" w:rsidRPr="00667D0D">
              <w:t>solution. This case study illustrates how TEI, capital and output costs might be presented (for a fictional new hospital facility).</w:t>
            </w:r>
            <w:r w:rsidR="004245A9" w:rsidRPr="00667D0D">
              <w:t xml:space="preserve"> </w:t>
            </w:r>
          </w:p>
          <w:p w14:paraId="24BE8464" w14:textId="2428E393" w:rsidR="00AE0F23" w:rsidRPr="00667D0D" w:rsidRDefault="00AE0F23" w:rsidP="00586BA5">
            <w:pPr>
              <w:pStyle w:val="Tabletextbold"/>
              <w:rPr>
                <w:sz w:val="18"/>
              </w:rPr>
            </w:pPr>
            <w:r w:rsidRPr="00667D0D">
              <w:rPr>
                <w:sz w:val="18"/>
              </w:rPr>
              <w:t>Detailed costin</w:t>
            </w:r>
            <w:r w:rsidR="004245A9" w:rsidRPr="00667D0D">
              <w:rPr>
                <w:sz w:val="18"/>
              </w:rPr>
              <w:t>g</w:t>
            </w:r>
          </w:p>
          <w:p w14:paraId="3BE9A4B4" w14:textId="77777777" w:rsidR="00AE0F23" w:rsidRPr="00667D0D" w:rsidRDefault="00AE0F23" w:rsidP="00586BA5">
            <w:pPr>
              <w:pStyle w:val="Tabletextbold"/>
            </w:pPr>
            <w:r w:rsidRPr="00667D0D">
              <w:t>Estimated capital cost</w:t>
            </w:r>
          </w:p>
          <w:p w14:paraId="79FC6B72" w14:textId="7366C92D" w:rsidR="00AE0F23" w:rsidRPr="00667D0D" w:rsidRDefault="00AE0F23" w:rsidP="00FB373D">
            <w:pPr>
              <w:pStyle w:val="Tabletext"/>
              <w:spacing w:after="120"/>
            </w:pPr>
            <w:r w:rsidRPr="00667D0D">
              <w:t xml:space="preserve">The </w:t>
            </w:r>
            <w:r w:rsidR="0094464D" w:rsidRPr="00667D0D">
              <w:t xml:space="preserve">quantity surveyor </w:t>
            </w:r>
            <w:r w:rsidRPr="00667D0D">
              <w:t xml:space="preserve">for the project has prepared a detailed capital cost estimate for the recommended option. Estimated capital costs are summarised below and the complete </w:t>
            </w:r>
            <w:r w:rsidR="0094464D" w:rsidRPr="00667D0D">
              <w:t xml:space="preserve">cost plan </w:t>
            </w:r>
            <w:r w:rsidRPr="00667D0D">
              <w:t xml:space="preserve">is at Appendix </w:t>
            </w:r>
            <w:r w:rsidR="00B75217" w:rsidRPr="00667D0D">
              <w:t>X</w:t>
            </w:r>
            <w:r w:rsidRPr="00667D0D">
              <w:t xml:space="preserve">. Base costs include </w:t>
            </w:r>
            <w:r w:rsidR="00AB10B1" w:rsidRPr="00667D0D">
              <w:t>main contract, minor works, land acquisition and project owner costs</w:t>
            </w:r>
            <w:r w:rsidRPr="00667D0D">
              <w:t>. Capital cost estimates have been reviewed and are approved by the department’s capital projects team. The NPV of capital costs (using a nominal discount rate of 8</w:t>
            </w:r>
            <w:r w:rsidR="00034452" w:rsidRPr="00667D0D">
              <w:t> per cent</w:t>
            </w:r>
            <w:r w:rsidRPr="00667D0D">
              <w:t>) is $67.1</w:t>
            </w:r>
            <w:r w:rsidR="00034452" w:rsidRPr="00667D0D">
              <w:t> million</w:t>
            </w:r>
            <w:r w:rsidRPr="00667D0D">
              <w:t>.</w:t>
            </w:r>
          </w:p>
          <w:p w14:paraId="09521B4F" w14:textId="0065A917" w:rsidR="008B37A9" w:rsidRPr="00667D0D" w:rsidRDefault="008B37A9" w:rsidP="00FB373D">
            <w:pPr>
              <w:spacing w:before="60" w:after="60"/>
              <w:rPr>
                <w:b/>
                <w:color w:val="000000" w:themeColor="text1"/>
              </w:rPr>
            </w:pPr>
            <w:r w:rsidRPr="00667D0D">
              <w:rPr>
                <w:b/>
                <w:color w:val="000000" w:themeColor="text1"/>
              </w:rPr>
              <w:t xml:space="preserve">Estimated capital cost of the preferred option ($’000) from the </w:t>
            </w:r>
            <w:r w:rsidR="00586BA5" w:rsidRPr="00667D0D">
              <w:rPr>
                <w:b/>
                <w:color w:val="000000" w:themeColor="text1"/>
              </w:rPr>
              <w:t>cost plan</w:t>
            </w:r>
          </w:p>
          <w:tbl>
            <w:tblPr>
              <w:tblStyle w:val="DTFTextTable"/>
              <w:tblW w:w="0" w:type="auto"/>
              <w:tblInd w:w="80" w:type="dxa"/>
              <w:tblLook w:val="06E0" w:firstRow="1" w:lastRow="1" w:firstColumn="1" w:lastColumn="0" w:noHBand="1" w:noVBand="1"/>
            </w:tblPr>
            <w:tblGrid>
              <w:gridCol w:w="3539"/>
              <w:gridCol w:w="1620"/>
            </w:tblGrid>
            <w:tr w:rsidR="008B37A9" w:rsidRPr="00667D0D" w14:paraId="4D92EAD3" w14:textId="77777777" w:rsidTr="00FB37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DEE4DCA" w14:textId="77777777" w:rsidR="008B37A9" w:rsidRPr="00667D0D" w:rsidRDefault="008B37A9" w:rsidP="008B37A9">
                  <w:r w:rsidRPr="00667D0D">
                    <w:t xml:space="preserve">Capital cost estimates </w:t>
                  </w:r>
                </w:p>
              </w:tc>
              <w:tc>
                <w:tcPr>
                  <w:tcW w:w="1620" w:type="dxa"/>
                </w:tcPr>
                <w:p w14:paraId="2A2AF8AE" w14:textId="77777777" w:rsidR="008B37A9" w:rsidRPr="00667D0D" w:rsidRDefault="008B37A9" w:rsidP="008B37A9">
                  <w:pPr>
                    <w:jc w:val="right"/>
                    <w:cnfStyle w:val="100000000000" w:firstRow="1" w:lastRow="0" w:firstColumn="0" w:lastColumn="0" w:oddVBand="0" w:evenVBand="0" w:oddHBand="0" w:evenHBand="0" w:firstRowFirstColumn="0" w:firstRowLastColumn="0" w:lastRowFirstColumn="0" w:lastRowLastColumn="0"/>
                  </w:pPr>
                  <w:r w:rsidRPr="00667D0D">
                    <w:t>Preferred option</w:t>
                  </w:r>
                </w:p>
              </w:tc>
            </w:tr>
            <w:tr w:rsidR="008B37A9" w:rsidRPr="00667D0D" w14:paraId="795FD5E2" w14:textId="77777777" w:rsidTr="00FB373D">
              <w:tc>
                <w:tcPr>
                  <w:cnfStyle w:val="001000000000" w:firstRow="0" w:lastRow="0" w:firstColumn="1" w:lastColumn="0" w:oddVBand="0" w:evenVBand="0" w:oddHBand="0" w:evenHBand="0" w:firstRowFirstColumn="0" w:firstRowLastColumn="0" w:lastRowFirstColumn="0" w:lastRowLastColumn="0"/>
                  <w:tcW w:w="3539" w:type="dxa"/>
                </w:tcPr>
                <w:p w14:paraId="184782A9" w14:textId="77777777" w:rsidR="008B37A9" w:rsidRPr="00667D0D" w:rsidRDefault="008B37A9" w:rsidP="00586BA5">
                  <w:pPr>
                    <w:pStyle w:val="Tabletext"/>
                  </w:pPr>
                  <w:r w:rsidRPr="00667D0D">
                    <w:t>Base cost estimate</w:t>
                  </w:r>
                </w:p>
              </w:tc>
              <w:tc>
                <w:tcPr>
                  <w:tcW w:w="1620" w:type="dxa"/>
                </w:tcPr>
                <w:p w14:paraId="0A6C575A" w14:textId="39D1ED48" w:rsidR="008B37A9" w:rsidRPr="00667D0D" w:rsidRDefault="008B37A9" w:rsidP="00586BA5">
                  <w:pPr>
                    <w:pStyle w:val="Tabletextright"/>
                    <w:cnfStyle w:val="000000000000" w:firstRow="0" w:lastRow="0" w:firstColumn="0" w:lastColumn="0" w:oddVBand="0" w:evenVBand="0" w:oddHBand="0" w:evenHBand="0" w:firstRowFirstColumn="0" w:firstRowLastColumn="0" w:lastRowFirstColumn="0" w:lastRowLastColumn="0"/>
                  </w:pPr>
                </w:p>
              </w:tc>
            </w:tr>
            <w:tr w:rsidR="00127373" w:rsidRPr="00667D0D" w14:paraId="68AE4066" w14:textId="77777777" w:rsidTr="00FB373D">
              <w:tc>
                <w:tcPr>
                  <w:cnfStyle w:val="001000000000" w:firstRow="0" w:lastRow="0" w:firstColumn="1" w:lastColumn="0" w:oddVBand="0" w:evenVBand="0" w:oddHBand="0" w:evenHBand="0" w:firstRowFirstColumn="0" w:firstRowLastColumn="0" w:lastRowFirstColumn="0" w:lastRowLastColumn="0"/>
                  <w:tcW w:w="3539" w:type="dxa"/>
                </w:tcPr>
                <w:p w14:paraId="66E8FC17" w14:textId="4588AFA8" w:rsidR="00127373" w:rsidRPr="00667D0D" w:rsidRDefault="00290620" w:rsidP="00127373">
                  <w:pPr>
                    <w:pStyle w:val="Tablebullet"/>
                  </w:pPr>
                  <w:r w:rsidRPr="00667D0D">
                    <w:t>Main contract</w:t>
                  </w:r>
                </w:p>
                <w:p w14:paraId="077065F9" w14:textId="77777777" w:rsidR="007C016C" w:rsidRPr="00667D0D" w:rsidRDefault="00B22AC1" w:rsidP="007C016C">
                  <w:pPr>
                    <w:pStyle w:val="Tablebullet"/>
                    <w:numPr>
                      <w:ilvl w:val="0"/>
                      <w:numId w:val="45"/>
                    </w:numPr>
                  </w:pPr>
                  <w:r w:rsidRPr="00667D0D">
                    <w:t>Design</w:t>
                  </w:r>
                </w:p>
                <w:p w14:paraId="2BE66798" w14:textId="77777777" w:rsidR="007C016C" w:rsidRPr="00667D0D" w:rsidRDefault="00B22AC1" w:rsidP="007C016C">
                  <w:pPr>
                    <w:pStyle w:val="Tablebullet"/>
                    <w:numPr>
                      <w:ilvl w:val="0"/>
                      <w:numId w:val="45"/>
                    </w:numPr>
                  </w:pPr>
                  <w:r w:rsidRPr="00667D0D">
                    <w:t>Utilities</w:t>
                  </w:r>
                </w:p>
                <w:p w14:paraId="6C9D3629" w14:textId="35AF94A6" w:rsidR="00FB08A7" w:rsidRPr="00667D0D" w:rsidRDefault="0078312F" w:rsidP="00A11153">
                  <w:pPr>
                    <w:pStyle w:val="Tablebullet"/>
                    <w:numPr>
                      <w:ilvl w:val="0"/>
                      <w:numId w:val="45"/>
                    </w:numPr>
                  </w:pPr>
                  <w:r w:rsidRPr="00667D0D">
                    <w:t>Structure</w:t>
                  </w:r>
                </w:p>
              </w:tc>
              <w:tc>
                <w:tcPr>
                  <w:tcW w:w="1620" w:type="dxa"/>
                </w:tcPr>
                <w:p w14:paraId="0B70954A" w14:textId="27C7AB55" w:rsidR="00127373" w:rsidRPr="00667D0D" w:rsidRDefault="00127373" w:rsidP="00127373">
                  <w:pPr>
                    <w:pStyle w:val="Tabletextright"/>
                    <w:cnfStyle w:val="000000000000" w:firstRow="0" w:lastRow="0" w:firstColumn="0" w:lastColumn="0" w:oddVBand="0" w:evenVBand="0" w:oddHBand="0" w:evenHBand="0" w:firstRowFirstColumn="0" w:firstRowLastColumn="0" w:lastRowFirstColumn="0" w:lastRowLastColumn="0"/>
                  </w:pPr>
                </w:p>
                <w:p w14:paraId="660CBB61" w14:textId="7C82744F" w:rsidR="0078312F" w:rsidRPr="00667D0D" w:rsidRDefault="0078312F" w:rsidP="00127373">
                  <w:pPr>
                    <w:pStyle w:val="Tabletextright"/>
                    <w:cnfStyle w:val="000000000000" w:firstRow="0" w:lastRow="0" w:firstColumn="0" w:lastColumn="0" w:oddVBand="0" w:evenVBand="0" w:oddHBand="0" w:evenHBand="0" w:firstRowFirstColumn="0" w:firstRowLastColumn="0" w:lastRowFirstColumn="0" w:lastRowLastColumn="0"/>
                    <w:rPr>
                      <w:color w:val="000000" w:themeColor="text1"/>
                    </w:rPr>
                  </w:pPr>
                  <w:r w:rsidRPr="00667D0D">
                    <w:rPr>
                      <w:color w:val="000000" w:themeColor="text1"/>
                    </w:rPr>
                    <w:t>$</w:t>
                  </w:r>
                  <w:r w:rsidR="00883104" w:rsidRPr="00667D0D">
                    <w:rPr>
                      <w:color w:val="000000" w:themeColor="text1"/>
                    </w:rPr>
                    <w:t>4 920</w:t>
                  </w:r>
                </w:p>
                <w:p w14:paraId="52FAD319" w14:textId="19220BD2" w:rsidR="0078312F" w:rsidRPr="00667D0D" w:rsidRDefault="0078312F" w:rsidP="00127373">
                  <w:pPr>
                    <w:pStyle w:val="Tabletextright"/>
                    <w:cnfStyle w:val="000000000000" w:firstRow="0" w:lastRow="0" w:firstColumn="0" w:lastColumn="0" w:oddVBand="0" w:evenVBand="0" w:oddHBand="0" w:evenHBand="0" w:firstRowFirstColumn="0" w:firstRowLastColumn="0" w:lastRowFirstColumn="0" w:lastRowLastColumn="0"/>
                    <w:rPr>
                      <w:color w:val="000000" w:themeColor="text1"/>
                    </w:rPr>
                  </w:pPr>
                  <w:r w:rsidRPr="00667D0D">
                    <w:rPr>
                      <w:color w:val="000000" w:themeColor="text1"/>
                    </w:rPr>
                    <w:t>$</w:t>
                  </w:r>
                  <w:r w:rsidR="005C3F95" w:rsidRPr="00667D0D">
                    <w:rPr>
                      <w:color w:val="000000" w:themeColor="text1"/>
                    </w:rPr>
                    <w:t>2 733</w:t>
                  </w:r>
                </w:p>
                <w:p w14:paraId="6633B4DC" w14:textId="31535EE2" w:rsidR="0078312F" w:rsidRPr="00667D0D" w:rsidRDefault="0078312F" w:rsidP="00127373">
                  <w:pPr>
                    <w:pStyle w:val="Tabletextright"/>
                    <w:cnfStyle w:val="000000000000" w:firstRow="0" w:lastRow="0" w:firstColumn="0" w:lastColumn="0" w:oddVBand="0" w:evenVBand="0" w:oddHBand="0" w:evenHBand="0" w:firstRowFirstColumn="0" w:firstRowLastColumn="0" w:lastRowFirstColumn="0" w:lastRowLastColumn="0"/>
                    <w:rPr>
                      <w:color w:val="000000" w:themeColor="text1"/>
                    </w:rPr>
                  </w:pPr>
                  <w:r w:rsidRPr="00667D0D">
                    <w:rPr>
                      <w:color w:val="000000" w:themeColor="text1"/>
                    </w:rPr>
                    <w:t>$</w:t>
                  </w:r>
                  <w:r w:rsidR="00AB10B1" w:rsidRPr="00667D0D">
                    <w:rPr>
                      <w:color w:val="000000" w:themeColor="text1"/>
                    </w:rPr>
                    <w:t>48 289</w:t>
                  </w:r>
                </w:p>
              </w:tc>
            </w:tr>
            <w:tr w:rsidR="00127373" w:rsidRPr="00667D0D" w14:paraId="43A21D47" w14:textId="77777777" w:rsidTr="00FB373D">
              <w:tc>
                <w:tcPr>
                  <w:cnfStyle w:val="001000000000" w:firstRow="0" w:lastRow="0" w:firstColumn="1" w:lastColumn="0" w:oddVBand="0" w:evenVBand="0" w:oddHBand="0" w:evenHBand="0" w:firstRowFirstColumn="0" w:firstRowLastColumn="0" w:lastRowFirstColumn="0" w:lastRowLastColumn="0"/>
                  <w:tcW w:w="3539" w:type="dxa"/>
                </w:tcPr>
                <w:p w14:paraId="48957A6F" w14:textId="3204938D" w:rsidR="00127373" w:rsidRPr="00667D0D" w:rsidRDefault="00FB08A7" w:rsidP="00127373">
                  <w:pPr>
                    <w:pStyle w:val="Tablebullet"/>
                  </w:pPr>
                  <w:r w:rsidRPr="00667D0D">
                    <w:t>Minor works</w:t>
                  </w:r>
                </w:p>
                <w:p w14:paraId="6F4C96EB" w14:textId="3025A4A1" w:rsidR="00FB08A7" w:rsidRPr="00667D0D" w:rsidRDefault="00F2036D" w:rsidP="00A11153">
                  <w:pPr>
                    <w:pStyle w:val="Tablebullet"/>
                    <w:numPr>
                      <w:ilvl w:val="0"/>
                      <w:numId w:val="45"/>
                    </w:numPr>
                  </w:pPr>
                  <w:r w:rsidRPr="00667D0D">
                    <w:t>Insurance</w:t>
                  </w:r>
                </w:p>
                <w:p w14:paraId="7FE97925" w14:textId="003DE608" w:rsidR="00FB08A7" w:rsidRPr="00667D0D" w:rsidRDefault="00DB7DD7" w:rsidP="00A11153">
                  <w:pPr>
                    <w:pStyle w:val="Tablebullet"/>
                    <w:numPr>
                      <w:ilvl w:val="0"/>
                      <w:numId w:val="45"/>
                    </w:numPr>
                  </w:pPr>
                  <w:r w:rsidRPr="00667D0D">
                    <w:t>Operator/Stakeholder costs</w:t>
                  </w:r>
                </w:p>
              </w:tc>
              <w:tc>
                <w:tcPr>
                  <w:tcW w:w="1620" w:type="dxa"/>
                </w:tcPr>
                <w:p w14:paraId="38829D34" w14:textId="749D607C" w:rsidR="00127373" w:rsidRPr="00667D0D" w:rsidRDefault="00127373" w:rsidP="00A11153">
                  <w:pPr>
                    <w:pStyle w:val="Tabletextright"/>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379C4661" w14:textId="3E5BF393" w:rsidR="00987C71" w:rsidRPr="00667D0D" w:rsidRDefault="00987C71" w:rsidP="00127373">
                  <w:pPr>
                    <w:pStyle w:val="Tabletextright"/>
                    <w:cnfStyle w:val="000000000000" w:firstRow="0" w:lastRow="0" w:firstColumn="0" w:lastColumn="0" w:oddVBand="0" w:evenVBand="0" w:oddHBand="0" w:evenHBand="0" w:firstRowFirstColumn="0" w:firstRowLastColumn="0" w:lastRowFirstColumn="0" w:lastRowLastColumn="0"/>
                    <w:rPr>
                      <w:color w:val="000000" w:themeColor="text1"/>
                    </w:rPr>
                  </w:pPr>
                  <w:r w:rsidRPr="00667D0D">
                    <w:rPr>
                      <w:color w:val="000000" w:themeColor="text1"/>
                    </w:rPr>
                    <w:t>$</w:t>
                  </w:r>
                  <w:r w:rsidR="00D9452F" w:rsidRPr="00667D0D">
                    <w:rPr>
                      <w:color w:val="000000" w:themeColor="text1"/>
                    </w:rPr>
                    <w:t>535</w:t>
                  </w:r>
                </w:p>
                <w:p w14:paraId="3AD97674" w14:textId="793F3D16" w:rsidR="00987C71" w:rsidRPr="00667D0D" w:rsidRDefault="00987C71" w:rsidP="00127373">
                  <w:pPr>
                    <w:pStyle w:val="Tabletextright"/>
                    <w:cnfStyle w:val="000000000000" w:firstRow="0" w:lastRow="0" w:firstColumn="0" w:lastColumn="0" w:oddVBand="0" w:evenVBand="0" w:oddHBand="0" w:evenHBand="0" w:firstRowFirstColumn="0" w:firstRowLastColumn="0" w:lastRowFirstColumn="0" w:lastRowLastColumn="0"/>
                    <w:rPr>
                      <w:color w:val="000000" w:themeColor="text1"/>
                    </w:rPr>
                  </w:pPr>
                  <w:r w:rsidRPr="00667D0D">
                    <w:rPr>
                      <w:color w:val="000000" w:themeColor="text1"/>
                    </w:rPr>
                    <w:t>$</w:t>
                  </w:r>
                  <w:r w:rsidR="00D9452F" w:rsidRPr="00667D0D">
                    <w:rPr>
                      <w:color w:val="000000" w:themeColor="text1"/>
                    </w:rPr>
                    <w:t>100</w:t>
                  </w:r>
                </w:p>
              </w:tc>
            </w:tr>
            <w:tr w:rsidR="00127373" w:rsidRPr="00667D0D" w14:paraId="0BA29E6D" w14:textId="77777777" w:rsidTr="00FB373D">
              <w:tc>
                <w:tcPr>
                  <w:cnfStyle w:val="001000000000" w:firstRow="0" w:lastRow="0" w:firstColumn="1" w:lastColumn="0" w:oddVBand="0" w:evenVBand="0" w:oddHBand="0" w:evenHBand="0" w:firstRowFirstColumn="0" w:firstRowLastColumn="0" w:lastRowFirstColumn="0" w:lastRowLastColumn="0"/>
                  <w:tcW w:w="3539" w:type="dxa"/>
                </w:tcPr>
                <w:p w14:paraId="3D49FE2A" w14:textId="548B7433" w:rsidR="00434B6A" w:rsidRPr="00667D0D" w:rsidRDefault="00434B6A" w:rsidP="00907E56">
                  <w:pPr>
                    <w:pStyle w:val="Tablebullet"/>
                  </w:pPr>
                  <w:r w:rsidRPr="00667D0D">
                    <w:t>Land acquisition</w:t>
                  </w:r>
                </w:p>
              </w:tc>
              <w:tc>
                <w:tcPr>
                  <w:tcW w:w="1620" w:type="dxa"/>
                </w:tcPr>
                <w:p w14:paraId="5AA87523" w14:textId="04F5ABD0" w:rsidR="00127373" w:rsidRPr="00667D0D" w:rsidRDefault="00127373" w:rsidP="00127373">
                  <w:pPr>
                    <w:pStyle w:val="Tabletextright"/>
                    <w:cnfStyle w:val="000000000000" w:firstRow="0" w:lastRow="0" w:firstColumn="0" w:lastColumn="0" w:oddVBand="0" w:evenVBand="0" w:oddHBand="0" w:evenHBand="0" w:firstRowFirstColumn="0" w:firstRowLastColumn="0" w:lastRowFirstColumn="0" w:lastRowLastColumn="0"/>
                    <w:rPr>
                      <w:color w:val="000000" w:themeColor="text1"/>
                    </w:rPr>
                  </w:pPr>
                  <w:r w:rsidRPr="00667D0D">
                    <w:rPr>
                      <w:color w:val="000000" w:themeColor="text1"/>
                    </w:rPr>
                    <w:t>$</w:t>
                  </w:r>
                  <w:r w:rsidR="00907E56" w:rsidRPr="00667D0D">
                    <w:rPr>
                      <w:color w:val="000000" w:themeColor="text1"/>
                    </w:rPr>
                    <w:t>1 907</w:t>
                  </w:r>
                </w:p>
              </w:tc>
            </w:tr>
            <w:tr w:rsidR="00127373" w:rsidRPr="00667D0D" w14:paraId="26BB88B5" w14:textId="77777777" w:rsidTr="00A11153">
              <w:tc>
                <w:tcPr>
                  <w:cnfStyle w:val="001000000000" w:firstRow="0" w:lastRow="0" w:firstColumn="1" w:lastColumn="0" w:oddVBand="0" w:evenVBand="0" w:oddHBand="0" w:evenHBand="0" w:firstRowFirstColumn="0" w:firstRowLastColumn="0" w:lastRowFirstColumn="0" w:lastRowLastColumn="0"/>
                  <w:tcW w:w="3539" w:type="dxa"/>
                  <w:tcBorders>
                    <w:bottom w:val="nil"/>
                  </w:tcBorders>
                </w:tcPr>
                <w:p w14:paraId="78A485D9" w14:textId="5FCCF186" w:rsidR="00127373" w:rsidRPr="00667D0D" w:rsidRDefault="00AB10B1" w:rsidP="00127373">
                  <w:pPr>
                    <w:pStyle w:val="Tablebullet"/>
                  </w:pPr>
                  <w:r w:rsidRPr="00667D0D">
                    <w:t>Project o</w:t>
                  </w:r>
                  <w:r w:rsidR="00434B6A" w:rsidRPr="00667D0D">
                    <w:t>wner costs</w:t>
                  </w:r>
                </w:p>
              </w:tc>
              <w:tc>
                <w:tcPr>
                  <w:tcW w:w="1620" w:type="dxa"/>
                  <w:tcBorders>
                    <w:bottom w:val="nil"/>
                  </w:tcBorders>
                </w:tcPr>
                <w:p w14:paraId="5AAFD642" w14:textId="545A8CE7" w:rsidR="00127373" w:rsidRPr="00667D0D" w:rsidRDefault="00127373" w:rsidP="00127373">
                  <w:pPr>
                    <w:pStyle w:val="Tabletextright"/>
                    <w:cnfStyle w:val="000000000000" w:firstRow="0" w:lastRow="0" w:firstColumn="0" w:lastColumn="0" w:oddVBand="0" w:evenVBand="0" w:oddHBand="0" w:evenHBand="0" w:firstRowFirstColumn="0" w:firstRowLastColumn="0" w:lastRowFirstColumn="0" w:lastRowLastColumn="0"/>
                    <w:rPr>
                      <w:color w:val="000000" w:themeColor="text1"/>
                    </w:rPr>
                  </w:pPr>
                  <w:r w:rsidRPr="00667D0D">
                    <w:rPr>
                      <w:color w:val="000000" w:themeColor="text1"/>
                    </w:rPr>
                    <w:t>$</w:t>
                  </w:r>
                  <w:r w:rsidR="00AB10B1" w:rsidRPr="00667D0D">
                    <w:rPr>
                      <w:color w:val="000000" w:themeColor="text1"/>
                    </w:rPr>
                    <w:t>5 086</w:t>
                  </w:r>
                </w:p>
              </w:tc>
            </w:tr>
            <w:tr w:rsidR="00127373" w:rsidRPr="00667D0D" w14:paraId="211AD18F" w14:textId="77777777" w:rsidTr="00A11153">
              <w:tc>
                <w:tcPr>
                  <w:cnfStyle w:val="001000000000" w:firstRow="0" w:lastRow="0" w:firstColumn="1" w:lastColumn="0" w:oddVBand="0" w:evenVBand="0" w:oddHBand="0" w:evenHBand="0" w:firstRowFirstColumn="0" w:firstRowLastColumn="0" w:lastRowFirstColumn="0" w:lastRowLastColumn="0"/>
                  <w:tcW w:w="3539" w:type="dxa"/>
                  <w:tcBorders>
                    <w:bottom w:val="single" w:sz="2" w:space="0" w:color="E57200"/>
                  </w:tcBorders>
                </w:tcPr>
                <w:p w14:paraId="03783C5C" w14:textId="77777777" w:rsidR="00127373" w:rsidRPr="00667D0D" w:rsidRDefault="00127373" w:rsidP="00A11153">
                  <w:pPr>
                    <w:pStyle w:val="Tablebullet"/>
                    <w:numPr>
                      <w:ilvl w:val="0"/>
                      <w:numId w:val="0"/>
                    </w:numPr>
                    <w:ind w:left="288" w:hanging="288"/>
                  </w:pPr>
                  <w:r w:rsidRPr="00667D0D">
                    <w:t>Total – base costs</w:t>
                  </w:r>
                </w:p>
              </w:tc>
              <w:tc>
                <w:tcPr>
                  <w:tcW w:w="1620" w:type="dxa"/>
                  <w:tcBorders>
                    <w:bottom w:val="single" w:sz="2" w:space="0" w:color="E57200"/>
                  </w:tcBorders>
                </w:tcPr>
                <w:p w14:paraId="36B0362B" w14:textId="0742F49B" w:rsidR="00127373" w:rsidRPr="00667D0D" w:rsidRDefault="00127373" w:rsidP="00127373">
                  <w:pPr>
                    <w:pStyle w:val="Tabletextright"/>
                    <w:cnfStyle w:val="000000000000" w:firstRow="0" w:lastRow="0" w:firstColumn="0" w:lastColumn="0" w:oddVBand="0" w:evenVBand="0" w:oddHBand="0" w:evenHBand="0" w:firstRowFirstColumn="0" w:firstRowLastColumn="0" w:lastRowFirstColumn="0" w:lastRowLastColumn="0"/>
                    <w:rPr>
                      <w:color w:val="000000" w:themeColor="text1"/>
                    </w:rPr>
                  </w:pPr>
                  <w:r w:rsidRPr="00667D0D">
                    <w:rPr>
                      <w:color w:val="000000" w:themeColor="text1"/>
                    </w:rPr>
                    <w:t>$63 570</w:t>
                  </w:r>
                </w:p>
              </w:tc>
            </w:tr>
            <w:tr w:rsidR="008B37A9" w:rsidRPr="00667D0D" w14:paraId="5A420A39" w14:textId="77777777" w:rsidTr="00A11153">
              <w:tc>
                <w:tcPr>
                  <w:cnfStyle w:val="001000000000" w:firstRow="0" w:lastRow="0" w:firstColumn="1" w:lastColumn="0" w:oddVBand="0" w:evenVBand="0" w:oddHBand="0" w:evenHBand="0" w:firstRowFirstColumn="0" w:firstRowLastColumn="0" w:lastRowFirstColumn="0" w:lastRowLastColumn="0"/>
                  <w:tcW w:w="3539" w:type="dxa"/>
                  <w:tcBorders>
                    <w:top w:val="single" w:sz="2" w:space="0" w:color="E57200"/>
                  </w:tcBorders>
                </w:tcPr>
                <w:p w14:paraId="1CE62ECC" w14:textId="77777777" w:rsidR="008B37A9" w:rsidRPr="00667D0D" w:rsidRDefault="008B37A9" w:rsidP="00586BA5">
                  <w:pPr>
                    <w:pStyle w:val="Tabletext"/>
                  </w:pPr>
                  <w:r w:rsidRPr="00667D0D">
                    <w:lastRenderedPageBreak/>
                    <w:t>Base risk allocation</w:t>
                  </w:r>
                </w:p>
              </w:tc>
              <w:tc>
                <w:tcPr>
                  <w:tcW w:w="1620" w:type="dxa"/>
                  <w:tcBorders>
                    <w:top w:val="single" w:sz="2" w:space="0" w:color="E57200"/>
                  </w:tcBorders>
                </w:tcPr>
                <w:p w14:paraId="459E0567" w14:textId="77777777" w:rsidR="008B37A9" w:rsidRPr="00667D0D" w:rsidRDefault="008B37A9" w:rsidP="00586BA5">
                  <w:pPr>
                    <w:pStyle w:val="Tabletextright"/>
                    <w:cnfStyle w:val="000000000000" w:firstRow="0" w:lastRow="0" w:firstColumn="0" w:lastColumn="0" w:oddVBand="0" w:evenVBand="0" w:oddHBand="0" w:evenHBand="0" w:firstRowFirstColumn="0" w:firstRowLastColumn="0" w:lastRowFirstColumn="0" w:lastRowLastColumn="0"/>
                  </w:pPr>
                </w:p>
              </w:tc>
            </w:tr>
            <w:tr w:rsidR="008B37A9" w:rsidRPr="00667D0D" w14:paraId="3896437F" w14:textId="77777777" w:rsidTr="00FB373D">
              <w:tc>
                <w:tcPr>
                  <w:cnfStyle w:val="001000000000" w:firstRow="0" w:lastRow="0" w:firstColumn="1" w:lastColumn="0" w:oddVBand="0" w:evenVBand="0" w:oddHBand="0" w:evenHBand="0" w:firstRowFirstColumn="0" w:firstRowLastColumn="0" w:lastRowFirstColumn="0" w:lastRowLastColumn="0"/>
                  <w:tcW w:w="3539" w:type="dxa"/>
                </w:tcPr>
                <w:p w14:paraId="328F0353" w14:textId="77777777" w:rsidR="008B37A9" w:rsidRPr="00667D0D" w:rsidRDefault="008B37A9" w:rsidP="00586BA5">
                  <w:pPr>
                    <w:pStyle w:val="Tablebullet"/>
                  </w:pPr>
                  <w:r w:rsidRPr="00667D0D">
                    <w:t>Cost escalation</w:t>
                  </w:r>
                </w:p>
              </w:tc>
              <w:tc>
                <w:tcPr>
                  <w:tcW w:w="1620" w:type="dxa"/>
                </w:tcPr>
                <w:p w14:paraId="337F6018" w14:textId="070F8A9F" w:rsidR="008B37A9" w:rsidRPr="00667D0D" w:rsidRDefault="008B37A9" w:rsidP="00586BA5">
                  <w:pPr>
                    <w:pStyle w:val="Tabletextright"/>
                    <w:cnfStyle w:val="000000000000" w:firstRow="0" w:lastRow="0" w:firstColumn="0" w:lastColumn="0" w:oddVBand="0" w:evenVBand="0" w:oddHBand="0" w:evenHBand="0" w:firstRowFirstColumn="0" w:firstRowLastColumn="0" w:lastRowFirstColumn="0" w:lastRowLastColumn="0"/>
                    <w:rPr>
                      <w:color w:val="000000" w:themeColor="text1"/>
                    </w:rPr>
                  </w:pPr>
                  <w:r w:rsidRPr="00667D0D">
                    <w:rPr>
                      <w:color w:val="000000" w:themeColor="text1"/>
                    </w:rPr>
                    <w:t>$5</w:t>
                  </w:r>
                  <w:r w:rsidR="00586BA5" w:rsidRPr="00667D0D">
                    <w:rPr>
                      <w:color w:val="000000" w:themeColor="text1"/>
                    </w:rPr>
                    <w:t> </w:t>
                  </w:r>
                  <w:r w:rsidRPr="00667D0D">
                    <w:rPr>
                      <w:color w:val="000000" w:themeColor="text1"/>
                    </w:rPr>
                    <w:t>518</w:t>
                  </w:r>
                </w:p>
              </w:tc>
            </w:tr>
            <w:tr w:rsidR="008B37A9" w:rsidRPr="00667D0D" w14:paraId="0A8E97A4" w14:textId="77777777" w:rsidTr="00A11153">
              <w:tc>
                <w:tcPr>
                  <w:cnfStyle w:val="001000000000" w:firstRow="0" w:lastRow="0" w:firstColumn="1" w:lastColumn="0" w:oddVBand="0" w:evenVBand="0" w:oddHBand="0" w:evenHBand="0" w:firstRowFirstColumn="0" w:firstRowLastColumn="0" w:lastRowFirstColumn="0" w:lastRowLastColumn="0"/>
                  <w:tcW w:w="3539" w:type="dxa"/>
                  <w:tcBorders>
                    <w:bottom w:val="nil"/>
                  </w:tcBorders>
                </w:tcPr>
                <w:p w14:paraId="77A8439D" w14:textId="77777777" w:rsidR="008B37A9" w:rsidRPr="00667D0D" w:rsidRDefault="008B37A9" w:rsidP="00586BA5">
                  <w:pPr>
                    <w:pStyle w:val="Tablebullet"/>
                  </w:pPr>
                  <w:r w:rsidRPr="00667D0D">
                    <w:t>Other project risks</w:t>
                  </w:r>
                </w:p>
              </w:tc>
              <w:tc>
                <w:tcPr>
                  <w:tcW w:w="1620" w:type="dxa"/>
                  <w:tcBorders>
                    <w:bottom w:val="nil"/>
                  </w:tcBorders>
                </w:tcPr>
                <w:p w14:paraId="0D36CE22" w14:textId="5F9F6221" w:rsidR="008B37A9" w:rsidRPr="00667D0D" w:rsidRDefault="008B37A9" w:rsidP="00586BA5">
                  <w:pPr>
                    <w:pStyle w:val="Tabletextright"/>
                    <w:cnfStyle w:val="000000000000" w:firstRow="0" w:lastRow="0" w:firstColumn="0" w:lastColumn="0" w:oddVBand="0" w:evenVBand="0" w:oddHBand="0" w:evenHBand="0" w:firstRowFirstColumn="0" w:firstRowLastColumn="0" w:lastRowFirstColumn="0" w:lastRowLastColumn="0"/>
                    <w:rPr>
                      <w:color w:val="000000" w:themeColor="text1"/>
                    </w:rPr>
                  </w:pPr>
                  <w:r w:rsidRPr="00667D0D">
                    <w:rPr>
                      <w:color w:val="000000" w:themeColor="text1"/>
                    </w:rPr>
                    <w:t>$3</w:t>
                  </w:r>
                  <w:r w:rsidR="00586BA5" w:rsidRPr="00667D0D">
                    <w:rPr>
                      <w:color w:val="000000" w:themeColor="text1"/>
                    </w:rPr>
                    <w:t> </w:t>
                  </w:r>
                  <w:r w:rsidRPr="00667D0D">
                    <w:rPr>
                      <w:color w:val="000000" w:themeColor="text1"/>
                    </w:rPr>
                    <w:t>055</w:t>
                  </w:r>
                </w:p>
              </w:tc>
            </w:tr>
            <w:tr w:rsidR="008B37A9" w:rsidRPr="00667D0D" w14:paraId="0A95692B" w14:textId="77777777" w:rsidTr="00A11153">
              <w:tc>
                <w:tcPr>
                  <w:cnfStyle w:val="001000000000" w:firstRow="0" w:lastRow="0" w:firstColumn="1" w:lastColumn="0" w:oddVBand="0" w:evenVBand="0" w:oddHBand="0" w:evenHBand="0" w:firstRowFirstColumn="0" w:firstRowLastColumn="0" w:lastRowFirstColumn="0" w:lastRowLastColumn="0"/>
                  <w:tcW w:w="3539" w:type="dxa"/>
                  <w:tcBorders>
                    <w:bottom w:val="single" w:sz="2" w:space="0" w:color="E57200"/>
                  </w:tcBorders>
                </w:tcPr>
                <w:p w14:paraId="1B5C2547" w14:textId="77777777" w:rsidR="008B37A9" w:rsidRPr="00667D0D" w:rsidRDefault="008B37A9" w:rsidP="00586BA5">
                  <w:pPr>
                    <w:pStyle w:val="Tabletext"/>
                    <w:rPr>
                      <w:bCs/>
                    </w:rPr>
                  </w:pPr>
                  <w:r w:rsidRPr="00667D0D">
                    <w:rPr>
                      <w:bCs/>
                    </w:rPr>
                    <w:t>Total – base risk allocation</w:t>
                  </w:r>
                </w:p>
              </w:tc>
              <w:tc>
                <w:tcPr>
                  <w:tcW w:w="1620" w:type="dxa"/>
                  <w:tcBorders>
                    <w:bottom w:val="single" w:sz="2" w:space="0" w:color="E57200"/>
                  </w:tcBorders>
                </w:tcPr>
                <w:p w14:paraId="390EDF33" w14:textId="302471AF" w:rsidR="008B37A9" w:rsidRPr="00667D0D" w:rsidRDefault="0094464D" w:rsidP="00586BA5">
                  <w:pPr>
                    <w:pStyle w:val="Tabletextright"/>
                    <w:cnfStyle w:val="000000000000" w:firstRow="0" w:lastRow="0" w:firstColumn="0" w:lastColumn="0" w:oddVBand="0" w:evenVBand="0" w:oddHBand="0" w:evenHBand="0" w:firstRowFirstColumn="0" w:firstRowLastColumn="0" w:lastRowFirstColumn="0" w:lastRowLastColumn="0"/>
                    <w:rPr>
                      <w:bCs/>
                    </w:rPr>
                  </w:pPr>
                  <w:r w:rsidRPr="00667D0D">
                    <w:rPr>
                      <w:bCs/>
                    </w:rPr>
                    <w:t>$</w:t>
                  </w:r>
                  <w:r w:rsidR="008B37A9" w:rsidRPr="00667D0D">
                    <w:rPr>
                      <w:bCs/>
                    </w:rPr>
                    <w:t>8</w:t>
                  </w:r>
                  <w:r w:rsidR="00586BA5" w:rsidRPr="00667D0D">
                    <w:rPr>
                      <w:bCs/>
                    </w:rPr>
                    <w:t> </w:t>
                  </w:r>
                  <w:r w:rsidR="008B37A9" w:rsidRPr="00667D0D">
                    <w:rPr>
                      <w:bCs/>
                    </w:rPr>
                    <w:t>573</w:t>
                  </w:r>
                </w:p>
              </w:tc>
            </w:tr>
            <w:tr w:rsidR="008B37A9" w:rsidRPr="00667D0D" w14:paraId="375B00F2" w14:textId="77777777" w:rsidTr="00A11153">
              <w:tc>
                <w:tcPr>
                  <w:cnfStyle w:val="001000000000" w:firstRow="0" w:lastRow="0" w:firstColumn="1" w:lastColumn="0" w:oddVBand="0" w:evenVBand="0" w:oddHBand="0" w:evenHBand="0" w:firstRowFirstColumn="0" w:firstRowLastColumn="0" w:lastRowFirstColumn="0" w:lastRowLastColumn="0"/>
                  <w:tcW w:w="3539" w:type="dxa"/>
                  <w:tcBorders>
                    <w:top w:val="single" w:sz="2" w:space="0" w:color="E57200"/>
                    <w:bottom w:val="single" w:sz="2" w:space="0" w:color="E57200"/>
                  </w:tcBorders>
                </w:tcPr>
                <w:p w14:paraId="20F04E98" w14:textId="77777777" w:rsidR="008B37A9" w:rsidRPr="00667D0D" w:rsidRDefault="008B37A9" w:rsidP="00586BA5">
                  <w:pPr>
                    <w:pStyle w:val="Tabletext"/>
                    <w:rPr>
                      <w:b/>
                      <w:bCs/>
                    </w:rPr>
                  </w:pPr>
                  <w:r w:rsidRPr="00667D0D">
                    <w:rPr>
                      <w:b/>
                      <w:bCs/>
                    </w:rPr>
                    <w:t>Project cost estimate</w:t>
                  </w:r>
                </w:p>
              </w:tc>
              <w:tc>
                <w:tcPr>
                  <w:tcW w:w="1620" w:type="dxa"/>
                  <w:tcBorders>
                    <w:top w:val="single" w:sz="2" w:space="0" w:color="E57200"/>
                    <w:bottom w:val="single" w:sz="2" w:space="0" w:color="E57200"/>
                  </w:tcBorders>
                </w:tcPr>
                <w:p w14:paraId="3E03EAFF" w14:textId="4430B56D" w:rsidR="008B37A9" w:rsidRPr="00667D0D" w:rsidRDefault="008B37A9" w:rsidP="00586BA5">
                  <w:pPr>
                    <w:pStyle w:val="Tabletextright"/>
                    <w:cnfStyle w:val="000000000000" w:firstRow="0" w:lastRow="0" w:firstColumn="0" w:lastColumn="0" w:oddVBand="0" w:evenVBand="0" w:oddHBand="0" w:evenHBand="0" w:firstRowFirstColumn="0" w:firstRowLastColumn="0" w:lastRowFirstColumn="0" w:lastRowLastColumn="0"/>
                    <w:rPr>
                      <w:b/>
                      <w:bCs/>
                    </w:rPr>
                  </w:pPr>
                  <w:r w:rsidRPr="00667D0D">
                    <w:rPr>
                      <w:b/>
                      <w:bCs/>
                    </w:rPr>
                    <w:t>$72</w:t>
                  </w:r>
                  <w:r w:rsidR="00586BA5" w:rsidRPr="00667D0D">
                    <w:rPr>
                      <w:b/>
                      <w:bCs/>
                    </w:rPr>
                    <w:t> </w:t>
                  </w:r>
                  <w:r w:rsidRPr="00667D0D">
                    <w:rPr>
                      <w:b/>
                      <w:bCs/>
                    </w:rPr>
                    <w:t>143</w:t>
                  </w:r>
                </w:p>
              </w:tc>
            </w:tr>
            <w:tr w:rsidR="008B37A9" w:rsidRPr="00667D0D" w14:paraId="0030988A" w14:textId="77777777" w:rsidTr="00A11153">
              <w:tc>
                <w:tcPr>
                  <w:cnfStyle w:val="001000000000" w:firstRow="0" w:lastRow="0" w:firstColumn="1" w:lastColumn="0" w:oddVBand="0" w:evenVBand="0" w:oddHBand="0" w:evenHBand="0" w:firstRowFirstColumn="0" w:firstRowLastColumn="0" w:lastRowFirstColumn="0" w:lastRowLastColumn="0"/>
                  <w:tcW w:w="3539" w:type="dxa"/>
                  <w:tcBorders>
                    <w:top w:val="single" w:sz="2" w:space="0" w:color="E57200"/>
                    <w:bottom w:val="single" w:sz="2" w:space="0" w:color="E57200"/>
                  </w:tcBorders>
                </w:tcPr>
                <w:p w14:paraId="39400241" w14:textId="77777777" w:rsidR="008B37A9" w:rsidRPr="00667D0D" w:rsidRDefault="008B37A9" w:rsidP="00586BA5">
                  <w:pPr>
                    <w:pStyle w:val="Tabletext"/>
                    <w:rPr>
                      <w:bCs/>
                    </w:rPr>
                  </w:pPr>
                  <w:r w:rsidRPr="00667D0D">
                    <w:rPr>
                      <w:bCs/>
                    </w:rPr>
                    <w:t>Total – contingency</w:t>
                  </w:r>
                </w:p>
              </w:tc>
              <w:tc>
                <w:tcPr>
                  <w:tcW w:w="1620" w:type="dxa"/>
                  <w:tcBorders>
                    <w:top w:val="single" w:sz="2" w:space="0" w:color="E57200"/>
                    <w:bottom w:val="single" w:sz="2" w:space="0" w:color="E57200"/>
                  </w:tcBorders>
                </w:tcPr>
                <w:p w14:paraId="67A3563F" w14:textId="521B46AE" w:rsidR="008B37A9" w:rsidRPr="00667D0D" w:rsidRDefault="008B37A9" w:rsidP="00586BA5">
                  <w:pPr>
                    <w:pStyle w:val="Tabletextright"/>
                    <w:cnfStyle w:val="000000000000" w:firstRow="0" w:lastRow="0" w:firstColumn="0" w:lastColumn="0" w:oddVBand="0" w:evenVBand="0" w:oddHBand="0" w:evenHBand="0" w:firstRowFirstColumn="0" w:firstRowLastColumn="0" w:lastRowFirstColumn="0" w:lastRowLastColumn="0"/>
                    <w:rPr>
                      <w:bCs/>
                    </w:rPr>
                  </w:pPr>
                  <w:r w:rsidRPr="00667D0D">
                    <w:rPr>
                      <w:bCs/>
                    </w:rPr>
                    <w:t>$5</w:t>
                  </w:r>
                  <w:r w:rsidR="00586BA5" w:rsidRPr="00667D0D">
                    <w:rPr>
                      <w:bCs/>
                    </w:rPr>
                    <w:t> </w:t>
                  </w:r>
                  <w:r w:rsidRPr="00667D0D">
                    <w:rPr>
                      <w:bCs/>
                    </w:rPr>
                    <w:t>550</w:t>
                  </w:r>
                </w:p>
              </w:tc>
            </w:tr>
            <w:tr w:rsidR="008B37A9" w:rsidRPr="00667D0D" w14:paraId="63256067" w14:textId="77777777" w:rsidTr="00A1115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2" w:space="0" w:color="E57200"/>
                    <w:bottom w:val="single" w:sz="2" w:space="0" w:color="E57200"/>
                  </w:tcBorders>
                </w:tcPr>
                <w:p w14:paraId="63589DF4" w14:textId="77777777" w:rsidR="008B37A9" w:rsidRPr="00667D0D" w:rsidRDefault="008B37A9" w:rsidP="008B37A9">
                  <w:pPr>
                    <w:spacing w:before="60"/>
                    <w:rPr>
                      <w:color w:val="000000" w:themeColor="text1"/>
                    </w:rPr>
                  </w:pPr>
                  <w:r w:rsidRPr="00667D0D">
                    <w:rPr>
                      <w:color w:val="000000" w:themeColor="text1"/>
                    </w:rPr>
                    <w:t>Project budget – gross TEI</w:t>
                  </w:r>
                </w:p>
              </w:tc>
              <w:tc>
                <w:tcPr>
                  <w:tcW w:w="1620" w:type="dxa"/>
                  <w:tcBorders>
                    <w:top w:val="single" w:sz="2" w:space="0" w:color="E57200"/>
                    <w:bottom w:val="single" w:sz="2" w:space="0" w:color="E57200"/>
                  </w:tcBorders>
                </w:tcPr>
                <w:p w14:paraId="59B07FD8" w14:textId="166CD162" w:rsidR="008B37A9" w:rsidRPr="00667D0D" w:rsidRDefault="008B37A9" w:rsidP="00586BA5">
                  <w:pPr>
                    <w:pStyle w:val="Tabletextright"/>
                    <w:cnfStyle w:val="010000000000" w:firstRow="0" w:lastRow="1" w:firstColumn="0" w:lastColumn="0" w:oddVBand="0" w:evenVBand="0" w:oddHBand="0" w:evenHBand="0" w:firstRowFirstColumn="0" w:firstRowLastColumn="0" w:lastRowFirstColumn="0" w:lastRowLastColumn="0"/>
                    <w:rPr>
                      <w:color w:val="000000" w:themeColor="text1"/>
                    </w:rPr>
                  </w:pPr>
                  <w:r w:rsidRPr="00667D0D">
                    <w:rPr>
                      <w:color w:val="000000" w:themeColor="text1"/>
                    </w:rPr>
                    <w:t>$77</w:t>
                  </w:r>
                  <w:r w:rsidR="00586BA5" w:rsidRPr="00667D0D">
                    <w:rPr>
                      <w:color w:val="000000" w:themeColor="text1"/>
                    </w:rPr>
                    <w:t> </w:t>
                  </w:r>
                  <w:r w:rsidRPr="00667D0D">
                    <w:rPr>
                      <w:color w:val="000000" w:themeColor="text1"/>
                    </w:rPr>
                    <w:t>693</w:t>
                  </w:r>
                </w:p>
              </w:tc>
            </w:tr>
          </w:tbl>
          <w:p w14:paraId="41D848DE" w14:textId="77777777" w:rsidR="00586BA5" w:rsidRPr="00667D0D" w:rsidRDefault="00586BA5" w:rsidP="00586BA5">
            <w:pPr>
              <w:pStyle w:val="Spacer"/>
            </w:pPr>
          </w:p>
          <w:p w14:paraId="2BDC4EDE" w14:textId="4DCAD93A" w:rsidR="008B37A9" w:rsidRPr="00667D0D" w:rsidRDefault="008B37A9" w:rsidP="00AE0F23">
            <w:pPr>
              <w:rPr>
                <w:b/>
                <w:color w:val="000000" w:themeColor="text1"/>
              </w:rPr>
            </w:pPr>
          </w:p>
        </w:tc>
      </w:tr>
      <w:tr w:rsidR="00586BA5" w:rsidRPr="0042214E" w14:paraId="283DF012" w14:textId="77777777" w:rsidTr="00586BA5">
        <w:trPr>
          <w:cantSplit/>
        </w:trPr>
        <w:tc>
          <w:tcPr>
            <w:tcW w:w="8719" w:type="dxa"/>
            <w:shd w:val="clear" w:color="auto" w:fill="FDEACC" w:themeFill="accent6"/>
          </w:tcPr>
          <w:p w14:paraId="7FFD14D2" w14:textId="77777777" w:rsidR="00586BA5" w:rsidRPr="00667D0D" w:rsidRDefault="00586BA5" w:rsidP="00007561">
            <w:pPr>
              <w:pStyle w:val="Tabletextbold"/>
              <w:jc w:val="center"/>
            </w:pPr>
            <w:r w:rsidRPr="00667D0D">
              <w:lastRenderedPageBreak/>
              <w:t>Estimated operational costs</w:t>
            </w:r>
          </w:p>
          <w:p w14:paraId="2B14BB4B" w14:textId="48CF9363" w:rsidR="00586BA5" w:rsidRPr="00667D0D" w:rsidRDefault="00586BA5" w:rsidP="00007561">
            <w:pPr>
              <w:pStyle w:val="Tabletext"/>
              <w:jc w:val="center"/>
            </w:pPr>
            <w:r w:rsidRPr="00667D0D">
              <w:t>The recommended option will lead to an increase in operating costs as health services are expanded. The estimated annual increase is shown below for the first four years of operation (2012</w:t>
            </w:r>
            <w:r w:rsidR="00875DA3" w:rsidRPr="00667D0D">
              <w:t>–</w:t>
            </w:r>
            <w:r w:rsidRPr="00667D0D">
              <w:t>13 to 2015</w:t>
            </w:r>
            <w:r w:rsidR="00875DA3" w:rsidRPr="00667D0D">
              <w:t>–</w:t>
            </w:r>
            <w:r w:rsidRPr="00667D0D">
              <w:t>16). The net present value of estimated, operational costs for the project solution (incremental to the base case and calculated over a 25</w:t>
            </w:r>
            <w:r w:rsidRPr="00667D0D">
              <w:noBreakHyphen/>
              <w:t>year period) is $229 million.</w:t>
            </w:r>
          </w:p>
          <w:p w14:paraId="55620197" w14:textId="267AB3F4" w:rsidR="00586BA5" w:rsidRPr="00667D0D" w:rsidRDefault="00586BA5" w:rsidP="00007561">
            <w:pPr>
              <w:pStyle w:val="Tabletextbold"/>
              <w:jc w:val="center"/>
            </w:pPr>
            <w:r w:rsidRPr="00667D0D">
              <w:t>Estimated operational cost of the preferred option (2012</w:t>
            </w:r>
            <w:r w:rsidR="00875DA3" w:rsidRPr="00667D0D">
              <w:t>–</w:t>
            </w:r>
            <w:r w:rsidRPr="00667D0D">
              <w:t>13 to 2014</w:t>
            </w:r>
            <w:r w:rsidR="00875DA3" w:rsidRPr="00667D0D">
              <w:t>–</w:t>
            </w:r>
            <w:r w:rsidRPr="00667D0D">
              <w:t>15) ($’000)</w:t>
            </w:r>
          </w:p>
          <w:tbl>
            <w:tblPr>
              <w:tblStyle w:val="DTFTextTable"/>
              <w:tblW w:w="8283" w:type="dxa"/>
              <w:tblLook w:val="06E0" w:firstRow="1" w:lastRow="1" w:firstColumn="1" w:lastColumn="0" w:noHBand="1" w:noVBand="1"/>
            </w:tblPr>
            <w:tblGrid>
              <w:gridCol w:w="2909"/>
              <w:gridCol w:w="1074"/>
              <w:gridCol w:w="1075"/>
              <w:gridCol w:w="1075"/>
              <w:gridCol w:w="1075"/>
              <w:gridCol w:w="1075"/>
            </w:tblGrid>
            <w:tr w:rsidR="00586BA5" w:rsidRPr="00667D0D" w14:paraId="142EEFD4" w14:textId="77777777" w:rsidTr="00586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9" w:type="dxa"/>
                </w:tcPr>
                <w:p w14:paraId="2BE3D36D" w14:textId="221E24E6" w:rsidR="00586BA5" w:rsidRPr="00667D0D" w:rsidRDefault="00586BA5" w:rsidP="00007561">
                  <w:pPr>
                    <w:jc w:val="center"/>
                    <w:rPr>
                      <w:rFonts w:ascii="Arial" w:hAnsi="Arial" w:cs="Arial"/>
                      <w:szCs w:val="18"/>
                    </w:rPr>
                  </w:pPr>
                  <w:r w:rsidRPr="00667D0D">
                    <w:rPr>
                      <w:rFonts w:ascii="Arial" w:hAnsi="Arial" w:cs="Arial"/>
                      <w:szCs w:val="18"/>
                    </w:rPr>
                    <w:t>Operating cost estimates</w:t>
                  </w:r>
                </w:p>
              </w:tc>
              <w:tc>
                <w:tcPr>
                  <w:tcW w:w="1074" w:type="dxa"/>
                </w:tcPr>
                <w:p w14:paraId="5E32C0B5" w14:textId="44503CAC" w:rsidR="00586BA5" w:rsidRPr="00667D0D" w:rsidRDefault="00586BA5" w:rsidP="00007561">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667D0D">
                    <w:rPr>
                      <w:rFonts w:ascii="Arial" w:hAnsi="Arial" w:cs="Arial"/>
                      <w:szCs w:val="18"/>
                    </w:rPr>
                    <w:t>2012</w:t>
                  </w:r>
                  <w:r w:rsidR="00875DA3" w:rsidRPr="00667D0D">
                    <w:rPr>
                      <w:rFonts w:ascii="Arial" w:hAnsi="Arial" w:cs="Arial"/>
                      <w:szCs w:val="18"/>
                    </w:rPr>
                    <w:t>–</w:t>
                  </w:r>
                  <w:r w:rsidRPr="00667D0D">
                    <w:rPr>
                      <w:rFonts w:ascii="Arial" w:hAnsi="Arial" w:cs="Arial"/>
                      <w:szCs w:val="18"/>
                    </w:rPr>
                    <w:t>13</w:t>
                  </w:r>
                </w:p>
              </w:tc>
              <w:tc>
                <w:tcPr>
                  <w:tcW w:w="1075" w:type="dxa"/>
                </w:tcPr>
                <w:p w14:paraId="5C17BDDD" w14:textId="6F92A753" w:rsidR="00586BA5" w:rsidRPr="00667D0D" w:rsidRDefault="00586BA5" w:rsidP="00007561">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667D0D">
                    <w:rPr>
                      <w:rFonts w:ascii="Arial" w:hAnsi="Arial" w:cs="Arial"/>
                      <w:szCs w:val="18"/>
                    </w:rPr>
                    <w:t>2013</w:t>
                  </w:r>
                  <w:r w:rsidR="00875DA3" w:rsidRPr="00667D0D">
                    <w:rPr>
                      <w:rFonts w:ascii="Arial" w:hAnsi="Arial" w:cs="Arial"/>
                      <w:szCs w:val="18"/>
                    </w:rPr>
                    <w:t>–</w:t>
                  </w:r>
                  <w:r w:rsidRPr="00667D0D">
                    <w:rPr>
                      <w:rFonts w:ascii="Arial" w:hAnsi="Arial" w:cs="Arial"/>
                      <w:szCs w:val="18"/>
                    </w:rPr>
                    <w:t>14</w:t>
                  </w:r>
                </w:p>
              </w:tc>
              <w:tc>
                <w:tcPr>
                  <w:tcW w:w="1075" w:type="dxa"/>
                </w:tcPr>
                <w:p w14:paraId="15DBA686" w14:textId="7DA1FF7D" w:rsidR="00586BA5" w:rsidRPr="00667D0D" w:rsidRDefault="00586BA5" w:rsidP="00007561">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667D0D">
                    <w:rPr>
                      <w:rFonts w:ascii="Arial" w:hAnsi="Arial" w:cs="Arial"/>
                      <w:szCs w:val="18"/>
                    </w:rPr>
                    <w:t>2014</w:t>
                  </w:r>
                  <w:r w:rsidR="00875DA3" w:rsidRPr="00667D0D">
                    <w:rPr>
                      <w:rFonts w:ascii="Arial" w:hAnsi="Arial" w:cs="Arial"/>
                      <w:szCs w:val="18"/>
                    </w:rPr>
                    <w:t>–</w:t>
                  </w:r>
                  <w:r w:rsidRPr="00667D0D">
                    <w:rPr>
                      <w:rFonts w:ascii="Arial" w:hAnsi="Arial" w:cs="Arial"/>
                      <w:szCs w:val="18"/>
                    </w:rPr>
                    <w:t>15</w:t>
                  </w:r>
                </w:p>
              </w:tc>
              <w:tc>
                <w:tcPr>
                  <w:tcW w:w="1075" w:type="dxa"/>
                </w:tcPr>
                <w:p w14:paraId="269010FD" w14:textId="2B5BA0C8" w:rsidR="00586BA5" w:rsidRPr="00667D0D" w:rsidRDefault="00586BA5" w:rsidP="00007561">
                  <w:pPr>
                    <w:ind w:left="-18"/>
                    <w:jc w:val="center"/>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667D0D">
                    <w:rPr>
                      <w:rFonts w:ascii="Arial" w:hAnsi="Arial" w:cs="Arial"/>
                      <w:szCs w:val="18"/>
                    </w:rPr>
                    <w:t>2015</w:t>
                  </w:r>
                  <w:r w:rsidR="00875DA3" w:rsidRPr="00667D0D">
                    <w:rPr>
                      <w:rFonts w:ascii="Arial" w:hAnsi="Arial" w:cs="Arial"/>
                      <w:szCs w:val="18"/>
                    </w:rPr>
                    <w:t>–</w:t>
                  </w:r>
                  <w:r w:rsidRPr="00667D0D">
                    <w:rPr>
                      <w:rFonts w:ascii="Arial" w:hAnsi="Arial" w:cs="Arial"/>
                      <w:szCs w:val="18"/>
                    </w:rPr>
                    <w:t>16</w:t>
                  </w:r>
                </w:p>
              </w:tc>
              <w:tc>
                <w:tcPr>
                  <w:tcW w:w="1075" w:type="dxa"/>
                </w:tcPr>
                <w:p w14:paraId="7FE8771F" w14:textId="77777777" w:rsidR="00586BA5" w:rsidRPr="00667D0D" w:rsidRDefault="00586BA5" w:rsidP="00007561">
                  <w:pPr>
                    <w:ind w:left="-18"/>
                    <w:jc w:val="center"/>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667D0D">
                    <w:rPr>
                      <w:rFonts w:ascii="Arial" w:hAnsi="Arial" w:cs="Arial"/>
                      <w:szCs w:val="18"/>
                    </w:rPr>
                    <w:t>4</w:t>
                  </w:r>
                  <w:r w:rsidRPr="00667D0D">
                    <w:rPr>
                      <w:rFonts w:ascii="Arial" w:hAnsi="Arial" w:cs="Arial"/>
                      <w:szCs w:val="18"/>
                    </w:rPr>
                    <w:noBreakHyphen/>
                    <w:t>year total</w:t>
                  </w:r>
                </w:p>
              </w:tc>
            </w:tr>
            <w:tr w:rsidR="00586BA5" w:rsidRPr="00667D0D" w14:paraId="5F1AC967" w14:textId="77777777" w:rsidTr="00586BA5">
              <w:tc>
                <w:tcPr>
                  <w:cnfStyle w:val="001000000000" w:firstRow="0" w:lastRow="0" w:firstColumn="1" w:lastColumn="0" w:oddVBand="0" w:evenVBand="0" w:oddHBand="0" w:evenHBand="0" w:firstRowFirstColumn="0" w:firstRowLastColumn="0" w:lastRowFirstColumn="0" w:lastRowLastColumn="0"/>
                  <w:tcW w:w="2909" w:type="dxa"/>
                  <w:tcBorders>
                    <w:bottom w:val="nil"/>
                  </w:tcBorders>
                </w:tcPr>
                <w:p w14:paraId="67B34C63" w14:textId="77777777" w:rsidR="00586BA5" w:rsidRPr="00667D0D" w:rsidRDefault="00586BA5" w:rsidP="00007561">
                  <w:pPr>
                    <w:spacing w:before="60"/>
                    <w:jc w:val="center"/>
                    <w:rPr>
                      <w:rFonts w:ascii="Arial" w:hAnsi="Arial" w:cs="Arial"/>
                      <w:color w:val="000000" w:themeColor="text1"/>
                      <w:szCs w:val="18"/>
                    </w:rPr>
                  </w:pPr>
                  <w:r w:rsidRPr="00667D0D">
                    <w:rPr>
                      <w:rFonts w:ascii="Arial" w:hAnsi="Arial" w:cs="Arial"/>
                      <w:color w:val="000000" w:themeColor="text1"/>
                      <w:szCs w:val="18"/>
                    </w:rPr>
                    <w:t>Operational expenditure</w:t>
                  </w:r>
                </w:p>
              </w:tc>
              <w:tc>
                <w:tcPr>
                  <w:tcW w:w="1074" w:type="dxa"/>
                  <w:tcBorders>
                    <w:bottom w:val="nil"/>
                  </w:tcBorders>
                  <w:vAlign w:val="bottom"/>
                </w:tcPr>
                <w:p w14:paraId="648670E4" w14:textId="4D928DC1" w:rsidR="00586BA5" w:rsidRPr="00667D0D" w:rsidRDefault="00586BA5" w:rsidP="00007561">
                  <w:pPr>
                    <w:spacing w:before="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667D0D">
                    <w:rPr>
                      <w:rFonts w:ascii="Arial" w:hAnsi="Arial" w:cs="Arial"/>
                      <w:color w:val="000000" w:themeColor="text1"/>
                      <w:szCs w:val="18"/>
                    </w:rPr>
                    <w:t>$262 850</w:t>
                  </w:r>
                </w:p>
              </w:tc>
              <w:tc>
                <w:tcPr>
                  <w:tcW w:w="1075" w:type="dxa"/>
                  <w:tcBorders>
                    <w:bottom w:val="nil"/>
                  </w:tcBorders>
                  <w:vAlign w:val="bottom"/>
                </w:tcPr>
                <w:p w14:paraId="14A5CF7F" w14:textId="7CB9A64C" w:rsidR="00586BA5" w:rsidRPr="00667D0D" w:rsidRDefault="00586BA5" w:rsidP="00007561">
                  <w:pPr>
                    <w:spacing w:before="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667D0D">
                    <w:rPr>
                      <w:rFonts w:ascii="Arial" w:hAnsi="Arial" w:cs="Arial"/>
                      <w:color w:val="000000" w:themeColor="text1"/>
                      <w:szCs w:val="18"/>
                    </w:rPr>
                    <w:t>$273 364</w:t>
                  </w:r>
                </w:p>
              </w:tc>
              <w:tc>
                <w:tcPr>
                  <w:tcW w:w="1075" w:type="dxa"/>
                  <w:tcBorders>
                    <w:bottom w:val="nil"/>
                  </w:tcBorders>
                  <w:vAlign w:val="bottom"/>
                </w:tcPr>
                <w:p w14:paraId="3815E77F" w14:textId="67873BB1" w:rsidR="00586BA5" w:rsidRPr="00667D0D" w:rsidRDefault="00586BA5" w:rsidP="00007561">
                  <w:pPr>
                    <w:spacing w:before="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667D0D">
                    <w:rPr>
                      <w:rFonts w:ascii="Arial" w:hAnsi="Arial" w:cs="Arial"/>
                      <w:color w:val="000000" w:themeColor="text1"/>
                      <w:szCs w:val="18"/>
                    </w:rPr>
                    <w:t>$284 299</w:t>
                  </w:r>
                </w:p>
              </w:tc>
              <w:tc>
                <w:tcPr>
                  <w:tcW w:w="1075" w:type="dxa"/>
                  <w:tcBorders>
                    <w:bottom w:val="nil"/>
                  </w:tcBorders>
                  <w:vAlign w:val="bottom"/>
                </w:tcPr>
                <w:p w14:paraId="3B5EBAFE" w14:textId="7830C928" w:rsidR="00586BA5" w:rsidRPr="00667D0D" w:rsidRDefault="00586BA5" w:rsidP="00007561">
                  <w:pPr>
                    <w:spacing w:before="60"/>
                    <w:ind w:left="-18"/>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667D0D">
                    <w:rPr>
                      <w:rFonts w:ascii="Arial" w:hAnsi="Arial" w:cs="Arial"/>
                      <w:color w:val="000000" w:themeColor="text1"/>
                      <w:szCs w:val="18"/>
                    </w:rPr>
                    <w:t>$295 671</w:t>
                  </w:r>
                </w:p>
              </w:tc>
              <w:tc>
                <w:tcPr>
                  <w:tcW w:w="1075" w:type="dxa"/>
                  <w:tcBorders>
                    <w:bottom w:val="nil"/>
                  </w:tcBorders>
                  <w:vAlign w:val="bottom"/>
                </w:tcPr>
                <w:p w14:paraId="3C388388" w14:textId="3DF786A6" w:rsidR="00586BA5" w:rsidRPr="00667D0D" w:rsidRDefault="00586BA5" w:rsidP="00007561">
                  <w:pPr>
                    <w:spacing w:before="60"/>
                    <w:ind w:left="-18"/>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667D0D">
                    <w:rPr>
                      <w:rFonts w:ascii="Arial" w:hAnsi="Arial" w:cs="Arial"/>
                      <w:color w:val="000000" w:themeColor="text1"/>
                      <w:szCs w:val="18"/>
                    </w:rPr>
                    <w:t>$1 116 183</w:t>
                  </w:r>
                </w:p>
              </w:tc>
            </w:tr>
            <w:tr w:rsidR="00586BA5" w:rsidRPr="00667D0D" w14:paraId="0B4B28A7" w14:textId="77777777" w:rsidTr="00586BA5">
              <w:tc>
                <w:tcPr>
                  <w:cnfStyle w:val="001000000000" w:firstRow="0" w:lastRow="0" w:firstColumn="1" w:lastColumn="0" w:oddVBand="0" w:evenVBand="0" w:oddHBand="0" w:evenHBand="0" w:firstRowFirstColumn="0" w:firstRowLastColumn="0" w:lastRowFirstColumn="0" w:lastRowLastColumn="0"/>
                  <w:tcW w:w="2909" w:type="dxa"/>
                  <w:tcBorders>
                    <w:bottom w:val="single" w:sz="8" w:space="0" w:color="E57200" w:themeColor="accent2"/>
                  </w:tcBorders>
                </w:tcPr>
                <w:p w14:paraId="21AD5BD2" w14:textId="77777777" w:rsidR="00586BA5" w:rsidRPr="00667D0D" w:rsidRDefault="00586BA5" w:rsidP="00007561">
                  <w:pPr>
                    <w:spacing w:before="60"/>
                    <w:jc w:val="center"/>
                    <w:rPr>
                      <w:rFonts w:ascii="Arial" w:hAnsi="Arial" w:cs="Arial"/>
                      <w:color w:val="000000" w:themeColor="text1"/>
                      <w:szCs w:val="18"/>
                    </w:rPr>
                  </w:pPr>
                  <w:r w:rsidRPr="00667D0D">
                    <w:rPr>
                      <w:rFonts w:ascii="Arial" w:hAnsi="Arial" w:cs="Arial"/>
                      <w:color w:val="000000" w:themeColor="text1"/>
                      <w:szCs w:val="18"/>
                    </w:rPr>
                    <w:t>Less expenditures (base case)</w:t>
                  </w:r>
                </w:p>
              </w:tc>
              <w:tc>
                <w:tcPr>
                  <w:tcW w:w="1074" w:type="dxa"/>
                  <w:tcBorders>
                    <w:bottom w:val="single" w:sz="8" w:space="0" w:color="E57200" w:themeColor="accent2"/>
                  </w:tcBorders>
                  <w:vAlign w:val="bottom"/>
                </w:tcPr>
                <w:p w14:paraId="12A8543E" w14:textId="722A53C8" w:rsidR="00586BA5" w:rsidRPr="00667D0D" w:rsidRDefault="00586BA5" w:rsidP="00007561">
                  <w:pPr>
                    <w:spacing w:before="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667D0D">
                    <w:rPr>
                      <w:rFonts w:ascii="Arial" w:hAnsi="Arial" w:cs="Arial"/>
                      <w:color w:val="000000" w:themeColor="text1"/>
                      <w:szCs w:val="18"/>
                    </w:rPr>
                    <w:t>$260 000</w:t>
                  </w:r>
                </w:p>
              </w:tc>
              <w:tc>
                <w:tcPr>
                  <w:tcW w:w="1075" w:type="dxa"/>
                  <w:tcBorders>
                    <w:bottom w:val="single" w:sz="8" w:space="0" w:color="E57200" w:themeColor="accent2"/>
                  </w:tcBorders>
                  <w:vAlign w:val="bottom"/>
                </w:tcPr>
                <w:p w14:paraId="5EB496E7" w14:textId="27C62792" w:rsidR="00586BA5" w:rsidRPr="00667D0D" w:rsidRDefault="00586BA5" w:rsidP="00007561">
                  <w:pPr>
                    <w:spacing w:before="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667D0D">
                    <w:rPr>
                      <w:rFonts w:ascii="Arial" w:hAnsi="Arial" w:cs="Arial"/>
                      <w:color w:val="000000" w:themeColor="text1"/>
                      <w:szCs w:val="18"/>
                    </w:rPr>
                    <w:t>$269 100</w:t>
                  </w:r>
                </w:p>
              </w:tc>
              <w:tc>
                <w:tcPr>
                  <w:tcW w:w="1075" w:type="dxa"/>
                  <w:tcBorders>
                    <w:bottom w:val="single" w:sz="8" w:space="0" w:color="E57200" w:themeColor="accent2"/>
                  </w:tcBorders>
                  <w:vAlign w:val="bottom"/>
                </w:tcPr>
                <w:p w14:paraId="510E0797" w14:textId="39FBFA9D" w:rsidR="00586BA5" w:rsidRPr="00667D0D" w:rsidRDefault="00586BA5" w:rsidP="00007561">
                  <w:pPr>
                    <w:spacing w:before="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667D0D">
                    <w:rPr>
                      <w:rFonts w:ascii="Arial" w:hAnsi="Arial" w:cs="Arial"/>
                      <w:color w:val="000000" w:themeColor="text1"/>
                      <w:szCs w:val="18"/>
                    </w:rPr>
                    <w:t>$278 519</w:t>
                  </w:r>
                </w:p>
              </w:tc>
              <w:tc>
                <w:tcPr>
                  <w:tcW w:w="1075" w:type="dxa"/>
                  <w:tcBorders>
                    <w:bottom w:val="single" w:sz="8" w:space="0" w:color="E57200" w:themeColor="accent2"/>
                  </w:tcBorders>
                  <w:vAlign w:val="bottom"/>
                </w:tcPr>
                <w:p w14:paraId="2246065F" w14:textId="708D5E60" w:rsidR="00586BA5" w:rsidRPr="00667D0D" w:rsidRDefault="00586BA5" w:rsidP="00007561">
                  <w:pPr>
                    <w:spacing w:before="60"/>
                    <w:ind w:left="-18"/>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667D0D">
                    <w:rPr>
                      <w:rFonts w:ascii="Arial" w:hAnsi="Arial" w:cs="Arial"/>
                      <w:color w:val="000000" w:themeColor="text1"/>
                      <w:szCs w:val="18"/>
                    </w:rPr>
                    <w:t>$288 267</w:t>
                  </w:r>
                </w:p>
              </w:tc>
              <w:tc>
                <w:tcPr>
                  <w:tcW w:w="1075" w:type="dxa"/>
                  <w:tcBorders>
                    <w:bottom w:val="single" w:sz="8" w:space="0" w:color="E57200" w:themeColor="accent2"/>
                  </w:tcBorders>
                  <w:vAlign w:val="bottom"/>
                </w:tcPr>
                <w:p w14:paraId="736F2E2B" w14:textId="3CEBD2AE" w:rsidR="00586BA5" w:rsidRPr="00667D0D" w:rsidRDefault="00586BA5" w:rsidP="00007561">
                  <w:pPr>
                    <w:spacing w:before="60"/>
                    <w:ind w:left="-18"/>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667D0D">
                    <w:rPr>
                      <w:rFonts w:ascii="Arial" w:hAnsi="Arial" w:cs="Arial"/>
                      <w:color w:val="000000" w:themeColor="text1"/>
                      <w:szCs w:val="18"/>
                    </w:rPr>
                    <w:t>$1 095 885</w:t>
                  </w:r>
                </w:p>
              </w:tc>
            </w:tr>
            <w:tr w:rsidR="00586BA5" w:rsidRPr="0042214E" w14:paraId="5CBA7D2D" w14:textId="77777777" w:rsidTr="00586BA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9" w:type="dxa"/>
                  <w:tcBorders>
                    <w:top w:val="single" w:sz="8" w:space="0" w:color="E57200" w:themeColor="accent2"/>
                    <w:bottom w:val="single" w:sz="12" w:space="0" w:color="E57200" w:themeColor="accent2"/>
                  </w:tcBorders>
                </w:tcPr>
                <w:p w14:paraId="5D633A0D" w14:textId="77777777" w:rsidR="00586BA5" w:rsidRPr="00667D0D" w:rsidRDefault="00586BA5" w:rsidP="00007561">
                  <w:pPr>
                    <w:spacing w:before="60"/>
                    <w:jc w:val="center"/>
                    <w:rPr>
                      <w:rFonts w:ascii="Arial" w:hAnsi="Arial" w:cs="Arial"/>
                      <w:color w:val="000000" w:themeColor="text1"/>
                      <w:szCs w:val="18"/>
                    </w:rPr>
                  </w:pPr>
                  <w:r w:rsidRPr="00667D0D">
                    <w:rPr>
                      <w:rFonts w:ascii="Arial" w:hAnsi="Arial" w:cs="Arial"/>
                      <w:color w:val="000000" w:themeColor="text1"/>
                      <w:szCs w:val="18"/>
                    </w:rPr>
                    <w:t>Incremental operational cost</w:t>
                  </w:r>
                </w:p>
              </w:tc>
              <w:tc>
                <w:tcPr>
                  <w:tcW w:w="1074" w:type="dxa"/>
                  <w:tcBorders>
                    <w:top w:val="single" w:sz="8" w:space="0" w:color="E57200" w:themeColor="accent2"/>
                    <w:bottom w:val="single" w:sz="12" w:space="0" w:color="E57200" w:themeColor="accent2"/>
                  </w:tcBorders>
                  <w:vAlign w:val="bottom"/>
                </w:tcPr>
                <w:p w14:paraId="42B6E515" w14:textId="59F21DA8" w:rsidR="00586BA5" w:rsidRPr="00667D0D" w:rsidRDefault="00586BA5" w:rsidP="00007561">
                  <w:pPr>
                    <w:spacing w:before="6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18"/>
                    </w:rPr>
                  </w:pPr>
                  <w:r w:rsidRPr="00667D0D">
                    <w:rPr>
                      <w:rFonts w:ascii="Arial" w:hAnsi="Arial" w:cs="Arial"/>
                      <w:color w:val="000000" w:themeColor="text1"/>
                      <w:szCs w:val="18"/>
                    </w:rPr>
                    <w:t>$2 850</w:t>
                  </w:r>
                </w:p>
              </w:tc>
              <w:tc>
                <w:tcPr>
                  <w:tcW w:w="1075" w:type="dxa"/>
                  <w:tcBorders>
                    <w:top w:val="single" w:sz="8" w:space="0" w:color="E57200" w:themeColor="accent2"/>
                    <w:bottom w:val="single" w:sz="12" w:space="0" w:color="E57200" w:themeColor="accent2"/>
                  </w:tcBorders>
                  <w:vAlign w:val="bottom"/>
                </w:tcPr>
                <w:p w14:paraId="7D7F20BB" w14:textId="1F1C2769" w:rsidR="00586BA5" w:rsidRPr="00667D0D" w:rsidRDefault="00586BA5" w:rsidP="00007561">
                  <w:pPr>
                    <w:spacing w:before="6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18"/>
                    </w:rPr>
                  </w:pPr>
                  <w:r w:rsidRPr="00667D0D">
                    <w:rPr>
                      <w:rFonts w:ascii="Arial" w:hAnsi="Arial" w:cs="Arial"/>
                      <w:color w:val="000000" w:themeColor="text1"/>
                      <w:szCs w:val="18"/>
                    </w:rPr>
                    <w:t>$4 264</w:t>
                  </w:r>
                </w:p>
              </w:tc>
              <w:tc>
                <w:tcPr>
                  <w:tcW w:w="1075" w:type="dxa"/>
                  <w:tcBorders>
                    <w:top w:val="single" w:sz="8" w:space="0" w:color="E57200" w:themeColor="accent2"/>
                    <w:bottom w:val="single" w:sz="12" w:space="0" w:color="E57200" w:themeColor="accent2"/>
                  </w:tcBorders>
                  <w:vAlign w:val="bottom"/>
                </w:tcPr>
                <w:p w14:paraId="1117986D" w14:textId="7C7F4FEE" w:rsidR="00586BA5" w:rsidRPr="00667D0D" w:rsidRDefault="00586BA5" w:rsidP="00007561">
                  <w:pPr>
                    <w:spacing w:before="6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18"/>
                    </w:rPr>
                  </w:pPr>
                  <w:r w:rsidRPr="00667D0D">
                    <w:rPr>
                      <w:rFonts w:ascii="Arial" w:hAnsi="Arial" w:cs="Arial"/>
                      <w:color w:val="000000" w:themeColor="text1"/>
                      <w:szCs w:val="18"/>
                    </w:rPr>
                    <w:t>$5 780</w:t>
                  </w:r>
                </w:p>
              </w:tc>
              <w:tc>
                <w:tcPr>
                  <w:tcW w:w="1075" w:type="dxa"/>
                  <w:tcBorders>
                    <w:top w:val="single" w:sz="8" w:space="0" w:color="E57200" w:themeColor="accent2"/>
                    <w:bottom w:val="single" w:sz="12" w:space="0" w:color="E57200" w:themeColor="accent2"/>
                  </w:tcBorders>
                  <w:vAlign w:val="bottom"/>
                </w:tcPr>
                <w:p w14:paraId="513F560D" w14:textId="61F3A48A" w:rsidR="00586BA5" w:rsidRPr="00667D0D" w:rsidRDefault="00586BA5" w:rsidP="00007561">
                  <w:pPr>
                    <w:spacing w:before="60"/>
                    <w:ind w:left="-18"/>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18"/>
                    </w:rPr>
                  </w:pPr>
                  <w:r w:rsidRPr="00667D0D">
                    <w:rPr>
                      <w:rFonts w:ascii="Arial" w:hAnsi="Arial" w:cs="Arial"/>
                      <w:color w:val="000000" w:themeColor="text1"/>
                      <w:szCs w:val="18"/>
                    </w:rPr>
                    <w:t>$7 404</w:t>
                  </w:r>
                </w:p>
              </w:tc>
              <w:tc>
                <w:tcPr>
                  <w:tcW w:w="1075" w:type="dxa"/>
                  <w:tcBorders>
                    <w:top w:val="single" w:sz="8" w:space="0" w:color="E57200" w:themeColor="accent2"/>
                    <w:bottom w:val="single" w:sz="12" w:space="0" w:color="E57200" w:themeColor="accent2"/>
                  </w:tcBorders>
                  <w:vAlign w:val="bottom"/>
                </w:tcPr>
                <w:p w14:paraId="05D5235E" w14:textId="179B70AC" w:rsidR="00586BA5" w:rsidRPr="0042214E" w:rsidRDefault="00586BA5" w:rsidP="00007561">
                  <w:pPr>
                    <w:spacing w:before="60"/>
                    <w:ind w:left="-18"/>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18"/>
                    </w:rPr>
                  </w:pPr>
                  <w:r w:rsidRPr="00667D0D">
                    <w:rPr>
                      <w:rFonts w:ascii="Arial" w:hAnsi="Arial" w:cs="Arial"/>
                      <w:color w:val="000000" w:themeColor="text1"/>
                      <w:szCs w:val="18"/>
                    </w:rPr>
                    <w:t>$20 298</w:t>
                  </w:r>
                </w:p>
              </w:tc>
            </w:tr>
          </w:tbl>
          <w:p w14:paraId="325FB3BC" w14:textId="77777777" w:rsidR="00586BA5" w:rsidRPr="0042214E" w:rsidRDefault="00586BA5" w:rsidP="00007561">
            <w:pPr>
              <w:pStyle w:val="Spacer"/>
              <w:jc w:val="center"/>
            </w:pPr>
          </w:p>
          <w:p w14:paraId="5F004402" w14:textId="62B41A3E" w:rsidR="00586BA5" w:rsidRPr="0042214E" w:rsidRDefault="00586BA5" w:rsidP="00007561">
            <w:pPr>
              <w:pStyle w:val="Spacer"/>
              <w:jc w:val="center"/>
            </w:pPr>
          </w:p>
        </w:tc>
      </w:tr>
    </w:tbl>
    <w:p w14:paraId="6E76F372" w14:textId="77777777" w:rsidR="00AE0F23" w:rsidRPr="0042214E" w:rsidRDefault="00AE0F23" w:rsidP="00927267"/>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AE0F23" w:rsidRPr="0042214E" w14:paraId="4083EEF6" w14:textId="77777777" w:rsidTr="00586BA5">
        <w:tc>
          <w:tcPr>
            <w:tcW w:w="8719" w:type="dxa"/>
            <w:shd w:val="clear" w:color="auto" w:fill="FDF3EA" w:themeFill="accent5" w:themeFillTint="33"/>
          </w:tcPr>
          <w:p w14:paraId="6122EB93" w14:textId="27624134" w:rsidR="00AE0F23" w:rsidRPr="0042214E" w:rsidRDefault="00AE0F23" w:rsidP="00586BA5">
            <w:pPr>
              <w:pStyle w:val="Tabletextbold"/>
            </w:pPr>
            <w:r w:rsidRPr="0042214E">
              <w:t xml:space="preserve">Business case information requirements for the costing and economic evaluation of the </w:t>
            </w:r>
            <w:r w:rsidR="00D21FB0" w:rsidRPr="0042214E">
              <w:t xml:space="preserve">project </w:t>
            </w:r>
            <w:r w:rsidRPr="0042214E">
              <w:t>solution</w:t>
            </w:r>
          </w:p>
          <w:p w14:paraId="13B455D3" w14:textId="654BBAFA" w:rsidR="00AE0F23" w:rsidRPr="0042214E" w:rsidRDefault="00AE0F23" w:rsidP="00586BA5">
            <w:pPr>
              <w:pStyle w:val="Tablebullet"/>
            </w:pPr>
            <w:r w:rsidRPr="0042214E">
              <w:t xml:space="preserve">Provide a detailed overview of the costing for the </w:t>
            </w:r>
            <w:r w:rsidR="00D21FB0" w:rsidRPr="0042214E">
              <w:t>project s</w:t>
            </w:r>
            <w:r w:rsidRPr="0042214E">
              <w:t xml:space="preserve">olution, including capital TEI and output costs. Include budget cash flow over a relevant period for both capital </w:t>
            </w:r>
            <w:r w:rsidR="00DE448B" w:rsidRPr="0042214E">
              <w:t xml:space="preserve">(supported by risk and contingencies) </w:t>
            </w:r>
            <w:r w:rsidRPr="0042214E">
              <w:t xml:space="preserve">and output amounts. </w:t>
            </w:r>
          </w:p>
          <w:p w14:paraId="084D36F4" w14:textId="2D98C08D" w:rsidR="00AE0F23" w:rsidRPr="0042214E" w:rsidRDefault="00AE0F23" w:rsidP="00586BA5">
            <w:pPr>
              <w:pStyle w:val="Tablebullet"/>
            </w:pPr>
            <w:r w:rsidRPr="0042214E">
              <w:t xml:space="preserve">The project budget estimate </w:t>
            </w:r>
            <w:proofErr w:type="gramStart"/>
            <w:r w:rsidRPr="0042214E">
              <w:t>including:</w:t>
            </w:r>
            <w:proofErr w:type="gramEnd"/>
            <w:r w:rsidRPr="0042214E">
              <w:t xml:space="preserve"> base cost estimate, base risk allocation and contingency should be based on a project scope statement at the preliminary design estimate level.</w:t>
            </w:r>
          </w:p>
          <w:p w14:paraId="1541E411" w14:textId="472F107A" w:rsidR="00AE0F23" w:rsidRPr="0042214E" w:rsidRDefault="00AE0F23" w:rsidP="00586BA5">
            <w:pPr>
              <w:pStyle w:val="Tablebullet"/>
            </w:pPr>
            <w:r w:rsidRPr="0042214E">
              <w:t xml:space="preserve">Identify the impact on output funding and the breakdown of operating costs to key components such as staffing, maintenance, depreciation, etc. This detail should extend over a reasonable period of years to allow a whole of life costing perspective. </w:t>
            </w:r>
          </w:p>
          <w:p w14:paraId="1BD72736" w14:textId="297AAFD4" w:rsidR="00AE0F23" w:rsidRPr="0042214E" w:rsidRDefault="00AE0F23" w:rsidP="00586BA5">
            <w:pPr>
              <w:pStyle w:val="Tablebullet"/>
            </w:pPr>
            <w:r w:rsidRPr="0042214E">
              <w:t xml:space="preserve">Departments should consult with DTF to agree costings for the </w:t>
            </w:r>
            <w:r w:rsidR="00D21FB0" w:rsidRPr="0042214E">
              <w:t xml:space="preserve">project </w:t>
            </w:r>
            <w:r w:rsidRPr="0042214E">
              <w:t xml:space="preserve">solution before submitting the business case for </w:t>
            </w:r>
            <w:r w:rsidR="00875DA3" w:rsidRPr="0042214E">
              <w:t xml:space="preserve">budget </w:t>
            </w:r>
            <w:r w:rsidRPr="0042214E">
              <w:t>funding consideration.</w:t>
            </w:r>
          </w:p>
          <w:p w14:paraId="2807FD96" w14:textId="7285198C" w:rsidR="00AE0F23" w:rsidRPr="0042214E" w:rsidRDefault="00AE0F23" w:rsidP="00586BA5">
            <w:pPr>
              <w:pStyle w:val="Tablebullet"/>
            </w:pPr>
            <w:r w:rsidRPr="0042214E">
              <w:t xml:space="preserve">The </w:t>
            </w:r>
            <w:r w:rsidR="00FB373D" w:rsidRPr="0042214E">
              <w:t xml:space="preserve">net present value </w:t>
            </w:r>
            <w:r w:rsidRPr="0042214E">
              <w:t xml:space="preserve">estimate should be recalculated based on the refined costs and a more developed assessment of the benefits for the </w:t>
            </w:r>
            <w:r w:rsidR="00D21FB0" w:rsidRPr="0042214E">
              <w:t xml:space="preserve">project </w:t>
            </w:r>
            <w:r w:rsidRPr="0042214E">
              <w:t xml:space="preserve">solution. For the </w:t>
            </w:r>
            <w:r w:rsidR="00D21FB0" w:rsidRPr="0042214E">
              <w:t xml:space="preserve">project </w:t>
            </w:r>
            <w:r w:rsidRPr="0042214E">
              <w:t>solution agencies may need to invest in valuation techniques such as market</w:t>
            </w:r>
            <w:r w:rsidR="00034452" w:rsidRPr="0042214E">
              <w:noBreakHyphen/>
            </w:r>
            <w:r w:rsidRPr="0042214E">
              <w:t>based valuation, revealed preferences, stated preference or benefit transfer method to better assess the monetary value of benefits. Note: this should only be undertaken if the additional effort and expense incurred in assigning monetary values reflects the likely size of those impacts.</w:t>
            </w:r>
          </w:p>
          <w:p w14:paraId="41C74917" w14:textId="1FE194AB" w:rsidR="00AE0F23" w:rsidRPr="0042214E" w:rsidRDefault="00AE0F23" w:rsidP="00586BA5">
            <w:pPr>
              <w:pStyle w:val="Tablebullet"/>
            </w:pPr>
            <w:r w:rsidRPr="0042214E">
              <w:t xml:space="preserve">Based on the detailed costing of capital, outputs and benefits for the </w:t>
            </w:r>
            <w:r w:rsidR="00D21FB0" w:rsidRPr="0042214E">
              <w:t xml:space="preserve">project </w:t>
            </w:r>
            <w:r w:rsidRPr="0042214E">
              <w:t>solution formalise the economic analysis (</w:t>
            </w:r>
            <w:r w:rsidR="00FB7609" w:rsidRPr="0042214E">
              <w:t>e.g.,</w:t>
            </w:r>
            <w:r w:rsidRPr="0042214E">
              <w:t xml:space="preserve"> NPV and BCR) to demonstrate the economic impact of the investment.</w:t>
            </w:r>
          </w:p>
          <w:p w14:paraId="78D7EF24" w14:textId="644EC50C" w:rsidR="00E30ADA" w:rsidRPr="0042214E" w:rsidRDefault="00E30ADA" w:rsidP="00586BA5">
            <w:pPr>
              <w:pStyle w:val="Tablebullet"/>
            </w:pPr>
            <w:r w:rsidRPr="0042214E">
              <w:t>Outline all state delivery costs</w:t>
            </w:r>
            <w:r w:rsidR="00875DA3" w:rsidRPr="0042214E">
              <w:t>,</w:t>
            </w:r>
            <w:r w:rsidRPr="0042214E">
              <w:t xml:space="preserve"> including staffing impacts.</w:t>
            </w:r>
          </w:p>
          <w:p w14:paraId="021CD433" w14:textId="212BB2B7" w:rsidR="00E30ADA" w:rsidRPr="0042214E" w:rsidRDefault="00E30ADA" w:rsidP="00586BA5">
            <w:pPr>
              <w:pStyle w:val="Tablebullet"/>
            </w:pPr>
            <w:r w:rsidRPr="0042214E">
              <w:t>Provide detailed summary of expected whole of life costs and maintenance costs.</w:t>
            </w:r>
          </w:p>
          <w:p w14:paraId="00A7CD84" w14:textId="35732D06" w:rsidR="00420860" w:rsidRPr="0042214E" w:rsidRDefault="00420860" w:rsidP="00586BA5">
            <w:pPr>
              <w:pStyle w:val="Tablebullet"/>
            </w:pPr>
            <w:r w:rsidRPr="0042214E">
              <w:t>Undertake project budget risk assessment and management strategies.</w:t>
            </w:r>
          </w:p>
        </w:tc>
      </w:tr>
    </w:tbl>
    <w:p w14:paraId="2BA1DC10" w14:textId="77777777" w:rsidR="00586BA5" w:rsidRPr="0042214E" w:rsidRDefault="00586BA5" w:rsidP="00586BA5">
      <w:pPr>
        <w:pStyle w:val="Spacer"/>
      </w:pPr>
      <w:bookmarkStart w:id="195" w:name="_Toc18568673"/>
      <w:bookmarkEnd w:id="195"/>
    </w:p>
    <w:p w14:paraId="1B8D7C63" w14:textId="77777777" w:rsidR="00E751EA" w:rsidRPr="00E751EA" w:rsidRDefault="00E751EA" w:rsidP="00E751EA">
      <w:r w:rsidRPr="00E751EA">
        <w:br w:type="page"/>
      </w:r>
    </w:p>
    <w:p w14:paraId="103024EC" w14:textId="4B8AADB2" w:rsidR="0078220D" w:rsidRPr="0042214E" w:rsidRDefault="0078220D" w:rsidP="006B713F">
      <w:pPr>
        <w:pStyle w:val="NormalIndent"/>
      </w:pPr>
      <w:r w:rsidRPr="0042214E">
        <w:lastRenderedPageBreak/>
        <w:t xml:space="preserve">Refer </w:t>
      </w:r>
      <w:r w:rsidRPr="00FA4CA3">
        <w:rPr>
          <w:color w:val="000000" w:themeColor="text1"/>
        </w:rPr>
        <w:t xml:space="preserve">to the </w:t>
      </w:r>
      <w:r w:rsidRPr="00922978">
        <w:rPr>
          <w:b/>
          <w:color w:val="E57200" w:themeColor="accent2"/>
        </w:rPr>
        <w:t>Project Budgets</w:t>
      </w:r>
      <w:r w:rsidRPr="00922978">
        <w:rPr>
          <w:color w:val="E57200" w:themeColor="accent2"/>
        </w:rPr>
        <w:t xml:space="preserve"> </w:t>
      </w:r>
      <w:r w:rsidRPr="00FA4CA3">
        <w:rPr>
          <w:color w:val="000000" w:themeColor="text1"/>
        </w:rPr>
        <w:t xml:space="preserve">technical guide for more </w:t>
      </w:r>
      <w:r w:rsidRPr="0042214E">
        <w:t>information.</w:t>
      </w:r>
    </w:p>
    <w:p w14:paraId="7EA0AAB7" w14:textId="05C2CB59" w:rsidR="00532CA7" w:rsidRPr="0042214E" w:rsidRDefault="00C53007" w:rsidP="005E1934">
      <w:pPr>
        <w:pStyle w:val="Heading2numbered"/>
      </w:pPr>
      <w:bookmarkStart w:id="196" w:name="_Toc121415345"/>
      <w:r w:rsidRPr="0042214E">
        <w:t>Step 10</w:t>
      </w:r>
      <w:r w:rsidR="0078220D" w:rsidRPr="0042214E">
        <w:t>:</w:t>
      </w:r>
      <w:r w:rsidRPr="0042214E">
        <w:t xml:space="preserve"> </w:t>
      </w:r>
      <w:r w:rsidR="00532CA7" w:rsidRPr="0042214E">
        <w:t>Management</w:t>
      </w:r>
      <w:bookmarkEnd w:id="196"/>
      <w:r w:rsidR="00532CA7" w:rsidRPr="0042214E">
        <w:t xml:space="preserve"> </w:t>
      </w:r>
    </w:p>
    <w:p w14:paraId="74C226E3" w14:textId="77777777" w:rsidR="0004650F" w:rsidRPr="0042214E" w:rsidRDefault="00532CA7" w:rsidP="005E1934">
      <w:pPr>
        <w:pStyle w:val="Heading3numbered"/>
      </w:pPr>
      <w:bookmarkStart w:id="197" w:name="_Toc121415346"/>
      <w:r w:rsidRPr="0042214E">
        <w:t>Governance</w:t>
      </w:r>
      <w:bookmarkEnd w:id="197"/>
    </w:p>
    <w:p w14:paraId="69401049" w14:textId="5CAD792E" w:rsidR="00532CA7" w:rsidRPr="0042214E" w:rsidRDefault="009754E0" w:rsidP="003E7FCF">
      <w:pPr>
        <w:pStyle w:val="NormalIndent"/>
        <w:keepNext/>
      </w:pPr>
      <w:r w:rsidRPr="0042214E">
        <w:t xml:space="preserve">Project governance should set a firm framework </w:t>
      </w:r>
      <w:r w:rsidR="00127266" w:rsidRPr="0042214E">
        <w:t xml:space="preserve">that </w:t>
      </w:r>
      <w:r w:rsidRPr="0042214E">
        <w:t xml:space="preserve">guides project success, creating transparency and confidence in </w:t>
      </w:r>
      <w:r w:rsidR="00127266" w:rsidRPr="0042214E">
        <w:t>decision-</w:t>
      </w:r>
      <w:r w:rsidRPr="0042214E">
        <w:t>making, clarity of roles and responsibilities and consideration of stakeholder interests.</w:t>
      </w:r>
    </w:p>
    <w:p w14:paraId="59BDAA51" w14:textId="64906F21" w:rsidR="00532CA7" w:rsidRPr="0042214E" w:rsidRDefault="00532CA7" w:rsidP="006B713F">
      <w:pPr>
        <w:pStyle w:val="NormalIndent"/>
      </w:pPr>
      <w:r w:rsidRPr="0042214E">
        <w:t>Agencies are required to establish effective governance of programs and projects in a transparent and robust way</w:t>
      </w:r>
      <w:r w:rsidR="006E7714" w:rsidRPr="0042214E">
        <w:t xml:space="preserve">. </w:t>
      </w:r>
      <w:r w:rsidRPr="0042214E">
        <w:t xml:space="preserve">Agencies must appoint a project sponsor or </w:t>
      </w:r>
      <w:r w:rsidR="00FA4CA3" w:rsidRPr="0042214E">
        <w:t>Senior Responsible Owner (SRO</w:t>
      </w:r>
      <w:r w:rsidRPr="0042214E">
        <w:t xml:space="preserve">) to be accountable for ensuring their project is effectively delivered and the investment cost effectively realises its expected benefits. This means the SRO needs to have related service delivery responsibility and the skills to take on the responsibilities involved in oversight of the project. </w:t>
      </w:r>
      <w:r w:rsidR="00BA784A" w:rsidRPr="0042214E">
        <w:t xml:space="preserve">Agencies must ensure that the SRO appointed has an appropriate level of responsibility for overseeing the delivery of the project and transitioning the project into operation. </w:t>
      </w:r>
      <w:r w:rsidRPr="0042214E">
        <w:rPr>
          <w:b/>
        </w:rPr>
        <w:t xml:space="preserve">The SRO must reflect specific investment responsibilities and accountabilities in </w:t>
      </w:r>
      <w:r w:rsidR="006B30D6" w:rsidRPr="0042214E">
        <w:rPr>
          <w:b/>
        </w:rPr>
        <w:t>their</w:t>
      </w:r>
      <w:r w:rsidRPr="0042214E">
        <w:rPr>
          <w:b/>
        </w:rPr>
        <w:t xml:space="preserve"> performance agreement.</w:t>
      </w:r>
    </w:p>
    <w:p w14:paraId="5C3BD18C" w14:textId="77777777" w:rsidR="00532CA7" w:rsidRPr="0042214E" w:rsidRDefault="00532CA7" w:rsidP="006B713F">
      <w:pPr>
        <w:pStyle w:val="NormalIndent"/>
      </w:pPr>
      <w:r w:rsidRPr="0042214E">
        <w:t>Agencies must plan, govern, control and report on all projects through an appropriate and well understood governance and management regime. This means:</w:t>
      </w:r>
    </w:p>
    <w:p w14:paraId="7DE2C5D1" w14:textId="02B4CD53" w:rsidR="00532CA7" w:rsidRPr="0042214E" w:rsidRDefault="00532CA7" w:rsidP="003E7FCF">
      <w:pPr>
        <w:pStyle w:val="Bulletindent"/>
      </w:pPr>
      <w:r w:rsidRPr="0042214E">
        <w:t xml:space="preserve">defining and informing all relevant parties of the governance and management </w:t>
      </w:r>
      <w:proofErr w:type="gramStart"/>
      <w:r w:rsidRPr="0042214E">
        <w:t>expectations</w:t>
      </w:r>
      <w:r w:rsidR="006B30D6" w:rsidRPr="0042214E">
        <w:t>;</w:t>
      </w:r>
      <w:proofErr w:type="gramEnd"/>
    </w:p>
    <w:p w14:paraId="32DFF732" w14:textId="171F7904" w:rsidR="00532CA7" w:rsidRPr="0042214E" w:rsidRDefault="00532CA7" w:rsidP="003E7FCF">
      <w:pPr>
        <w:pStyle w:val="Bulletindent"/>
      </w:pPr>
      <w:r w:rsidRPr="0042214E">
        <w:t xml:space="preserve">subject to scaling, creating a project </w:t>
      </w:r>
      <w:r w:rsidR="00127266" w:rsidRPr="0042214E">
        <w:t>decision-</w:t>
      </w:r>
      <w:r w:rsidRPr="0042214E">
        <w:t xml:space="preserve">making body that is separate to stakeholder management and organisational governance. The size of the committee membership needs to be fit for purpose. </w:t>
      </w:r>
      <w:r w:rsidR="009754E0" w:rsidRPr="0042214E">
        <w:t>I</w:t>
      </w:r>
      <w:r w:rsidRPr="0042214E">
        <w:t>n some instances</w:t>
      </w:r>
      <w:r w:rsidR="0078220D" w:rsidRPr="0042214E">
        <w:t>,</w:t>
      </w:r>
      <w:r w:rsidRPr="0042214E">
        <w:t xml:space="preserve"> a project will be of such significance to the entity that it warrants the focus of the organisational governance board</w:t>
      </w:r>
      <w:r w:rsidR="006B30D6" w:rsidRPr="0042214E">
        <w:t>; and</w:t>
      </w:r>
      <w:r w:rsidRPr="0042214E">
        <w:t xml:space="preserve"> </w:t>
      </w:r>
    </w:p>
    <w:p w14:paraId="5E61B177" w14:textId="7499A9F2" w:rsidR="006B30D6" w:rsidRPr="0042214E" w:rsidRDefault="006B30D6" w:rsidP="003E7FCF">
      <w:pPr>
        <w:pStyle w:val="Bulletindent"/>
      </w:pPr>
      <w:r w:rsidRPr="0042214E">
        <w:t>selecting the right people for the project steering committee (or project governance board) who are appropriately skilled and authorised. They must be capable of achieving timely and instructive governance to achieve the project’s desired outcomes, but which mitigates the impact of project failure where necessary.</w:t>
      </w:r>
      <w:r w:rsidR="003B6D3C" w:rsidRPr="0042214E">
        <w:t xml:space="preserve"> For HVHR projects, DTF must be included in the project governance structure.</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C4044A" w:rsidRPr="0042214E" w14:paraId="691B2BFF" w14:textId="77777777" w:rsidTr="007415AB">
        <w:tc>
          <w:tcPr>
            <w:tcW w:w="8719" w:type="dxa"/>
            <w:shd w:val="clear" w:color="auto" w:fill="FDF3EA" w:themeFill="accent5" w:themeFillTint="33"/>
          </w:tcPr>
          <w:p w14:paraId="35CDC30C" w14:textId="2D2DD4B5" w:rsidR="00C4044A" w:rsidRPr="0042214E" w:rsidRDefault="00C4044A" w:rsidP="007415AB">
            <w:pPr>
              <w:pStyle w:val="Tabletextbold"/>
            </w:pPr>
            <w:r w:rsidRPr="0042214E">
              <w:t xml:space="preserve">Business case information requirements for the governance framework for the </w:t>
            </w:r>
            <w:r w:rsidR="00784678" w:rsidRPr="0042214E">
              <w:t xml:space="preserve">project </w:t>
            </w:r>
            <w:r w:rsidRPr="0042214E">
              <w:t>solution</w:t>
            </w:r>
          </w:p>
          <w:p w14:paraId="31C065D2" w14:textId="5350EB31" w:rsidR="00C4044A" w:rsidRPr="0042214E" w:rsidRDefault="00C4044A" w:rsidP="007415AB">
            <w:pPr>
              <w:pStyle w:val="Tablebullet"/>
            </w:pPr>
            <w:r w:rsidRPr="0042214E">
              <w:t>Outline the project governance regime proposed, including individuals either already involved or proposed to be involved in key positions such as the SRO and the steering committee, and demonstrate its appropriateness.</w:t>
            </w:r>
          </w:p>
          <w:p w14:paraId="461BC10C" w14:textId="7C10788B" w:rsidR="00285693" w:rsidRPr="0042214E" w:rsidRDefault="00C4044A" w:rsidP="007415AB">
            <w:pPr>
              <w:pStyle w:val="Tablebullet"/>
            </w:pPr>
            <w:r w:rsidRPr="0042214E">
              <w:t xml:space="preserve">Outline any existing governance frameworks (processes for controls and determination of authority and tolerance) that the </w:t>
            </w:r>
            <w:r w:rsidR="00784678" w:rsidRPr="0042214E">
              <w:t xml:space="preserve">project </w:t>
            </w:r>
            <w:r w:rsidRPr="0042214E">
              <w:t>solution should align with.</w:t>
            </w:r>
          </w:p>
          <w:p w14:paraId="3EDE16BD" w14:textId="03525544" w:rsidR="00C4044A" w:rsidRPr="0042214E" w:rsidRDefault="00C4044A" w:rsidP="007415AB">
            <w:pPr>
              <w:pStyle w:val="Tablebullet"/>
            </w:pPr>
            <w:r w:rsidRPr="0042214E">
              <w:t>For HVHR projects</w:t>
            </w:r>
            <w:r w:rsidR="00127266" w:rsidRPr="0042214E">
              <w:t>,</w:t>
            </w:r>
            <w:r w:rsidRPr="0042214E">
              <w:t xml:space="preserve"> the roles of DTF and approvals by the Treasurer need to be factored in.</w:t>
            </w:r>
          </w:p>
        </w:tc>
      </w:tr>
    </w:tbl>
    <w:p w14:paraId="5A15F0E1" w14:textId="60360D6D" w:rsidR="00C4044A" w:rsidRPr="0042214E" w:rsidRDefault="00C4044A" w:rsidP="00C4044A">
      <w:pPr>
        <w:ind w:left="284" w:hanging="284"/>
      </w:pPr>
    </w:p>
    <w:tbl>
      <w:tblPr>
        <w:tblStyle w:val="DTFfinancialtableindent"/>
        <w:tblW w:w="0" w:type="auto"/>
        <w:tblLook w:val="0680" w:firstRow="0" w:lastRow="0" w:firstColumn="1" w:lastColumn="0" w:noHBand="1" w:noVBand="1"/>
      </w:tblPr>
      <w:tblGrid>
        <w:gridCol w:w="8377"/>
      </w:tblGrid>
      <w:tr w:rsidR="00C4044A" w:rsidRPr="0042214E" w14:paraId="47926B56" w14:textId="77777777" w:rsidTr="007415AB">
        <w:trPr>
          <w:cantSplit/>
        </w:trPr>
        <w:tc>
          <w:tcPr>
            <w:cnfStyle w:val="001000000000" w:firstRow="0" w:lastRow="0" w:firstColumn="1" w:lastColumn="0" w:oddVBand="0" w:evenVBand="0" w:oddHBand="0" w:evenHBand="0" w:firstRowFirstColumn="0" w:firstRowLastColumn="0" w:lastRowFirstColumn="0" w:lastRowLastColumn="0"/>
            <w:tcW w:w="8719" w:type="dxa"/>
          </w:tcPr>
          <w:p w14:paraId="3AF18211" w14:textId="39AF3478" w:rsidR="00C4044A" w:rsidRPr="0042214E" w:rsidRDefault="00C4044A" w:rsidP="007415AB">
            <w:pPr>
              <w:pStyle w:val="Tabletextbold"/>
              <w:rPr>
                <w:sz w:val="20"/>
              </w:rPr>
            </w:pPr>
            <w:r w:rsidRPr="0042214E">
              <w:rPr>
                <w:sz w:val="20"/>
              </w:rPr>
              <w:lastRenderedPageBreak/>
              <w:t>Governance (fictional energy example)</w:t>
            </w:r>
          </w:p>
          <w:p w14:paraId="5E178736" w14:textId="6D7CC682" w:rsidR="00C4044A" w:rsidRPr="0042214E" w:rsidRDefault="00C4044A" w:rsidP="007415AB">
            <w:pPr>
              <w:pStyle w:val="Tabletext"/>
            </w:pPr>
            <w:r w:rsidRPr="0042214E">
              <w:t>A business case must detail the proposed governance arrangements for the investment and explain why these are considered appropriate. This case study illustrates the type of information required in a business case for a fictional project in the energy sector.</w:t>
            </w:r>
          </w:p>
          <w:p w14:paraId="47AB15EF" w14:textId="7783A8F4" w:rsidR="00C4044A" w:rsidRPr="0042214E" w:rsidRDefault="00C4044A" w:rsidP="007415AB">
            <w:pPr>
              <w:pStyle w:val="Tabletextbold"/>
            </w:pPr>
            <w:r w:rsidRPr="0042214E">
              <w:t>Governance</w:t>
            </w:r>
          </w:p>
          <w:p w14:paraId="09753A35" w14:textId="5F452E20" w:rsidR="00C4044A" w:rsidRPr="0042214E" w:rsidRDefault="00C4044A" w:rsidP="007415AB">
            <w:pPr>
              <w:pStyle w:val="Tabletext"/>
            </w:pPr>
            <w:r w:rsidRPr="0042214E">
              <w:t xml:space="preserve">The Senior Responsible Owner (SRO) for the </w:t>
            </w:r>
            <w:r w:rsidR="00784678" w:rsidRPr="0042214E">
              <w:t>project s</w:t>
            </w:r>
            <w:r w:rsidRPr="0042214E">
              <w:t xml:space="preserve">olution would be Deputy Secretary, Energy and Earth Resources within the Department of Primary Industries (DPI). The proposed governance structure for the </w:t>
            </w:r>
            <w:r w:rsidR="00784678" w:rsidRPr="0042214E">
              <w:t>project s</w:t>
            </w:r>
            <w:r w:rsidRPr="0042214E">
              <w:t>olution includes:</w:t>
            </w:r>
          </w:p>
          <w:p w14:paraId="7146C88F" w14:textId="405E0A7A" w:rsidR="00C4044A" w:rsidRPr="0042214E" w:rsidRDefault="00127266" w:rsidP="007415AB">
            <w:pPr>
              <w:pStyle w:val="Tabletext"/>
            </w:pPr>
            <w:r w:rsidRPr="0042214E">
              <w:t xml:space="preserve">• </w:t>
            </w:r>
            <w:r w:rsidR="00C4044A" w:rsidRPr="0042214E">
              <w:t xml:space="preserve">A Project Control Board (PCB) – the PCB will comprise senior members of agencies with key roles in implementing the project, plus a technical expert. The departments of Treasury and Finance (DTF) and Premier and Cabinet (DPC) would also be represented (given the </w:t>
            </w:r>
            <w:r w:rsidRPr="0042214E">
              <w:t>HVHR</w:t>
            </w:r>
            <w:r w:rsidR="00C4044A" w:rsidRPr="0042214E">
              <w:t xml:space="preserve"> status of the project), along with the project director and operations manager in DPI</w:t>
            </w:r>
            <w:r w:rsidR="006F6CE5" w:rsidRPr="0042214E">
              <w:t>.</w:t>
            </w:r>
          </w:p>
          <w:p w14:paraId="438916D3" w14:textId="4DA326BA" w:rsidR="00C4044A" w:rsidRPr="0042214E" w:rsidRDefault="00127266" w:rsidP="007415AB">
            <w:pPr>
              <w:pStyle w:val="Tabletext"/>
            </w:pPr>
            <w:r w:rsidRPr="0042214E">
              <w:t xml:space="preserve">• </w:t>
            </w:r>
            <w:r w:rsidR="00C4044A" w:rsidRPr="0042214E">
              <w:t xml:space="preserve">Several advisory groups – </w:t>
            </w:r>
            <w:proofErr w:type="gramStart"/>
            <w:r w:rsidR="00C4044A" w:rsidRPr="0042214E">
              <w:t>a number of</w:t>
            </w:r>
            <w:proofErr w:type="gramEnd"/>
            <w:r w:rsidR="00C4044A" w:rsidRPr="0042214E">
              <w:t xml:space="preserve"> advisory groups (a working group, a technology reference group and an energy business reference group) will be established to provide specialist advice and </w:t>
            </w:r>
            <w:r w:rsidR="00FB7609" w:rsidRPr="0042214E">
              <w:t>inputs and</w:t>
            </w:r>
            <w:r w:rsidR="00C4044A" w:rsidRPr="0042214E">
              <w:t xml:space="preserve"> enable ongoing consultation between energy businesses and the Government. Most of these groups can be readily formed as they will include stakeholders that have already been consulted in the development of this proposal</w:t>
            </w:r>
            <w:r w:rsidR="006F6CE5" w:rsidRPr="0042214E">
              <w:t>.</w:t>
            </w:r>
          </w:p>
          <w:p w14:paraId="7D3D86AC" w14:textId="1232E30E" w:rsidR="00C4044A" w:rsidRPr="0042214E" w:rsidRDefault="00127266" w:rsidP="007415AB">
            <w:pPr>
              <w:pStyle w:val="Tabletext"/>
            </w:pPr>
            <w:r w:rsidRPr="0042214E">
              <w:t xml:space="preserve">• </w:t>
            </w:r>
            <w:r w:rsidR="00C4044A" w:rsidRPr="0042214E">
              <w:t xml:space="preserve">A dedicated project team within the department – a new project team comprising </w:t>
            </w:r>
            <w:r w:rsidRPr="0042214E">
              <w:t>four full-</w:t>
            </w:r>
            <w:r w:rsidR="00C4044A" w:rsidRPr="0042214E">
              <w:t xml:space="preserve">time equivalent staff will be formed to deliver the project. </w:t>
            </w:r>
          </w:p>
          <w:p w14:paraId="3C647583" w14:textId="77777777" w:rsidR="00C4044A" w:rsidRPr="0042214E" w:rsidRDefault="00C4044A" w:rsidP="007415AB">
            <w:pPr>
              <w:pStyle w:val="Tabletext"/>
            </w:pPr>
            <w:r w:rsidRPr="0042214E">
              <w:t>This structure is illustrated in Figure X, while the proposed composition and role of each of these bodies is discussed below. Overall, the proposed governance structure is considered appropriate because:</w:t>
            </w:r>
          </w:p>
          <w:p w14:paraId="74FCF455" w14:textId="4E3E67FA" w:rsidR="00C4044A" w:rsidRPr="0042214E" w:rsidRDefault="00127266" w:rsidP="007415AB">
            <w:pPr>
              <w:pStyle w:val="Tablebullet"/>
            </w:pPr>
            <w:r w:rsidRPr="0042214E">
              <w:t xml:space="preserve">the </w:t>
            </w:r>
            <w:r w:rsidR="00C4044A" w:rsidRPr="0042214E">
              <w:t xml:space="preserve">success of the project will rely on close coordination across DPI and between DPI and other agencies, along with the various expertise held across these stakeholders and central agencies. The composition of the PCB can ensure </w:t>
            </w:r>
            <w:proofErr w:type="gramStart"/>
            <w:r w:rsidR="00C4044A" w:rsidRPr="0042214E">
              <w:t>this;</w:t>
            </w:r>
            <w:proofErr w:type="gramEnd"/>
          </w:p>
          <w:p w14:paraId="649462FA" w14:textId="4F69577A" w:rsidR="00285693" w:rsidRPr="0042214E" w:rsidRDefault="00127266" w:rsidP="007415AB">
            <w:pPr>
              <w:pStyle w:val="Tablebullet"/>
            </w:pPr>
            <w:r w:rsidRPr="0042214E">
              <w:t xml:space="preserve">the </w:t>
            </w:r>
            <w:r w:rsidR="00C4044A" w:rsidRPr="0042214E">
              <w:t>project has significant technological risks that will need to be closely monitored and subject to ongoing review during implementation. Expert independent advice in this area (via the technology reference group and the technical expert on the PCB) can help assess and manage these risks;</w:t>
            </w:r>
            <w:r w:rsidRPr="0042214E">
              <w:t xml:space="preserve"> and</w:t>
            </w:r>
          </w:p>
          <w:p w14:paraId="42440C23" w14:textId="78160C30" w:rsidR="00C4044A" w:rsidRPr="0042214E" w:rsidRDefault="00127266" w:rsidP="007415AB">
            <w:pPr>
              <w:pStyle w:val="Tablebullet"/>
            </w:pPr>
            <w:r w:rsidRPr="0042214E">
              <w:t xml:space="preserve">efficient </w:t>
            </w:r>
            <w:r w:rsidR="00C4044A" w:rsidRPr="0042214E">
              <w:t>and effective delivery of the program requires the participation of energy businesses, so a forum for close liaison with these (the energy business reference group) is essential.</w:t>
            </w:r>
          </w:p>
        </w:tc>
      </w:tr>
    </w:tbl>
    <w:p w14:paraId="14ADFAF2" w14:textId="02DC929D" w:rsidR="00C4044A" w:rsidRPr="0042214E" w:rsidRDefault="00C4044A" w:rsidP="007415AB">
      <w:pPr>
        <w:pStyle w:val="Spacer"/>
      </w:pPr>
    </w:p>
    <w:p w14:paraId="2287144C" w14:textId="3811D797" w:rsidR="00532CA7" w:rsidRPr="0042214E" w:rsidRDefault="00532CA7" w:rsidP="006B713F">
      <w:pPr>
        <w:pStyle w:val="NormalIndent"/>
      </w:pPr>
      <w:r w:rsidRPr="00FA4CA3">
        <w:rPr>
          <w:color w:val="000000" w:themeColor="text1"/>
        </w:rPr>
        <w:t xml:space="preserve">The </w:t>
      </w:r>
      <w:r w:rsidR="004A5E0E" w:rsidRPr="00922978">
        <w:rPr>
          <w:b/>
          <w:color w:val="E57200" w:themeColor="accent2"/>
        </w:rPr>
        <w:t>Project Governance</w:t>
      </w:r>
      <w:r w:rsidR="004A5E0E" w:rsidRPr="00922978">
        <w:rPr>
          <w:color w:val="E57200" w:themeColor="accent2"/>
        </w:rPr>
        <w:t xml:space="preserve"> </w:t>
      </w:r>
      <w:r w:rsidRPr="00FA4CA3">
        <w:rPr>
          <w:color w:val="000000" w:themeColor="text1"/>
        </w:rPr>
        <w:t xml:space="preserve">technical </w:t>
      </w:r>
      <w:r w:rsidRPr="0042214E">
        <w:t>guide</w:t>
      </w:r>
      <w:r w:rsidR="004A5E0E" w:rsidRPr="0042214E">
        <w:t xml:space="preserve"> </w:t>
      </w:r>
      <w:r w:rsidRPr="0042214E">
        <w:t>describes these and other considerations in establishing a governance regime.</w:t>
      </w:r>
    </w:p>
    <w:p w14:paraId="63028102" w14:textId="77777777" w:rsidR="007D3CB4" w:rsidRPr="0042214E" w:rsidRDefault="007D3CB4" w:rsidP="005E1934">
      <w:pPr>
        <w:pStyle w:val="Heading3numbered"/>
      </w:pPr>
      <w:bookmarkStart w:id="198" w:name="_Toc121415347"/>
      <w:r w:rsidRPr="0042214E">
        <w:t>Stakeholder engagement and communications plan</w:t>
      </w:r>
      <w:bookmarkEnd w:id="198"/>
    </w:p>
    <w:p w14:paraId="721C2176" w14:textId="77777777" w:rsidR="007D3CB4" w:rsidRPr="0042214E" w:rsidRDefault="007D3CB4" w:rsidP="006B713F">
      <w:pPr>
        <w:pStyle w:val="NormalIndent"/>
      </w:pPr>
      <w:r w:rsidRPr="0042214E">
        <w:t xml:space="preserve">This section asks agencies to provide detailed information about key stakeholders in relation to the project solution. This could include: </w:t>
      </w:r>
    </w:p>
    <w:p w14:paraId="3C3C8FBF" w14:textId="21BCD59D" w:rsidR="007D3CB4" w:rsidRPr="0042214E" w:rsidRDefault="007D3CB4" w:rsidP="007415AB">
      <w:pPr>
        <w:pStyle w:val="Bulletindent"/>
      </w:pPr>
      <w:r w:rsidRPr="0042214E">
        <w:t>identification of specific stakeholder commitments or requirements for the project solution</w:t>
      </w:r>
      <w:r w:rsidR="008D7A45" w:rsidRPr="0042214E">
        <w:t>,</w:t>
      </w:r>
      <w:r w:rsidRPr="0042214E">
        <w:t xml:space="preserve"> </w:t>
      </w:r>
      <w:r w:rsidR="00FB7609" w:rsidRPr="0042214E">
        <w:t>e.g.,</w:t>
      </w:r>
      <w:r w:rsidRPr="0042214E">
        <w:t xml:space="preserve"> willingness to sign a </w:t>
      </w:r>
      <w:proofErr w:type="gramStart"/>
      <w:r w:rsidRPr="0042214E">
        <w:t>lease;</w:t>
      </w:r>
      <w:proofErr w:type="gramEnd"/>
      <w:r w:rsidRPr="0042214E">
        <w:t xml:space="preserve"> </w:t>
      </w:r>
    </w:p>
    <w:p w14:paraId="7A63712B" w14:textId="77777777" w:rsidR="007D3CB4" w:rsidRPr="0042214E" w:rsidRDefault="007D3CB4" w:rsidP="007415AB">
      <w:pPr>
        <w:pStyle w:val="Bulletindent"/>
      </w:pPr>
      <w:r w:rsidRPr="0042214E">
        <w:t xml:space="preserve">strategies and options to capitalise on social opportunities and manage negative </w:t>
      </w:r>
      <w:proofErr w:type="gramStart"/>
      <w:r w:rsidRPr="0042214E">
        <w:t>issues;</w:t>
      </w:r>
      <w:proofErr w:type="gramEnd"/>
      <w:r w:rsidRPr="0042214E">
        <w:t xml:space="preserve"> </w:t>
      </w:r>
    </w:p>
    <w:p w14:paraId="53F97635" w14:textId="3F4C8010" w:rsidR="007D3CB4" w:rsidRPr="0042214E" w:rsidRDefault="007D3CB4" w:rsidP="007415AB">
      <w:pPr>
        <w:pStyle w:val="Bulletindent"/>
      </w:pPr>
      <w:r w:rsidRPr="0042214E">
        <w:t>an outline of the wider implications, including the impact on any other proposals or opportunities that rely on this proposal or should be jointly considered (to give optimal cross</w:t>
      </w:r>
      <w:r w:rsidR="00034452" w:rsidRPr="0042214E">
        <w:noBreakHyphen/>
      </w:r>
      <w:r w:rsidRPr="0042214E">
        <w:t>government outcomes</w:t>
      </w:r>
      <w:proofErr w:type="gramStart"/>
      <w:r w:rsidRPr="0042214E">
        <w:t>);</w:t>
      </w:r>
      <w:proofErr w:type="gramEnd"/>
    </w:p>
    <w:p w14:paraId="2438A533" w14:textId="02B42CD2" w:rsidR="007D3CB4" w:rsidRPr="0042214E" w:rsidRDefault="007D3CB4" w:rsidP="007415AB">
      <w:pPr>
        <w:pStyle w:val="Bulletindent"/>
      </w:pPr>
      <w:r w:rsidRPr="0042214E">
        <w:t>identification of the clients who are the intended end users of the proposed services (and where appropriate, provide information on the likely demand and any charging policies to recover costs</w:t>
      </w:r>
      <w:r w:rsidR="008D7A45" w:rsidRPr="0042214E">
        <w:t xml:space="preserve"> – </w:t>
      </w:r>
      <w:r w:rsidRPr="0042214E">
        <w:t>either in full or in part</w:t>
      </w:r>
      <w:proofErr w:type="gramStart"/>
      <w:r w:rsidRPr="0042214E">
        <w:t>);</w:t>
      </w:r>
      <w:proofErr w:type="gramEnd"/>
      <w:r w:rsidRPr="0042214E">
        <w:t xml:space="preserve"> </w:t>
      </w:r>
    </w:p>
    <w:p w14:paraId="2C26561E" w14:textId="77777777" w:rsidR="007D3CB4" w:rsidRPr="0042214E" w:rsidRDefault="007D3CB4" w:rsidP="007415AB">
      <w:pPr>
        <w:pStyle w:val="Bulletindent"/>
      </w:pPr>
      <w:r w:rsidRPr="0042214E">
        <w:t xml:space="preserve">any unresolved issues that need to be addressed before the project solution could proceed in its proposed form and to the proposed </w:t>
      </w:r>
      <w:proofErr w:type="gramStart"/>
      <w:r w:rsidRPr="0042214E">
        <w:t>timetable;</w:t>
      </w:r>
      <w:proofErr w:type="gramEnd"/>
      <w:r w:rsidRPr="0042214E">
        <w:t xml:space="preserve"> </w:t>
      </w:r>
    </w:p>
    <w:p w14:paraId="55C28667" w14:textId="77777777" w:rsidR="007D3CB4" w:rsidRPr="0042214E" w:rsidRDefault="007D3CB4" w:rsidP="007415AB">
      <w:pPr>
        <w:pStyle w:val="Bulletindent"/>
      </w:pPr>
      <w:r w:rsidRPr="0042214E">
        <w:lastRenderedPageBreak/>
        <w:t xml:space="preserve">identification of stakeholder responses to the uncertainties of the project and to the Government’s response to those uncertainties in the real options </w:t>
      </w:r>
      <w:proofErr w:type="gramStart"/>
      <w:r w:rsidRPr="0042214E">
        <w:t>process;</w:t>
      </w:r>
      <w:proofErr w:type="gramEnd"/>
      <w:r w:rsidRPr="0042214E">
        <w:t xml:space="preserve"> </w:t>
      </w:r>
    </w:p>
    <w:p w14:paraId="22AAFE87" w14:textId="655A1C66" w:rsidR="007D3CB4" w:rsidRPr="0042214E" w:rsidRDefault="007D3CB4" w:rsidP="007415AB">
      <w:pPr>
        <w:pStyle w:val="Bulletindent"/>
      </w:pPr>
      <w:r w:rsidRPr="0042214E">
        <w:t>if a real options approach is being taken to this investment, a plan for communicating the flexible investment pathway (and possible changes to the direction if trigger events occur</w:t>
      </w:r>
      <w:proofErr w:type="gramStart"/>
      <w:r w:rsidR="008D7A45" w:rsidRPr="0042214E">
        <w:t>);</w:t>
      </w:r>
      <w:proofErr w:type="gramEnd"/>
    </w:p>
    <w:p w14:paraId="14F3441B" w14:textId="0B7BC750" w:rsidR="007D3CB4" w:rsidRPr="0042214E" w:rsidRDefault="007D3CB4" w:rsidP="007415AB">
      <w:pPr>
        <w:pStyle w:val="Bulletindent"/>
      </w:pPr>
      <w:r w:rsidRPr="0042214E">
        <w:t xml:space="preserve">a list of any current, </w:t>
      </w:r>
      <w:proofErr w:type="gramStart"/>
      <w:r w:rsidRPr="0042214E">
        <w:t>expected</w:t>
      </w:r>
      <w:proofErr w:type="gramEnd"/>
      <w:r w:rsidRPr="0042214E">
        <w:t xml:space="preserve"> or imminent projects, policies, events or other factors (social, political, economic, environmental</w:t>
      </w:r>
      <w:r w:rsidR="008D7A45" w:rsidRPr="0042214E">
        <w:t>,</w:t>
      </w:r>
      <w:r w:rsidRPr="0042214E">
        <w:t xml:space="preserve"> etc.) that could impact stakeholder support or opposition to the investment or project solution in the future (refer to Step 1 where necessary to avoid overlap); and</w:t>
      </w:r>
    </w:p>
    <w:p w14:paraId="53888916" w14:textId="18E3DD1D" w:rsidR="007D3CB4" w:rsidRPr="0042214E" w:rsidRDefault="007D3CB4" w:rsidP="007415AB">
      <w:pPr>
        <w:pStyle w:val="Bulletindent"/>
      </w:pPr>
      <w:r w:rsidRPr="0042214E">
        <w:t>possible public communication from the responsible Minister that considers stakeholder</w:t>
      </w:r>
      <w:r w:rsidR="000517E3" w:rsidRPr="0042214E">
        <w:t>s</w:t>
      </w:r>
      <w:r w:rsidRPr="0042214E">
        <w:t xml:space="preserve"> who may not be fully </w:t>
      </w:r>
      <w:r w:rsidR="008D7A45" w:rsidRPr="0042214E">
        <w:t xml:space="preserve">informed </w:t>
      </w:r>
      <w:r w:rsidRPr="0042214E">
        <w:t>and may actively resist the proposal. It is important that designated speakers are nominated and adequately briefed.</w:t>
      </w:r>
    </w:p>
    <w:p w14:paraId="3800038F" w14:textId="4CB5CB48" w:rsidR="007D3CB4" w:rsidRPr="0042214E" w:rsidRDefault="007D3CB4" w:rsidP="006B713F">
      <w:pPr>
        <w:pStyle w:val="NormalIndent"/>
      </w:pPr>
      <w:r w:rsidRPr="0042214E">
        <w:t>A high</w:t>
      </w:r>
      <w:r w:rsidR="00034452" w:rsidRPr="0042214E">
        <w:noBreakHyphen/>
      </w:r>
      <w:r w:rsidRPr="0042214E">
        <w:t>level stakeholder engagement and communication strategy for the project should be developed</w:t>
      </w:r>
      <w:r w:rsidR="000517E3" w:rsidRPr="0042214E">
        <w:t>,</w:t>
      </w:r>
      <w:r w:rsidRPr="0042214E">
        <w:t xml:space="preserve"> and most likely will be being rolled out. Agencies are also required to attach as an appendix a high</w:t>
      </w:r>
      <w:r w:rsidR="00034452" w:rsidRPr="0042214E">
        <w:noBreakHyphen/>
      </w:r>
      <w:r w:rsidRPr="0042214E">
        <w:t xml:space="preserve">level overview of this engagement and communications strategy, outlining the key messages and stakeholder plan if the investment were to move to: </w:t>
      </w:r>
    </w:p>
    <w:p w14:paraId="7395545F" w14:textId="2837C076" w:rsidR="007D3CB4" w:rsidRPr="0042214E" w:rsidRDefault="000517E3" w:rsidP="007415AB">
      <w:pPr>
        <w:pStyle w:val="Bulletindent"/>
      </w:pPr>
      <w:r w:rsidRPr="0042214E">
        <w:t xml:space="preserve">project </w:t>
      </w:r>
      <w:proofErr w:type="gramStart"/>
      <w:r w:rsidR="007D3CB4" w:rsidRPr="0042214E">
        <w:t>announcement;</w:t>
      </w:r>
      <w:proofErr w:type="gramEnd"/>
    </w:p>
    <w:p w14:paraId="42D2AF08" w14:textId="6D798409" w:rsidR="007D3CB4" w:rsidRPr="0042214E" w:rsidRDefault="000517E3" w:rsidP="007415AB">
      <w:pPr>
        <w:pStyle w:val="Bulletindent"/>
      </w:pPr>
      <w:r w:rsidRPr="0042214E">
        <w:t>procurement</w:t>
      </w:r>
      <w:r w:rsidR="007D3CB4" w:rsidRPr="0042214E">
        <w:t xml:space="preserve">; and </w:t>
      </w:r>
    </w:p>
    <w:p w14:paraId="27919CC0" w14:textId="4BD1476A" w:rsidR="007D3CB4" w:rsidRPr="0042214E" w:rsidRDefault="000517E3" w:rsidP="007415AB">
      <w:pPr>
        <w:pStyle w:val="Bulletindent"/>
      </w:pPr>
      <w:r w:rsidRPr="0042214E">
        <w:t>implementation</w:t>
      </w:r>
      <w:r w:rsidR="007D3CB4" w:rsidRPr="0042214E">
        <w:t xml:space="preserve">. </w:t>
      </w:r>
    </w:p>
    <w:p w14:paraId="1837393C" w14:textId="77777777" w:rsidR="007D3CB4" w:rsidRPr="0042214E" w:rsidRDefault="007D3CB4" w:rsidP="006B713F">
      <w:pPr>
        <w:pStyle w:val="NormalIndent"/>
      </w:pPr>
      <w:r w:rsidRPr="0042214E">
        <w:t xml:space="preserve">It is important that the strategy has identified key stakeholders who will be impacted by the project solution, </w:t>
      </w:r>
      <w:proofErr w:type="gramStart"/>
      <w:r w:rsidRPr="0042214E">
        <w:t>and also</w:t>
      </w:r>
      <w:proofErr w:type="gramEnd"/>
      <w:r w:rsidRPr="0042214E">
        <w:t xml:space="preserve"> understand the influence they may have on the project. The strategy should demonstrate: </w:t>
      </w:r>
    </w:p>
    <w:p w14:paraId="199B7137" w14:textId="64B23897" w:rsidR="007D3CB4" w:rsidRPr="0042214E" w:rsidRDefault="000517E3" w:rsidP="007415AB">
      <w:pPr>
        <w:pStyle w:val="Bulletindent"/>
      </w:pPr>
      <w:r w:rsidRPr="0042214E">
        <w:t xml:space="preserve">the </w:t>
      </w:r>
      <w:r w:rsidR="007D3CB4" w:rsidRPr="0042214E">
        <w:t xml:space="preserve">engagement has been thought out and </w:t>
      </w:r>
      <w:proofErr w:type="gramStart"/>
      <w:r w:rsidR="007D3CB4" w:rsidRPr="0042214E">
        <w:t>planned;</w:t>
      </w:r>
      <w:proofErr w:type="gramEnd"/>
    </w:p>
    <w:p w14:paraId="7B530A37" w14:textId="20289FDA" w:rsidR="007D3CB4" w:rsidRPr="0042214E" w:rsidRDefault="000517E3" w:rsidP="007415AB">
      <w:pPr>
        <w:pStyle w:val="Bulletindent"/>
      </w:pPr>
      <w:r w:rsidRPr="0042214E">
        <w:t xml:space="preserve">the </w:t>
      </w:r>
      <w:r w:rsidR="007D3CB4" w:rsidRPr="0042214E">
        <w:t xml:space="preserve">agency is preparing to and/or is actively engaging with stakeholders; and </w:t>
      </w:r>
    </w:p>
    <w:p w14:paraId="3BBBEBDF" w14:textId="4C27523F" w:rsidR="007D3CB4" w:rsidRPr="0042214E" w:rsidRDefault="000517E3" w:rsidP="007415AB">
      <w:pPr>
        <w:pStyle w:val="Bulletindent"/>
      </w:pPr>
      <w:r w:rsidRPr="0042214E">
        <w:t xml:space="preserve">the </w:t>
      </w:r>
      <w:r w:rsidR="007D3CB4" w:rsidRPr="0042214E">
        <w:t>agency has a plan to respond to and measure the engagement.</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7D3CB4" w:rsidRPr="0042214E" w14:paraId="11AA326C" w14:textId="77777777" w:rsidTr="007415AB">
        <w:tc>
          <w:tcPr>
            <w:tcW w:w="8719" w:type="dxa"/>
            <w:shd w:val="clear" w:color="auto" w:fill="FDF3EA" w:themeFill="accent5" w:themeFillTint="33"/>
          </w:tcPr>
          <w:p w14:paraId="3354A8A6" w14:textId="176A3150" w:rsidR="007D3CB4" w:rsidRPr="0042214E" w:rsidRDefault="007D3CB4" w:rsidP="007415AB">
            <w:pPr>
              <w:pStyle w:val="Tabletextbold"/>
            </w:pPr>
            <w:r w:rsidRPr="0042214E">
              <w:t>Business case information requirements for the stakeholder engagement and communication plan for the project solution</w:t>
            </w:r>
          </w:p>
          <w:p w14:paraId="51D6AB97" w14:textId="77777777" w:rsidR="007D3CB4" w:rsidRPr="0042214E" w:rsidRDefault="007D3CB4" w:rsidP="007415AB">
            <w:pPr>
              <w:pStyle w:val="Tablebullet"/>
            </w:pPr>
            <w:r w:rsidRPr="0042214E">
              <w:t>Outline key elements of stakeholder and communications analysis.</w:t>
            </w:r>
          </w:p>
          <w:p w14:paraId="33819E0B" w14:textId="77777777" w:rsidR="007D3CB4" w:rsidRPr="0042214E" w:rsidRDefault="007D3CB4" w:rsidP="007415AB">
            <w:pPr>
              <w:pStyle w:val="Tablebullet"/>
            </w:pPr>
            <w:r w:rsidRPr="0042214E">
              <w:t xml:space="preserve">Map and provide detailed information on the key stakeholders, their </w:t>
            </w:r>
            <w:proofErr w:type="gramStart"/>
            <w:r w:rsidRPr="0042214E">
              <w:t>particular interests</w:t>
            </w:r>
            <w:proofErr w:type="gramEnd"/>
            <w:r w:rsidRPr="0042214E">
              <w:t xml:space="preserve"> and likely/actual position in relation to the project solution. </w:t>
            </w:r>
          </w:p>
          <w:p w14:paraId="0E98CBD7" w14:textId="10AEC705" w:rsidR="007D3CB4" w:rsidRPr="0042214E" w:rsidRDefault="007D3CB4" w:rsidP="007415AB">
            <w:pPr>
              <w:pStyle w:val="Tablebullet"/>
            </w:pPr>
            <w:r w:rsidRPr="0042214E">
              <w:t>Present a brief overview of the proposed high</w:t>
            </w:r>
            <w:r w:rsidR="00034452" w:rsidRPr="0042214E">
              <w:noBreakHyphen/>
            </w:r>
            <w:r w:rsidRPr="0042214E">
              <w:t xml:space="preserve">level stakeholder engagement and communications strategy or attach it as an appendix. </w:t>
            </w:r>
          </w:p>
          <w:p w14:paraId="16D0A14B" w14:textId="77777777" w:rsidR="007D3CB4" w:rsidRPr="0042214E" w:rsidRDefault="007D3CB4" w:rsidP="007415AB">
            <w:pPr>
              <w:pStyle w:val="Tablebullet"/>
            </w:pPr>
            <w:r w:rsidRPr="0042214E">
              <w:t>The strategy should cover the approach to dealing with stakeholders both upon project announcement and ongoing during the project.</w:t>
            </w:r>
          </w:p>
          <w:p w14:paraId="5CC877D6" w14:textId="5D86EEDE" w:rsidR="007D3CB4" w:rsidRPr="0042214E" w:rsidRDefault="007D3CB4" w:rsidP="007415AB">
            <w:pPr>
              <w:pStyle w:val="Tablebullet"/>
            </w:pPr>
            <w:r w:rsidRPr="0042214E">
              <w:t>If appropriate</w:t>
            </w:r>
            <w:r w:rsidR="00A7121E" w:rsidRPr="0042214E">
              <w:t>,</w:t>
            </w:r>
            <w:r w:rsidRPr="0042214E">
              <w:t xml:space="preserve"> identify specific stakeholder involvement required</w:t>
            </w:r>
            <w:r w:rsidR="00A7121E" w:rsidRPr="0042214E">
              <w:t>,</w:t>
            </w:r>
            <w:r w:rsidRPr="0042214E">
              <w:t xml:space="preserve"> </w:t>
            </w:r>
            <w:r w:rsidR="00FB7609" w:rsidRPr="0042214E">
              <w:t>e.g.,</w:t>
            </w:r>
            <w:r w:rsidRPr="0042214E">
              <w:t xml:space="preserve"> funding.</w:t>
            </w:r>
          </w:p>
        </w:tc>
      </w:tr>
    </w:tbl>
    <w:p w14:paraId="495D1F5E" w14:textId="77777777" w:rsidR="007D3CB4" w:rsidRPr="0042214E" w:rsidRDefault="007D3CB4" w:rsidP="007415AB">
      <w:pPr>
        <w:pStyle w:val="NormalIndent"/>
      </w:pPr>
    </w:p>
    <w:tbl>
      <w:tblPr>
        <w:tblStyle w:val="DTFfinancialtableindent"/>
        <w:tblW w:w="0" w:type="auto"/>
        <w:tblLook w:val="0680" w:firstRow="0" w:lastRow="0" w:firstColumn="1" w:lastColumn="0" w:noHBand="1" w:noVBand="1"/>
      </w:tblPr>
      <w:tblGrid>
        <w:gridCol w:w="8377"/>
      </w:tblGrid>
      <w:tr w:rsidR="007D3CB4" w:rsidRPr="0042214E" w14:paraId="17227785" w14:textId="77777777" w:rsidTr="007415AB">
        <w:trPr>
          <w:cantSplit/>
        </w:trPr>
        <w:tc>
          <w:tcPr>
            <w:cnfStyle w:val="001000000000" w:firstRow="0" w:lastRow="0" w:firstColumn="1" w:lastColumn="0" w:oddVBand="0" w:evenVBand="0" w:oddHBand="0" w:evenHBand="0" w:firstRowFirstColumn="0" w:firstRowLastColumn="0" w:lastRowFirstColumn="0" w:lastRowLastColumn="0"/>
            <w:tcW w:w="8719" w:type="dxa"/>
          </w:tcPr>
          <w:p w14:paraId="14893397" w14:textId="77777777" w:rsidR="007D3CB4" w:rsidRPr="0042214E" w:rsidRDefault="007D3CB4" w:rsidP="007415AB">
            <w:pPr>
              <w:pStyle w:val="Tabletextbold"/>
              <w:rPr>
                <w:sz w:val="20"/>
              </w:rPr>
            </w:pPr>
            <w:r w:rsidRPr="0042214E">
              <w:rPr>
                <w:sz w:val="20"/>
              </w:rPr>
              <w:lastRenderedPageBreak/>
              <w:t>Stakeholder engagement and communications plan (fictional tourism example)</w:t>
            </w:r>
          </w:p>
          <w:p w14:paraId="6E8CE48B" w14:textId="6D5A03B3" w:rsidR="007D3CB4" w:rsidRPr="0042214E" w:rsidRDefault="007D3CB4" w:rsidP="007415AB">
            <w:pPr>
              <w:pStyle w:val="Tabletext"/>
            </w:pPr>
            <w:r w:rsidRPr="0042214E">
              <w:t>This case study highlights the type of information that should be provided in a business case on stakeholder engagement and communication for a fictional regional development investment.</w:t>
            </w:r>
          </w:p>
          <w:p w14:paraId="2E28ADA5" w14:textId="77777777" w:rsidR="007D3CB4" w:rsidRPr="0042214E" w:rsidRDefault="007D3CB4" w:rsidP="006E62FF">
            <w:pPr>
              <w:spacing w:before="80" w:after="60"/>
              <w:rPr>
                <w:b/>
                <w:color w:val="000000" w:themeColor="text1"/>
              </w:rPr>
            </w:pPr>
            <w:r w:rsidRPr="0042214E">
              <w:rPr>
                <w:b/>
                <w:color w:val="000000" w:themeColor="text1"/>
              </w:rPr>
              <w:t xml:space="preserve">Stakeholder engagement and communications plan </w:t>
            </w:r>
          </w:p>
          <w:p w14:paraId="699A643D" w14:textId="73A5EF3F" w:rsidR="007D3CB4" w:rsidRPr="0042214E" w:rsidRDefault="007D3CB4" w:rsidP="007415AB">
            <w:pPr>
              <w:pStyle w:val="Tabletext"/>
            </w:pPr>
            <w:r w:rsidRPr="0042214E">
              <w:t xml:space="preserve">The key stakeholders for the project solution include other Victorian Government agencies (especially Regional Development Victoria (RDV) and Tourism Victoria), the Outback Rural City Council, the Outback Development Corporation, and various businesses and community groups in the region including the local </w:t>
            </w:r>
            <w:r w:rsidR="00FA4CA3" w:rsidRPr="0042214E">
              <w:t xml:space="preserve">Indigenous </w:t>
            </w:r>
            <w:r w:rsidRPr="0042214E">
              <w:t xml:space="preserve">community. These will be engaged through </w:t>
            </w:r>
            <w:proofErr w:type="gramStart"/>
            <w:r w:rsidRPr="0042214E">
              <w:t>a number of</w:t>
            </w:r>
            <w:proofErr w:type="gramEnd"/>
            <w:r w:rsidRPr="0042214E">
              <w:t xml:space="preserve"> strategies, reflecting the nature of their interest, the importance to the success of the project of their support and input, and timing considerations.</w:t>
            </w:r>
          </w:p>
          <w:p w14:paraId="63045512" w14:textId="13E115C4" w:rsidR="007D3CB4" w:rsidRPr="0042214E" w:rsidRDefault="007D3CB4" w:rsidP="007415AB">
            <w:pPr>
              <w:pStyle w:val="Tabletext"/>
            </w:pPr>
            <w:r w:rsidRPr="0042214E">
              <w:t>Engagement and consultation strategies are outlined in a high level, draft stakeholder engagement and communications strategy</w:t>
            </w:r>
            <w:r w:rsidR="00507CAE" w:rsidRPr="0042214E">
              <w:t>,</w:t>
            </w:r>
            <w:r w:rsidRPr="0042214E">
              <w:t xml:space="preserve"> which has been prepared for the project (see Appendix X). The table below summarises key elements of the draft strategy. </w:t>
            </w:r>
          </w:p>
          <w:tbl>
            <w:tblPr>
              <w:tblStyle w:val="DTFTextTable"/>
              <w:tblW w:w="8246" w:type="dxa"/>
              <w:tblInd w:w="27" w:type="dxa"/>
              <w:tblBorders>
                <w:top w:val="single" w:sz="8" w:space="0" w:color="E35205" w:themeColor="accent1"/>
                <w:insideH w:val="single" w:sz="8" w:space="0" w:color="E35205" w:themeColor="accent1"/>
              </w:tblBorders>
              <w:tblLook w:val="06A0" w:firstRow="1" w:lastRow="0" w:firstColumn="1" w:lastColumn="0" w:noHBand="1" w:noVBand="1"/>
            </w:tblPr>
            <w:tblGrid>
              <w:gridCol w:w="1400"/>
              <w:gridCol w:w="3522"/>
              <w:gridCol w:w="3324"/>
            </w:tblGrid>
            <w:tr w:rsidR="007D3CB4" w:rsidRPr="0042214E" w14:paraId="039BBED5" w14:textId="77777777" w:rsidTr="00A4220E">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00" w:type="dxa"/>
                </w:tcPr>
                <w:p w14:paraId="3840765F" w14:textId="77777777" w:rsidR="007D3CB4" w:rsidRPr="0042214E" w:rsidRDefault="007D3CB4" w:rsidP="006E62FF">
                  <w:pPr>
                    <w:rPr>
                      <w:szCs w:val="18"/>
                    </w:rPr>
                  </w:pPr>
                  <w:r w:rsidRPr="0042214E">
                    <w:rPr>
                      <w:szCs w:val="18"/>
                    </w:rPr>
                    <w:t xml:space="preserve">Stakeholder </w:t>
                  </w:r>
                </w:p>
              </w:tc>
              <w:tc>
                <w:tcPr>
                  <w:tcW w:w="3522" w:type="dxa"/>
                </w:tcPr>
                <w:p w14:paraId="1C09E465" w14:textId="77777777" w:rsidR="007D3CB4" w:rsidRPr="0042214E" w:rsidRDefault="007D3CB4" w:rsidP="006E62FF">
                  <w:pPr>
                    <w:cnfStyle w:val="100000000000" w:firstRow="1" w:lastRow="0" w:firstColumn="0" w:lastColumn="0" w:oddVBand="0" w:evenVBand="0" w:oddHBand="0" w:evenHBand="0" w:firstRowFirstColumn="0" w:firstRowLastColumn="0" w:lastRowFirstColumn="0" w:lastRowLastColumn="0"/>
                    <w:rPr>
                      <w:szCs w:val="18"/>
                    </w:rPr>
                  </w:pPr>
                  <w:r w:rsidRPr="0042214E">
                    <w:rPr>
                      <w:szCs w:val="18"/>
                    </w:rPr>
                    <w:t>Issues and risks</w:t>
                  </w:r>
                </w:p>
              </w:tc>
              <w:tc>
                <w:tcPr>
                  <w:tcW w:w="3324" w:type="dxa"/>
                </w:tcPr>
                <w:p w14:paraId="428BADEA" w14:textId="77777777" w:rsidR="007D3CB4" w:rsidRPr="0042214E" w:rsidRDefault="007D3CB4" w:rsidP="006E62FF">
                  <w:pPr>
                    <w:cnfStyle w:val="100000000000" w:firstRow="1" w:lastRow="0" w:firstColumn="0" w:lastColumn="0" w:oddVBand="0" w:evenVBand="0" w:oddHBand="0" w:evenHBand="0" w:firstRowFirstColumn="0" w:firstRowLastColumn="0" w:lastRowFirstColumn="0" w:lastRowLastColumn="0"/>
                    <w:rPr>
                      <w:szCs w:val="18"/>
                    </w:rPr>
                  </w:pPr>
                  <w:r w:rsidRPr="0042214E">
                    <w:rPr>
                      <w:szCs w:val="18"/>
                    </w:rPr>
                    <w:t>Future consultation actions</w:t>
                  </w:r>
                </w:p>
              </w:tc>
            </w:tr>
            <w:tr w:rsidR="007D3CB4" w:rsidRPr="0042214E" w14:paraId="41D32423" w14:textId="77777777" w:rsidTr="00A4220E">
              <w:tc>
                <w:tcPr>
                  <w:cnfStyle w:val="001000000000" w:firstRow="0" w:lastRow="0" w:firstColumn="1" w:lastColumn="0" w:oddVBand="0" w:evenVBand="0" w:oddHBand="0" w:evenHBand="0" w:firstRowFirstColumn="0" w:firstRowLastColumn="0" w:lastRowFirstColumn="0" w:lastRowLastColumn="0"/>
                  <w:tcW w:w="1400" w:type="dxa"/>
                </w:tcPr>
                <w:p w14:paraId="08F4962C" w14:textId="31396676" w:rsidR="007D3CB4" w:rsidRPr="0042214E" w:rsidRDefault="007D3CB4" w:rsidP="007415AB">
                  <w:pPr>
                    <w:pStyle w:val="Tabletext"/>
                    <w:rPr>
                      <w:i/>
                    </w:rPr>
                  </w:pPr>
                  <w:r w:rsidRPr="0042214E">
                    <w:t>RDV and Tourism Victoria</w:t>
                  </w:r>
                </w:p>
              </w:tc>
              <w:tc>
                <w:tcPr>
                  <w:tcW w:w="3522" w:type="dxa"/>
                </w:tcPr>
                <w:p w14:paraId="2A31D094" w14:textId="5D0455D0" w:rsidR="007D3CB4" w:rsidRPr="0042214E" w:rsidRDefault="007D3CB4" w:rsidP="007415AB">
                  <w:pPr>
                    <w:pStyle w:val="Tabletext"/>
                    <w:cnfStyle w:val="000000000000" w:firstRow="0" w:lastRow="0" w:firstColumn="0" w:lastColumn="0" w:oddVBand="0" w:evenVBand="0" w:oddHBand="0" w:evenHBand="0" w:firstRowFirstColumn="0" w:firstRowLastColumn="0" w:lastRowFirstColumn="0" w:lastRowLastColumn="0"/>
                  </w:pPr>
                  <w:r w:rsidRPr="0042214E">
                    <w:t xml:space="preserve">The project must align with the programs and strategies of these agencies to best meet its objectives and deliver on </w:t>
                  </w:r>
                  <w:r w:rsidR="00FD1702">
                    <w:t>G</w:t>
                  </w:r>
                  <w:r w:rsidR="00FD1702" w:rsidRPr="0042214E">
                    <w:t xml:space="preserve">overnment </w:t>
                  </w:r>
                  <w:r w:rsidRPr="0042214E">
                    <w:t>policy priorities. There are no issues with these stakeholders, as they have been closely involved in the project and support it.</w:t>
                  </w:r>
                </w:p>
              </w:tc>
              <w:tc>
                <w:tcPr>
                  <w:tcW w:w="3324" w:type="dxa"/>
                </w:tcPr>
                <w:p w14:paraId="541B9941" w14:textId="5D96E834" w:rsidR="007D3CB4" w:rsidRPr="0042214E" w:rsidRDefault="007D3CB4" w:rsidP="007415AB">
                  <w:pPr>
                    <w:pStyle w:val="Tabletext"/>
                    <w:cnfStyle w:val="000000000000" w:firstRow="0" w:lastRow="0" w:firstColumn="0" w:lastColumn="0" w:oddVBand="0" w:evenVBand="0" w:oddHBand="0" w:evenHBand="0" w:firstRowFirstColumn="0" w:firstRowLastColumn="0" w:lastRowFirstColumn="0" w:lastRowLastColumn="0"/>
                  </w:pPr>
                  <w:r w:rsidRPr="0042214E">
                    <w:t xml:space="preserve">Ongoing input from RDV and Tourism Victoria is critical to the success of this project. These agencies will therefore be represented on the PCB, which will provide RDV and Tourism Victoria </w:t>
                  </w:r>
                  <w:r w:rsidR="00DB1626" w:rsidRPr="0042214E">
                    <w:t xml:space="preserve">with </w:t>
                  </w:r>
                  <w:r w:rsidRPr="0042214E">
                    <w:t>the opportunity to inform and guide the project as it progresses.</w:t>
                  </w:r>
                </w:p>
              </w:tc>
            </w:tr>
            <w:tr w:rsidR="007D3CB4" w:rsidRPr="0042214E" w14:paraId="2D2EA475" w14:textId="77777777" w:rsidTr="00A4220E">
              <w:tc>
                <w:tcPr>
                  <w:cnfStyle w:val="001000000000" w:firstRow="0" w:lastRow="0" w:firstColumn="1" w:lastColumn="0" w:oddVBand="0" w:evenVBand="0" w:oddHBand="0" w:evenHBand="0" w:firstRowFirstColumn="0" w:firstRowLastColumn="0" w:lastRowFirstColumn="0" w:lastRowLastColumn="0"/>
                  <w:tcW w:w="1400" w:type="dxa"/>
                </w:tcPr>
                <w:p w14:paraId="5C1E1E2B" w14:textId="77777777" w:rsidR="007D3CB4" w:rsidRPr="0042214E" w:rsidRDefault="007D3CB4" w:rsidP="007415AB">
                  <w:pPr>
                    <w:pStyle w:val="Tabletext"/>
                    <w:rPr>
                      <w:i/>
                    </w:rPr>
                  </w:pPr>
                  <w:r w:rsidRPr="0042214E">
                    <w:t>The Outback Rural City Council and the Outback Development Corporation</w:t>
                  </w:r>
                </w:p>
              </w:tc>
              <w:tc>
                <w:tcPr>
                  <w:tcW w:w="3522" w:type="dxa"/>
                </w:tcPr>
                <w:p w14:paraId="0A782E18" w14:textId="0157065C" w:rsidR="007D3CB4" w:rsidRPr="0042214E" w:rsidRDefault="007D3CB4" w:rsidP="007415AB">
                  <w:pPr>
                    <w:pStyle w:val="Tabletext"/>
                    <w:cnfStyle w:val="000000000000" w:firstRow="0" w:lastRow="0" w:firstColumn="0" w:lastColumn="0" w:oddVBand="0" w:evenVBand="0" w:oddHBand="0" w:evenHBand="0" w:firstRowFirstColumn="0" w:firstRowLastColumn="0" w:lastRowFirstColumn="0" w:lastRowLastColumn="0"/>
                  </w:pPr>
                  <w:r w:rsidRPr="0042214E">
                    <w:t xml:space="preserve">Support from these bodies is important because they are highly influential in the Outback community and especially </w:t>
                  </w:r>
                  <w:r w:rsidR="00DB1626" w:rsidRPr="0042214E">
                    <w:t xml:space="preserve">in </w:t>
                  </w:r>
                  <w:r w:rsidRPr="0042214E">
                    <w:t>business circles. Also, their local expertise will be useful in refining the project and local consultation strategies.</w:t>
                  </w:r>
                </w:p>
                <w:p w14:paraId="3F8CF35C" w14:textId="4B065B75" w:rsidR="007D3CB4" w:rsidRPr="0042214E" w:rsidRDefault="007D3CB4" w:rsidP="00DB1626">
                  <w:pPr>
                    <w:pStyle w:val="Tabletext"/>
                    <w:cnfStyle w:val="000000000000" w:firstRow="0" w:lastRow="0" w:firstColumn="0" w:lastColumn="0" w:oddVBand="0" w:evenVBand="0" w:oddHBand="0" w:evenHBand="0" w:firstRowFirstColumn="0" w:firstRowLastColumn="0" w:lastRowFirstColumn="0" w:lastRowLastColumn="0"/>
                  </w:pPr>
                  <w:r w:rsidRPr="0042214E">
                    <w:t>These agencies support the project in</w:t>
                  </w:r>
                  <w:r w:rsidR="00DB1626" w:rsidRPr="0042214E">
                    <w:t xml:space="preserve"> </w:t>
                  </w:r>
                  <w:r w:rsidR="00FB7609" w:rsidRPr="0042214E">
                    <w:t>principle but</w:t>
                  </w:r>
                  <w:r w:rsidRPr="0042214E">
                    <w:t xml:space="preserve"> will be keen to ensure that they are closely engaged in its development and that the project meets the expectations of the </w:t>
                  </w:r>
                  <w:r w:rsidR="00DB1626" w:rsidRPr="0042214E">
                    <w:t xml:space="preserve">Council </w:t>
                  </w:r>
                  <w:r w:rsidRPr="0042214E">
                    <w:t xml:space="preserve">and businesses. If this does not occur, there are risks of low </w:t>
                  </w:r>
                  <w:r w:rsidR="00DB1626" w:rsidRPr="0042214E">
                    <w:t xml:space="preserve">vacancy </w:t>
                  </w:r>
                  <w:r w:rsidRPr="0042214E">
                    <w:t>rates within the development (which may increase project costs) and general community resistance (which may increase project timelines and costs).</w:t>
                  </w:r>
                </w:p>
              </w:tc>
              <w:tc>
                <w:tcPr>
                  <w:tcW w:w="3324" w:type="dxa"/>
                </w:tcPr>
                <w:p w14:paraId="1D60E372" w14:textId="77777777" w:rsidR="007D3CB4" w:rsidRPr="0042214E" w:rsidRDefault="007D3CB4" w:rsidP="007415AB">
                  <w:pPr>
                    <w:pStyle w:val="Tabletext"/>
                    <w:cnfStyle w:val="000000000000" w:firstRow="0" w:lastRow="0" w:firstColumn="0" w:lastColumn="0" w:oddVBand="0" w:evenVBand="0" w:oddHBand="0" w:evenHBand="0" w:firstRowFirstColumn="0" w:firstRowLastColumn="0" w:lastRowFirstColumn="0" w:lastRowLastColumn="0"/>
                  </w:pPr>
                  <w:r w:rsidRPr="0042214E">
                    <w:t>The project director will meet regularly with the Outback Rural City Council and the Outback Development Corporation, to review progress and to gather ongoing input and advice.</w:t>
                  </w:r>
                </w:p>
                <w:p w14:paraId="290249C8" w14:textId="0114AAAB" w:rsidR="007D3CB4" w:rsidRPr="0042214E" w:rsidRDefault="007D3CB4" w:rsidP="007415AB">
                  <w:pPr>
                    <w:pStyle w:val="Tabletext"/>
                    <w:cnfStyle w:val="000000000000" w:firstRow="0" w:lastRow="0" w:firstColumn="0" w:lastColumn="0" w:oddVBand="0" w:evenVBand="0" w:oddHBand="0" w:evenHBand="0" w:firstRowFirstColumn="0" w:firstRowLastColumn="0" w:lastRowFirstColumn="0" w:lastRowLastColumn="0"/>
                  </w:pPr>
                  <w:r w:rsidRPr="0042214E">
                    <w:t>Meetings will be scheduled around important milestones and activities, such as design development, media campaigns, the commencement of site works and construction completion. As a minimum, the meetings will be held bi</w:t>
                  </w:r>
                  <w:r w:rsidR="00B8164B" w:rsidRPr="0042214E">
                    <w:t>-</w:t>
                  </w:r>
                  <w:r w:rsidRPr="0042214E">
                    <w:t>monthly.</w:t>
                  </w:r>
                </w:p>
                <w:p w14:paraId="57D54E6E" w14:textId="10E41C92" w:rsidR="007D3CB4" w:rsidRPr="0042214E" w:rsidRDefault="007D3CB4" w:rsidP="007415AB">
                  <w:pPr>
                    <w:pStyle w:val="Tabletext"/>
                    <w:cnfStyle w:val="000000000000" w:firstRow="0" w:lastRow="0" w:firstColumn="0" w:lastColumn="0" w:oddVBand="0" w:evenVBand="0" w:oddHBand="0" w:evenHBand="0" w:firstRowFirstColumn="0" w:firstRowLastColumn="0" w:lastRowFirstColumn="0" w:lastRowLastColumn="0"/>
                  </w:pPr>
                  <w:r w:rsidRPr="0042214E">
                    <w:t xml:space="preserve">This consultation will complement and inform broader public consultation processes throughout </w:t>
                  </w:r>
                  <w:r w:rsidR="00B8164B" w:rsidRPr="0042214E">
                    <w:t xml:space="preserve">the </w:t>
                  </w:r>
                  <w:r w:rsidRPr="0042214E">
                    <w:t>Outback.</w:t>
                  </w:r>
                </w:p>
              </w:tc>
            </w:tr>
            <w:tr w:rsidR="007D3CB4" w:rsidRPr="0042214E" w14:paraId="7BE92D20" w14:textId="77777777" w:rsidTr="00A4220E">
              <w:tblPrEx>
                <w:tblBorders>
                  <w:top w:val="none" w:sz="0" w:space="0" w:color="auto"/>
                  <w:insideH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tcBorders>
                    <w:bottom w:val="single" w:sz="4" w:space="0" w:color="E35205" w:themeColor="accent1"/>
                  </w:tcBorders>
                </w:tcPr>
                <w:p w14:paraId="7167F5D1" w14:textId="6514A37F" w:rsidR="007D3CB4" w:rsidRPr="0042214E" w:rsidRDefault="007D3CB4" w:rsidP="007415AB">
                  <w:pPr>
                    <w:pStyle w:val="Tabletext"/>
                  </w:pPr>
                  <w:r w:rsidRPr="0042214E">
                    <w:t xml:space="preserve">Local businesses and community groups and </w:t>
                  </w:r>
                  <w:r w:rsidR="00FA4CA3" w:rsidRPr="0042214E">
                    <w:t xml:space="preserve">Indigenous </w:t>
                  </w:r>
                  <w:r w:rsidRPr="0042214E">
                    <w:t>community</w:t>
                  </w:r>
                </w:p>
              </w:tc>
              <w:tc>
                <w:tcPr>
                  <w:tcW w:w="3522" w:type="dxa"/>
                  <w:tcBorders>
                    <w:bottom w:val="single" w:sz="4" w:space="0" w:color="E35205" w:themeColor="accent1"/>
                  </w:tcBorders>
                </w:tcPr>
                <w:p w14:paraId="3C4E408C" w14:textId="1C701002" w:rsidR="007D3CB4" w:rsidRPr="0042214E" w:rsidRDefault="007D3CB4" w:rsidP="007415AB">
                  <w:pPr>
                    <w:pStyle w:val="Tabletext"/>
                    <w:cnfStyle w:val="000000100000" w:firstRow="0" w:lastRow="0" w:firstColumn="0" w:lastColumn="0" w:oddVBand="0" w:evenVBand="0" w:oddHBand="1" w:evenHBand="0" w:firstRowFirstColumn="0" w:firstRowLastColumn="0" w:lastRowFirstColumn="0" w:lastRowLastColumn="0"/>
                  </w:pPr>
                  <w:r w:rsidRPr="0042214E">
                    <w:t>The commercial performance of the project depends on take</w:t>
                  </w:r>
                  <w:r w:rsidR="00034452" w:rsidRPr="0042214E">
                    <w:noBreakHyphen/>
                  </w:r>
                  <w:r w:rsidRPr="0042214E">
                    <w:t xml:space="preserve">up of leases by local businesses. There are financial risks if the expectations of these stakeholders (including over consultation, </w:t>
                  </w:r>
                  <w:proofErr w:type="gramStart"/>
                  <w:r w:rsidRPr="0042214E">
                    <w:t>design</w:t>
                  </w:r>
                  <w:proofErr w:type="gramEnd"/>
                  <w:r w:rsidRPr="0042214E">
                    <w:t xml:space="preserve"> and rentals) are not met.</w:t>
                  </w:r>
                </w:p>
                <w:p w14:paraId="210F0ACF" w14:textId="77777777" w:rsidR="007D3CB4" w:rsidRPr="0042214E" w:rsidRDefault="007D3CB4" w:rsidP="007415AB">
                  <w:pPr>
                    <w:pStyle w:val="Tabletext"/>
                    <w:cnfStyle w:val="000000100000" w:firstRow="0" w:lastRow="0" w:firstColumn="0" w:lastColumn="0" w:oddVBand="0" w:evenVBand="0" w:oddHBand="1" w:evenHBand="0" w:firstRowFirstColumn="0" w:firstRowLastColumn="0" w:lastRowFirstColumn="0" w:lastRowLastColumn="0"/>
                  </w:pPr>
                  <w:r w:rsidRPr="0042214E">
                    <w:t>Several community groups operate from premises that will be impacted by construction, and the site is also adjacent to important community spaces (the riverfront, parks, sites of cultural significance). For these stakeholders, it will be important to minimise disruption during construction, and that the site design is right for the area (including heritage values). Community resistance has potential to increase project timelines and costs.</w:t>
                  </w:r>
                </w:p>
              </w:tc>
              <w:tc>
                <w:tcPr>
                  <w:tcW w:w="3324" w:type="dxa"/>
                  <w:tcBorders>
                    <w:bottom w:val="single" w:sz="4" w:space="0" w:color="E35205" w:themeColor="accent1"/>
                  </w:tcBorders>
                </w:tcPr>
                <w:p w14:paraId="591E79C5" w14:textId="6C44B820" w:rsidR="007D3CB4" w:rsidRPr="0042214E" w:rsidRDefault="007D3CB4" w:rsidP="007415AB">
                  <w:pPr>
                    <w:pStyle w:val="Tabletext"/>
                    <w:cnfStyle w:val="000000100000" w:firstRow="0" w:lastRow="0" w:firstColumn="0" w:lastColumn="0" w:oddVBand="0" w:evenVBand="0" w:oddHBand="1" w:evenHBand="0" w:firstRowFirstColumn="0" w:firstRowLastColumn="0" w:lastRowFirstColumn="0" w:lastRowLastColumn="0"/>
                  </w:pPr>
                  <w:r w:rsidRPr="0042214E">
                    <w:t xml:space="preserve">Local businesses and community groups will be engaged regularly in </w:t>
                  </w:r>
                  <w:proofErr w:type="gramStart"/>
                  <w:r w:rsidRPr="0042214E">
                    <w:t>a number of</w:t>
                  </w:r>
                  <w:proofErr w:type="gramEnd"/>
                  <w:r w:rsidRPr="0042214E">
                    <w:t xml:space="preserve"> ways. Consultation with these stakeholders will have two high</w:t>
                  </w:r>
                  <w:r w:rsidR="00034452" w:rsidRPr="0042214E">
                    <w:noBreakHyphen/>
                  </w:r>
                  <w:r w:rsidRPr="0042214E">
                    <w:t>level objectives: to disseminate information; and to solicit input and feedback.</w:t>
                  </w:r>
                </w:p>
                <w:p w14:paraId="01325ADA" w14:textId="77777777" w:rsidR="007D3CB4" w:rsidRPr="0042214E" w:rsidRDefault="007D3CB4" w:rsidP="007415AB">
                  <w:pPr>
                    <w:pStyle w:val="Tabletext"/>
                    <w:cnfStyle w:val="000000100000" w:firstRow="0" w:lastRow="0" w:firstColumn="0" w:lastColumn="0" w:oddVBand="0" w:evenVBand="0" w:oddHBand="1" w:evenHBand="0" w:firstRowFirstColumn="0" w:firstRowLastColumn="0" w:lastRowFirstColumn="0" w:lastRowLastColumn="0"/>
                  </w:pPr>
                  <w:r w:rsidRPr="0042214E">
                    <w:t xml:space="preserve">A stakeholder advisory group (comprising representative of businesses and community groups) will be formed to consult to the PCB on stakeholder issues. </w:t>
                  </w:r>
                </w:p>
                <w:p w14:paraId="03D42056" w14:textId="77777777" w:rsidR="007D3CB4" w:rsidRPr="0042214E" w:rsidRDefault="007D3CB4" w:rsidP="007415AB">
                  <w:pPr>
                    <w:pStyle w:val="Tabletext"/>
                    <w:cnfStyle w:val="000000100000" w:firstRow="0" w:lastRow="0" w:firstColumn="0" w:lastColumn="0" w:oddVBand="0" w:evenVBand="0" w:oddHBand="1" w:evenHBand="0" w:firstRowFirstColumn="0" w:firstRowLastColumn="0" w:lastRowFirstColumn="0" w:lastRowLastColumn="0"/>
                  </w:pPr>
                  <w:r w:rsidRPr="0042214E">
                    <w:t>There will also be public information campaigns leading into key project milestones. This will involve media releases, interviews with the local media and media advertisements.</w:t>
                  </w:r>
                </w:p>
              </w:tc>
            </w:tr>
          </w:tbl>
          <w:p w14:paraId="3B751E91" w14:textId="7D627A0B" w:rsidR="007D3CB4" w:rsidRPr="0042214E" w:rsidRDefault="007D3CB4" w:rsidP="006E62FF">
            <w:pPr>
              <w:spacing w:before="80" w:after="60"/>
            </w:pPr>
            <w:r w:rsidRPr="0042214E">
              <w:rPr>
                <w:color w:val="000000" w:themeColor="text1"/>
              </w:rPr>
              <w:t>The draft strategy will be further developed in the project implementation phase. The proposed project management structure and project budget include resources for this activity and stakeholder engagement (assigned 0.3 FTE staff in 2012</w:t>
            </w:r>
            <w:r w:rsidR="00975A51" w:rsidRPr="0042214E">
              <w:rPr>
                <w:color w:val="000000" w:themeColor="text1"/>
              </w:rPr>
              <w:t>–</w:t>
            </w:r>
            <w:r w:rsidRPr="0042214E">
              <w:rPr>
                <w:color w:val="000000" w:themeColor="text1"/>
              </w:rPr>
              <w:t>13 and 2013</w:t>
            </w:r>
            <w:r w:rsidR="00975A51" w:rsidRPr="0042214E">
              <w:rPr>
                <w:color w:val="000000" w:themeColor="text1"/>
              </w:rPr>
              <w:t>–</w:t>
            </w:r>
            <w:r w:rsidRPr="0042214E">
              <w:rPr>
                <w:color w:val="000000" w:themeColor="text1"/>
              </w:rPr>
              <w:t>14)</w:t>
            </w:r>
            <w:r w:rsidR="00975A51" w:rsidRPr="0042214E">
              <w:rPr>
                <w:color w:val="000000" w:themeColor="text1"/>
              </w:rPr>
              <w:t>.</w:t>
            </w:r>
          </w:p>
        </w:tc>
      </w:tr>
    </w:tbl>
    <w:p w14:paraId="3B1BFB4D" w14:textId="77777777" w:rsidR="007D3CB4" w:rsidRPr="0042214E" w:rsidRDefault="007D3CB4" w:rsidP="005E1934">
      <w:pPr>
        <w:pStyle w:val="Heading3numbered"/>
      </w:pPr>
      <w:bookmarkStart w:id="199" w:name="_Toc121415348"/>
      <w:r w:rsidRPr="0042214E">
        <w:lastRenderedPageBreak/>
        <w:t>Project management strategy</w:t>
      </w:r>
      <w:bookmarkEnd w:id="199"/>
    </w:p>
    <w:p w14:paraId="3B8489F9" w14:textId="77777777" w:rsidR="007D3CB4" w:rsidRPr="0042214E" w:rsidRDefault="007D3CB4" w:rsidP="00A4220E">
      <w:pPr>
        <w:pStyle w:val="NormalIndent"/>
      </w:pPr>
      <w:r w:rsidRPr="0042214E">
        <w:t>This guidance is based on the following key project management principles:</w:t>
      </w:r>
    </w:p>
    <w:p w14:paraId="66ADD67E" w14:textId="7DF4722B" w:rsidR="007D3CB4" w:rsidRPr="0042214E" w:rsidRDefault="007D3CB4" w:rsidP="00A4220E">
      <w:pPr>
        <w:pStyle w:val="Bulletindent"/>
      </w:pPr>
      <w:r w:rsidRPr="0042214E">
        <w:t xml:space="preserve">a project is a finite process with </w:t>
      </w:r>
      <w:r w:rsidR="00975A51" w:rsidRPr="0042214E">
        <w:t xml:space="preserve">a </w:t>
      </w:r>
      <w:r w:rsidRPr="0042214E">
        <w:t xml:space="preserve">defined start and </w:t>
      </w:r>
      <w:proofErr w:type="gramStart"/>
      <w:r w:rsidRPr="0042214E">
        <w:t>end;</w:t>
      </w:r>
      <w:proofErr w:type="gramEnd"/>
      <w:r w:rsidRPr="0042214E">
        <w:t xml:space="preserve"> </w:t>
      </w:r>
    </w:p>
    <w:p w14:paraId="360A9317" w14:textId="77777777" w:rsidR="007D3CB4" w:rsidRPr="0042214E" w:rsidRDefault="007D3CB4" w:rsidP="00A4220E">
      <w:pPr>
        <w:pStyle w:val="Bulletindent"/>
      </w:pPr>
      <w:r w:rsidRPr="0042214E">
        <w:t xml:space="preserve">a project always needs to be managed </w:t>
      </w:r>
      <w:proofErr w:type="gramStart"/>
      <w:r w:rsidRPr="0042214E">
        <w:t>in order to</w:t>
      </w:r>
      <w:proofErr w:type="gramEnd"/>
      <w:r w:rsidRPr="0042214E">
        <w:t xml:space="preserve"> be successful; and</w:t>
      </w:r>
    </w:p>
    <w:p w14:paraId="4EB9A1BC" w14:textId="77777777" w:rsidR="007D3CB4" w:rsidRPr="0042214E" w:rsidRDefault="007D3CB4" w:rsidP="00A4220E">
      <w:pPr>
        <w:pStyle w:val="Bulletindent"/>
      </w:pPr>
      <w:r w:rsidRPr="0042214E">
        <w:t>for genuine commitment to the project, all parties must be clear about why the project is needed, what it is designed to deliver, how the outputs and outcomes are to be achieved, and their roles and responsibilities.</w:t>
      </w:r>
    </w:p>
    <w:p w14:paraId="427E94F8" w14:textId="25CCD5FB" w:rsidR="007D3CB4" w:rsidRPr="0042214E" w:rsidRDefault="007D3CB4" w:rsidP="00A4220E">
      <w:pPr>
        <w:pStyle w:val="NormalIndent"/>
      </w:pPr>
      <w:r w:rsidRPr="0042214E">
        <w:t>The purpose of this section is to outline the proposed project management strategy, framework and plans to support the design, build and implementation of the project solution. The strategy should be high level, but at the same time demonstrate its suitability and robustness, for example</w:t>
      </w:r>
      <w:r w:rsidR="00975A51" w:rsidRPr="0042214E">
        <w:t>,</w:t>
      </w:r>
      <w:r w:rsidRPr="0042214E">
        <w:t xml:space="preserve"> identifying specific skills required and how these will be obtained to address project needs. </w:t>
      </w:r>
    </w:p>
    <w:p w14:paraId="0D25C89C" w14:textId="3154CC7D" w:rsidR="007D3CB4" w:rsidRPr="0042214E" w:rsidRDefault="007D3CB4" w:rsidP="00A4220E">
      <w:pPr>
        <w:pStyle w:val="NormalIndent"/>
      </w:pPr>
      <w:r w:rsidRPr="0042214E">
        <w:t xml:space="preserve">The strategy for the successful delivery of the project solution should use recognised best practice project management principles and project management methodologies and should be appropriate to the characteristics of the project. Detailed plans can be included as an appendix if necessary. A robust project management methodology is required to guide the project through visible, </w:t>
      </w:r>
      <w:proofErr w:type="gramStart"/>
      <w:r w:rsidRPr="0042214E">
        <w:t>controlled</w:t>
      </w:r>
      <w:proofErr w:type="gramEnd"/>
      <w:r w:rsidRPr="0042214E">
        <w:t xml:space="preserve"> and </w:t>
      </w:r>
      <w:r w:rsidR="00975A51" w:rsidRPr="0042214E">
        <w:t>well-</w:t>
      </w:r>
      <w:r w:rsidRPr="0042214E">
        <w:t xml:space="preserve">managed processes to achieve the investment benefits and deliver the investment as per the specifications outlined. </w:t>
      </w:r>
    </w:p>
    <w:p w14:paraId="7D8DCC54" w14:textId="5AA13657" w:rsidR="007D3CB4" w:rsidRPr="0042214E" w:rsidRDefault="007D3CB4" w:rsidP="00A4220E">
      <w:pPr>
        <w:pStyle w:val="NormalIndent"/>
      </w:pPr>
      <w:r w:rsidRPr="0042214E">
        <w:t>Where a real options approach has been taken to the project, this section should outline how the project management strategy will respond to a change in the direction of the project should trigger events be activated that cause the project to be scaled up, down, abandoned, change direction</w:t>
      </w:r>
      <w:r w:rsidR="00975A51" w:rsidRPr="0042214E">
        <w:t>,</w:t>
      </w:r>
      <w:r w:rsidRPr="0042214E">
        <w:t xml:space="preserve"> etc. For example, where the Government has decided to scale down a project in relation to lesser climate change impacts than were originally anticipated, the project management strategy should outline how it would update its management processes to ensure smooth transition to the new direction.</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7D3CB4" w:rsidRPr="0042214E" w14:paraId="5B019051" w14:textId="77777777" w:rsidTr="00A4220E">
        <w:tc>
          <w:tcPr>
            <w:tcW w:w="8719" w:type="dxa"/>
            <w:shd w:val="clear" w:color="auto" w:fill="FDF3EA" w:themeFill="accent5" w:themeFillTint="33"/>
          </w:tcPr>
          <w:p w14:paraId="43E4B38B" w14:textId="06EDBFAE" w:rsidR="007D3CB4" w:rsidRPr="0042214E" w:rsidRDefault="007D3CB4" w:rsidP="00A4220E">
            <w:pPr>
              <w:pStyle w:val="Tabletextbold"/>
            </w:pPr>
            <w:r w:rsidRPr="0042214E">
              <w:t xml:space="preserve">Business case information requirements for project management strategy for the project solution </w:t>
            </w:r>
          </w:p>
          <w:p w14:paraId="37C8AD3E" w14:textId="77777777" w:rsidR="007D3CB4" w:rsidRPr="0042214E" w:rsidRDefault="007D3CB4" w:rsidP="00A4220E">
            <w:pPr>
              <w:pStyle w:val="Tablebullet"/>
            </w:pPr>
            <w:r w:rsidRPr="0042214E">
              <w:t xml:space="preserve">Demonstrate that a robust project management strategy is in place. </w:t>
            </w:r>
          </w:p>
          <w:p w14:paraId="28AB03E2" w14:textId="52B74A41" w:rsidR="007D3CB4" w:rsidRPr="0042214E" w:rsidRDefault="007D3CB4" w:rsidP="00A4220E">
            <w:pPr>
              <w:pStyle w:val="Tablebullet"/>
            </w:pPr>
            <w:r w:rsidRPr="0042214E">
              <w:t xml:space="preserve">Include an </w:t>
            </w:r>
            <w:r w:rsidR="00975A51" w:rsidRPr="0042214E">
              <w:t>up-to-</w:t>
            </w:r>
            <w:r w:rsidRPr="0042214E">
              <w:t>date summary of the project management strategy addressing the following areas:</w:t>
            </w:r>
          </w:p>
          <w:p w14:paraId="43C0BF35" w14:textId="77777777" w:rsidR="007D3CB4" w:rsidRPr="0042214E" w:rsidRDefault="007D3CB4" w:rsidP="00A4220E">
            <w:pPr>
              <w:pStyle w:val="Tabledash"/>
            </w:pPr>
            <w:r w:rsidRPr="0042214E">
              <w:t xml:space="preserve">the suitability of the </w:t>
            </w:r>
            <w:proofErr w:type="gramStart"/>
            <w:r w:rsidRPr="0042214E">
              <w:t>strategy;</w:t>
            </w:r>
            <w:proofErr w:type="gramEnd"/>
          </w:p>
          <w:p w14:paraId="54742061" w14:textId="77777777" w:rsidR="007D3CB4" w:rsidRPr="0042214E" w:rsidRDefault="007D3CB4" w:rsidP="00A4220E">
            <w:pPr>
              <w:pStyle w:val="Tabledash"/>
            </w:pPr>
            <w:r w:rsidRPr="0042214E">
              <w:t xml:space="preserve">the deliverables </w:t>
            </w:r>
            <w:proofErr w:type="gramStart"/>
            <w:r w:rsidRPr="0042214E">
              <w:t>required;</w:t>
            </w:r>
            <w:proofErr w:type="gramEnd"/>
          </w:p>
          <w:p w14:paraId="060B1810" w14:textId="77777777" w:rsidR="007D3CB4" w:rsidRPr="0042214E" w:rsidRDefault="007D3CB4" w:rsidP="00A4220E">
            <w:pPr>
              <w:pStyle w:val="Tabledash"/>
            </w:pPr>
            <w:r w:rsidRPr="0042214E">
              <w:t xml:space="preserve">the activities required to deliver </w:t>
            </w:r>
            <w:proofErr w:type="gramStart"/>
            <w:r w:rsidRPr="0042214E">
              <w:t>them;</w:t>
            </w:r>
            <w:proofErr w:type="gramEnd"/>
          </w:p>
          <w:p w14:paraId="72A6C3B9" w14:textId="77777777" w:rsidR="007D3CB4" w:rsidRPr="0042214E" w:rsidRDefault="007D3CB4" w:rsidP="00A4220E">
            <w:pPr>
              <w:pStyle w:val="Tabledash"/>
            </w:pPr>
            <w:r w:rsidRPr="0042214E">
              <w:t xml:space="preserve">the activities required to validate the quality of the </w:t>
            </w:r>
            <w:proofErr w:type="gramStart"/>
            <w:r w:rsidRPr="0042214E">
              <w:t>deliverables;</w:t>
            </w:r>
            <w:proofErr w:type="gramEnd"/>
          </w:p>
          <w:p w14:paraId="02AF8CF7" w14:textId="6E5B8AC4" w:rsidR="007D3CB4" w:rsidRPr="0042214E" w:rsidRDefault="007D3CB4" w:rsidP="00A4220E">
            <w:pPr>
              <w:pStyle w:val="Tabledash"/>
            </w:pPr>
            <w:r w:rsidRPr="0042214E">
              <w:t xml:space="preserve">the organisational capability and systems and standards </w:t>
            </w:r>
            <w:r w:rsidR="00511338" w:rsidRPr="0042214E">
              <w:t xml:space="preserve">that </w:t>
            </w:r>
            <w:r w:rsidRPr="0042214E">
              <w:t>would allow the project to be delivered successfully (this should include resources and time needed for all activities and any need for people with specific capabilities and competencies</w:t>
            </w:r>
            <w:proofErr w:type="gramStart"/>
            <w:r w:rsidRPr="0042214E">
              <w:t>);</w:t>
            </w:r>
            <w:proofErr w:type="gramEnd"/>
          </w:p>
          <w:p w14:paraId="23BFA3D8" w14:textId="77777777" w:rsidR="007D3CB4" w:rsidRPr="0042214E" w:rsidRDefault="007D3CB4" w:rsidP="00A4220E">
            <w:pPr>
              <w:pStyle w:val="Tabledash"/>
            </w:pPr>
            <w:r w:rsidRPr="0042214E">
              <w:t xml:space="preserve">the dependencies between activities and any associated </w:t>
            </w:r>
            <w:proofErr w:type="gramStart"/>
            <w:r w:rsidRPr="0042214E">
              <w:t>constraints;</w:t>
            </w:r>
            <w:proofErr w:type="gramEnd"/>
          </w:p>
          <w:p w14:paraId="09FD4D39" w14:textId="77777777" w:rsidR="007D3CB4" w:rsidRPr="0042214E" w:rsidRDefault="007D3CB4" w:rsidP="00A4220E">
            <w:pPr>
              <w:pStyle w:val="Tabledash"/>
            </w:pPr>
            <w:r w:rsidRPr="0042214E">
              <w:t xml:space="preserve">the points at which progress will be monitored, </w:t>
            </w:r>
            <w:proofErr w:type="gramStart"/>
            <w:r w:rsidRPr="0042214E">
              <w:t>controlled</w:t>
            </w:r>
            <w:proofErr w:type="gramEnd"/>
            <w:r w:rsidRPr="0042214E">
              <w:t xml:space="preserve"> and reviewed. This includes key points during the business case development, such as Gateway reviews and any health checks; and </w:t>
            </w:r>
          </w:p>
          <w:p w14:paraId="55882D37" w14:textId="77777777" w:rsidR="007D3CB4" w:rsidRPr="0042214E" w:rsidRDefault="007D3CB4" w:rsidP="00A4220E">
            <w:pPr>
              <w:pStyle w:val="Tabledash"/>
            </w:pPr>
            <w:r w:rsidRPr="0042214E">
              <w:t>evidence that the implementing organisation has the capacity and capability to mobilise this investment.</w:t>
            </w:r>
          </w:p>
          <w:p w14:paraId="643B88F2" w14:textId="77777777" w:rsidR="007D3CB4" w:rsidRPr="0042214E" w:rsidRDefault="007D3CB4" w:rsidP="00A4220E">
            <w:pPr>
              <w:pStyle w:val="Tablebullet"/>
            </w:pPr>
            <w:r w:rsidRPr="0042214E">
              <w:t>Include any detailed plans as an appendix if necessary.</w:t>
            </w:r>
          </w:p>
        </w:tc>
      </w:tr>
    </w:tbl>
    <w:p w14:paraId="660A5C8C" w14:textId="1D54AEAF" w:rsidR="007D3CB4" w:rsidRPr="0042214E" w:rsidRDefault="007D3CB4" w:rsidP="007D3CB4"/>
    <w:tbl>
      <w:tblPr>
        <w:tblStyle w:val="DTFfinancialtableindent"/>
        <w:tblW w:w="0" w:type="auto"/>
        <w:tblLook w:val="0680" w:firstRow="0" w:lastRow="0" w:firstColumn="1" w:lastColumn="0" w:noHBand="1" w:noVBand="1"/>
      </w:tblPr>
      <w:tblGrid>
        <w:gridCol w:w="8377"/>
      </w:tblGrid>
      <w:tr w:rsidR="00A4220E" w:rsidRPr="0042214E" w14:paraId="2DE1B191" w14:textId="77777777" w:rsidTr="00A4220E">
        <w:trPr>
          <w:cantSplit/>
        </w:trPr>
        <w:tc>
          <w:tcPr>
            <w:cnfStyle w:val="001000000000" w:firstRow="0" w:lastRow="0" w:firstColumn="1" w:lastColumn="0" w:oddVBand="0" w:evenVBand="0" w:oddHBand="0" w:evenHBand="0" w:firstRowFirstColumn="0" w:firstRowLastColumn="0" w:lastRowFirstColumn="0" w:lastRowLastColumn="0"/>
            <w:tcW w:w="9425" w:type="dxa"/>
          </w:tcPr>
          <w:p w14:paraId="17B4BD8A" w14:textId="77777777" w:rsidR="00A4220E" w:rsidRPr="0042214E" w:rsidRDefault="00A4220E" w:rsidP="00A4220E">
            <w:pPr>
              <w:pStyle w:val="Tabletextbold"/>
              <w:rPr>
                <w:sz w:val="20"/>
              </w:rPr>
            </w:pPr>
            <w:r w:rsidRPr="0042214E">
              <w:rPr>
                <w:sz w:val="20"/>
              </w:rPr>
              <w:lastRenderedPageBreak/>
              <w:t>Project management strategy (fictional energy example)</w:t>
            </w:r>
          </w:p>
          <w:p w14:paraId="0BD82031" w14:textId="77777777" w:rsidR="00A4220E" w:rsidRPr="0042214E" w:rsidRDefault="00A4220E" w:rsidP="00A4220E">
            <w:pPr>
              <w:pStyle w:val="Tabletext"/>
            </w:pPr>
            <w:r w:rsidRPr="0042214E">
              <w:t xml:space="preserve">The project management strategy for the investment proposal must be outlined in a business case, and its suitability demonstrated. This case study relates to a fictional project in the energy sector. </w:t>
            </w:r>
          </w:p>
          <w:p w14:paraId="7D57AF18" w14:textId="77777777" w:rsidR="00A4220E" w:rsidRPr="0042214E" w:rsidRDefault="00A4220E" w:rsidP="00A4220E">
            <w:pPr>
              <w:pStyle w:val="Tabletextbold"/>
            </w:pPr>
            <w:r w:rsidRPr="0042214E">
              <w:t xml:space="preserve">Project management strategy </w:t>
            </w:r>
          </w:p>
          <w:p w14:paraId="27E52DDF" w14:textId="436D1002" w:rsidR="00A4220E" w:rsidRPr="0042214E" w:rsidRDefault="00A4220E" w:rsidP="00A4220E">
            <w:pPr>
              <w:pStyle w:val="Tabletext"/>
            </w:pPr>
            <w:r w:rsidRPr="0042214E">
              <w:t xml:space="preserve">Project management responsibilities and </w:t>
            </w:r>
            <w:r w:rsidR="00D15AF5" w:rsidRPr="0042214E">
              <w:t>day-to-</w:t>
            </w:r>
            <w:r w:rsidRPr="0042214E">
              <w:t xml:space="preserve">day requirements for the project would be performed by a dedicated project team in the department. The project team would comprise a total of five </w:t>
            </w:r>
            <w:r w:rsidR="00D15AF5" w:rsidRPr="0042214E">
              <w:t>full-</w:t>
            </w:r>
            <w:r w:rsidRPr="0042214E">
              <w:t xml:space="preserve">time equivalent (FTE) staff (a headcount of seven) that among other things would be responsible for project management, policy development, stakeholder management, project evaluation and secretariat support for the Project Control Board and the advisory groups. </w:t>
            </w:r>
          </w:p>
          <w:p w14:paraId="1E1D8B1F" w14:textId="175642D0" w:rsidR="00A4220E" w:rsidRPr="0042214E" w:rsidRDefault="00A4220E" w:rsidP="00A4220E">
            <w:pPr>
              <w:pStyle w:val="Tabletext"/>
            </w:pPr>
            <w:r w:rsidRPr="0042214E">
              <w:t xml:space="preserve">The team is illustrated in Figure X and would comprise a project director (0.5 FTE), a project manager (1 FTE), a communications manager (0.5 FTE), three </w:t>
            </w:r>
            <w:proofErr w:type="spellStart"/>
            <w:r w:rsidRPr="0042214E">
              <w:t>policy</w:t>
            </w:r>
            <w:proofErr w:type="spellEnd"/>
            <w:r w:rsidRPr="0042214E">
              <w:t xml:space="preserve"> officers (2.5 FTE) and an administrative assistant (0.5 FTE). The following table provides an overview of the specific roles and responsibilities of each member of the proposed project team, and the rationale for their inclusion. Overall, the level and mix of resources within the proposed project team are considered appropriate because:</w:t>
            </w:r>
          </w:p>
          <w:p w14:paraId="6E6EE632" w14:textId="3CBB62A5" w:rsidR="00A4220E" w:rsidRPr="0042214E" w:rsidRDefault="00D15AF5" w:rsidP="00A4220E">
            <w:pPr>
              <w:pStyle w:val="Tablebullet"/>
            </w:pPr>
            <w:r w:rsidRPr="0042214E">
              <w:t xml:space="preserve">there </w:t>
            </w:r>
            <w:r w:rsidR="00A4220E" w:rsidRPr="0042214E">
              <w:t xml:space="preserve">are </w:t>
            </w:r>
            <w:proofErr w:type="gramStart"/>
            <w:r w:rsidR="00A4220E" w:rsidRPr="0042214E">
              <w:t>a number of</w:t>
            </w:r>
            <w:proofErr w:type="gramEnd"/>
            <w:r w:rsidR="00A4220E" w:rsidRPr="0042214E">
              <w:t xml:space="preserve"> policy issues that will need to be subject to ongoing research and review. The project will also require extensive evaluation after its first phase. These tasks will demand significant ‘policy’ resources (2.5 FTE</w:t>
            </w:r>
            <w:proofErr w:type="gramStart"/>
            <w:r w:rsidR="00A4220E" w:rsidRPr="0042214E">
              <w:t>);</w:t>
            </w:r>
            <w:proofErr w:type="gramEnd"/>
          </w:p>
          <w:p w14:paraId="7867EAB5" w14:textId="4DCF7C4F" w:rsidR="00D15AF5" w:rsidRPr="0042214E" w:rsidRDefault="00D15AF5" w:rsidP="00D15AF5">
            <w:pPr>
              <w:pStyle w:val="Tablebullet"/>
            </w:pPr>
            <w:r w:rsidRPr="0042214E">
              <w:t xml:space="preserve">effective </w:t>
            </w:r>
            <w:r w:rsidR="00A4220E" w:rsidRPr="0042214E">
              <w:t xml:space="preserve">communications and stakeholder management will be critical to the overall success of the project because there are many stakeholders (some of </w:t>
            </w:r>
            <w:r w:rsidRPr="0042214E">
              <w:t xml:space="preserve">whom </w:t>
            </w:r>
            <w:r w:rsidR="00A4220E" w:rsidRPr="0042214E">
              <w:t xml:space="preserve">are essential to service delivery) and the project encompasses issues that are sensitive to parts of the community. </w:t>
            </w:r>
            <w:proofErr w:type="gramStart"/>
            <w:r w:rsidR="00A4220E" w:rsidRPr="0042214E">
              <w:t>This warrants</w:t>
            </w:r>
            <w:proofErr w:type="gramEnd"/>
            <w:r w:rsidR="00A4220E" w:rsidRPr="0042214E">
              <w:t xml:space="preserve"> dedicated communications resources (0.5 FTE); and</w:t>
            </w:r>
          </w:p>
          <w:p w14:paraId="2178AF16" w14:textId="09AC8A6A" w:rsidR="00A4220E" w:rsidRPr="0042214E" w:rsidRDefault="00D15AF5" w:rsidP="001E6D17">
            <w:pPr>
              <w:pStyle w:val="Tablebullet"/>
              <w:rPr>
                <w:szCs w:val="20"/>
              </w:rPr>
            </w:pPr>
            <w:r w:rsidRPr="0042214E">
              <w:t xml:space="preserve">there </w:t>
            </w:r>
            <w:r w:rsidR="00A4220E" w:rsidRPr="0042214E">
              <w:t>are several advisory groups that will need to be managed, so the project team will have significant administrative and secretariat responsibilities (0.5 FTE).</w:t>
            </w:r>
          </w:p>
        </w:tc>
      </w:tr>
    </w:tbl>
    <w:p w14:paraId="2444CDA4" w14:textId="77777777" w:rsidR="00A4220E" w:rsidRPr="0042214E" w:rsidRDefault="00A4220E" w:rsidP="00A4220E">
      <w:pPr>
        <w:pStyle w:val="Spacer"/>
      </w:pPr>
    </w:p>
    <w:p w14:paraId="324FFA3E" w14:textId="77777777" w:rsidR="007D3CB4" w:rsidRPr="0042214E" w:rsidRDefault="007D3CB4" w:rsidP="005E1934">
      <w:pPr>
        <w:pStyle w:val="Heading3numbered"/>
      </w:pPr>
      <w:bookmarkStart w:id="200" w:name="_Toc121415349"/>
      <w:r w:rsidRPr="0042214E">
        <w:t>Change management</w:t>
      </w:r>
      <w:bookmarkEnd w:id="200"/>
      <w:r w:rsidRPr="0042214E">
        <w:t xml:space="preserve"> </w:t>
      </w:r>
    </w:p>
    <w:p w14:paraId="413FDFBC" w14:textId="6570A1BF" w:rsidR="007D3CB4" w:rsidRPr="0042214E" w:rsidRDefault="007D3CB4" w:rsidP="00A4220E">
      <w:pPr>
        <w:pStyle w:val="NormalIndent"/>
      </w:pPr>
      <w:r w:rsidRPr="0042214E">
        <w:t>Most investment proposals involve change that affects people, processes and resources, and this change needs to be managed by the implementing organisation, and often across multiple agencies. The scope of change can range from elements of service improvement through to major change to the machinery of government. Where change is not the main reason for the investment (</w:t>
      </w:r>
      <w:r w:rsidR="00FB7609" w:rsidRPr="0042214E">
        <w:t>e.g.,</w:t>
      </w:r>
      <w:r w:rsidRPr="0042214E">
        <w:t xml:space="preserve"> a replacement service), a new investment provides an opportunity to think about doing things better and more efficiently. These opportunities should be considered where they improve the value for money of the investment. </w:t>
      </w:r>
    </w:p>
    <w:p w14:paraId="4A770683" w14:textId="58453510" w:rsidR="007D3CB4" w:rsidRPr="0042214E" w:rsidRDefault="007D3CB4" w:rsidP="00A4220E">
      <w:pPr>
        <w:pStyle w:val="NormalIndent"/>
      </w:pPr>
      <w:r w:rsidRPr="0042214E">
        <w:t>Step 10 of the full business case process asks agencies to present a high</w:t>
      </w:r>
      <w:r w:rsidR="00034452" w:rsidRPr="0042214E">
        <w:noBreakHyphen/>
      </w:r>
      <w:r w:rsidRPr="0042214E">
        <w:t xml:space="preserve">level overview of the change management strategy. The level of information required in this section should be scaled to the size and complexity of the change (if any) required to implement the project solution. </w:t>
      </w:r>
    </w:p>
    <w:p w14:paraId="5341B9EA" w14:textId="736DF79F" w:rsidR="007D3CB4" w:rsidRPr="0042214E" w:rsidRDefault="007D3CB4" w:rsidP="00A4220E">
      <w:pPr>
        <w:pStyle w:val="NormalIndent"/>
      </w:pPr>
      <w:r w:rsidRPr="0042214E">
        <w:t xml:space="preserve">The major objective of the strategy is to assess the potential impact of the project solution on the systems, people, </w:t>
      </w:r>
      <w:proofErr w:type="gramStart"/>
      <w:r w:rsidRPr="0042214E">
        <w:t>processes</w:t>
      </w:r>
      <w:proofErr w:type="gramEnd"/>
      <w:r w:rsidRPr="0042214E">
        <w:t xml:space="preserve"> and culture in the organisation. The size and speed of change depend on the strategic drivers for change, the ability of the organisation to cope, and the level/skills of resources able to manage the change. The agency’s choice of change management strategy should be set out at a high level and detailed as is appropriate to the materiality of the change to the delivery of the investment. Note this does not include management of scope changes proposed during implementation.</w:t>
      </w:r>
    </w:p>
    <w:p w14:paraId="1B86162F" w14:textId="7B477FDC" w:rsidR="007D3CB4" w:rsidRPr="0042214E" w:rsidRDefault="007D3CB4" w:rsidP="00A4220E">
      <w:pPr>
        <w:pStyle w:val="NormalIndent"/>
      </w:pPr>
      <w:r w:rsidRPr="0042214E">
        <w:lastRenderedPageBreak/>
        <w:t xml:space="preserve">For significant change management programs, an outline of the change management plan should be provided, together with the communication and development deliverables (for example, training products) required for the implementation phase. It is important that this indicates how relevant personnel within the organisation, including human resources and staff representatives, have </w:t>
      </w:r>
      <w:proofErr w:type="gramStart"/>
      <w:r w:rsidRPr="0042214E">
        <w:t>contributed</w:t>
      </w:r>
      <w:proofErr w:type="gramEnd"/>
      <w:r w:rsidRPr="0042214E">
        <w:t xml:space="preserve"> or been involved to date. Reference should be made to the communications and stakeholder engagement strategy in the business case</w:t>
      </w:r>
      <w:r w:rsidR="00D15AF5" w:rsidRPr="0042214E">
        <w:t>,</w:t>
      </w:r>
      <w:r w:rsidRPr="0042214E">
        <w:t xml:space="preserve"> which should also set out communication about change necessary to institute the investment. </w:t>
      </w:r>
    </w:p>
    <w:p w14:paraId="020DCA31" w14:textId="6A3D9CEC" w:rsidR="007D3CB4" w:rsidRPr="0042214E" w:rsidRDefault="007D3CB4" w:rsidP="00A4220E">
      <w:pPr>
        <w:pStyle w:val="NormalIndent"/>
      </w:pPr>
      <w:r w:rsidRPr="0042214E">
        <w:t xml:space="preserve">If responsibility for the delivery of the service change lies with the project steering committee and is a key subset of its activities, then the change management framework should be outlined. </w:t>
      </w:r>
    </w:p>
    <w:p w14:paraId="6612675B" w14:textId="3449AE30" w:rsidR="007D3CB4" w:rsidRPr="0042214E" w:rsidRDefault="007D3CB4" w:rsidP="00A4220E">
      <w:pPr>
        <w:pStyle w:val="NormalIndent"/>
      </w:pPr>
      <w:r w:rsidRPr="0042214E">
        <w:t>Where real options have been built into the project solution, this section should provide an overview of the trigger points that would activate real options and how any exit from one option towards a new direction would be managed. This is particularly important where such a change has significant impact on resources, documentation, assets</w:t>
      </w:r>
      <w:r w:rsidR="00D15AF5" w:rsidRPr="0042214E">
        <w:t>,</w:t>
      </w:r>
      <w:r w:rsidRPr="0042214E">
        <w:t xml:space="preserve"> etc.</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7D3CB4" w:rsidRPr="0042214E" w14:paraId="06887CE5" w14:textId="77777777" w:rsidTr="00A4220E">
        <w:tc>
          <w:tcPr>
            <w:tcW w:w="8719" w:type="dxa"/>
            <w:shd w:val="clear" w:color="auto" w:fill="FDF3EA" w:themeFill="accent5" w:themeFillTint="33"/>
          </w:tcPr>
          <w:p w14:paraId="6B13F8AE" w14:textId="6BD72ECA" w:rsidR="007D3CB4" w:rsidRPr="0042214E" w:rsidRDefault="007D3CB4" w:rsidP="00A4220E">
            <w:pPr>
              <w:pStyle w:val="Tabletextbold"/>
            </w:pPr>
            <w:r w:rsidRPr="0042214E">
              <w:t xml:space="preserve">Business case information requirements for the change management strategy for the project solution </w:t>
            </w:r>
          </w:p>
          <w:p w14:paraId="78382E42" w14:textId="2C184318" w:rsidR="007D3CB4" w:rsidRPr="0042214E" w:rsidRDefault="007D3CB4" w:rsidP="00A4220E">
            <w:pPr>
              <w:pStyle w:val="Tablebullet"/>
            </w:pPr>
            <w:r w:rsidRPr="0042214E">
              <w:t>Outline the scope of organisational/process change management required to manage the project and effectively deliver the benefits. This may involve systems, process re</w:t>
            </w:r>
            <w:r w:rsidR="00034452" w:rsidRPr="0042214E">
              <w:noBreakHyphen/>
            </w:r>
            <w:r w:rsidRPr="0042214E">
              <w:t>engineering, staff retraining</w:t>
            </w:r>
            <w:r w:rsidR="00D15AF5" w:rsidRPr="0042214E">
              <w:t>,</w:t>
            </w:r>
            <w:r w:rsidRPr="0042214E">
              <w:t xml:space="preserve"> etc.</w:t>
            </w:r>
            <w:r w:rsidR="00D15AF5" w:rsidRPr="0042214E">
              <w:t>,</w:t>
            </w:r>
            <w:r w:rsidRPr="0042214E">
              <w:t xml:space="preserve"> required to transition from existing arrangements to support the operation of the new investment. </w:t>
            </w:r>
          </w:p>
          <w:p w14:paraId="1E538E58" w14:textId="39D2B1BB" w:rsidR="007D3CB4" w:rsidRPr="0042214E" w:rsidRDefault="007D3CB4" w:rsidP="00A4220E">
            <w:pPr>
              <w:pStyle w:val="Tablebullet"/>
            </w:pPr>
            <w:r w:rsidRPr="0042214E">
              <w:t>If change management requirements are significant</w:t>
            </w:r>
            <w:r w:rsidR="00D15AF5" w:rsidRPr="0042214E">
              <w:t>,</w:t>
            </w:r>
            <w:r w:rsidRPr="0042214E">
              <w:t xml:space="preserve"> consider appending an outline of the change management strategy. Note this does not include management of proposed scope changes during implementation.</w:t>
            </w:r>
          </w:p>
        </w:tc>
      </w:tr>
    </w:tbl>
    <w:p w14:paraId="22884284" w14:textId="77777777" w:rsidR="007D3CB4" w:rsidRPr="0042214E" w:rsidRDefault="007D3CB4" w:rsidP="005E1934">
      <w:pPr>
        <w:pStyle w:val="Heading3numbered"/>
      </w:pPr>
      <w:bookmarkStart w:id="201" w:name="_Toc121415350"/>
      <w:r w:rsidRPr="0042214E">
        <w:t>Performance measures and benefits realisation</w:t>
      </w:r>
      <w:bookmarkEnd w:id="201"/>
    </w:p>
    <w:p w14:paraId="606C77AD" w14:textId="1B3FE602" w:rsidR="007D3CB4" w:rsidRPr="0042214E" w:rsidRDefault="007D3CB4" w:rsidP="00A4220E">
      <w:pPr>
        <w:pStyle w:val="NormalIndent"/>
      </w:pPr>
      <w:r w:rsidRPr="0042214E">
        <w:t>When developing new</w:t>
      </w:r>
      <w:r w:rsidR="00D15AF5" w:rsidRPr="0042214E">
        <w:t xml:space="preserve"> performance measures</w:t>
      </w:r>
      <w:r w:rsidRPr="0042214E">
        <w:t xml:space="preserve">, or amending existing </w:t>
      </w:r>
      <w:r w:rsidR="00D15AF5" w:rsidRPr="0042214E">
        <w:t>ones</w:t>
      </w:r>
      <w:r w:rsidRPr="0042214E">
        <w:t xml:space="preserve">, departments should </w:t>
      </w:r>
      <w:r w:rsidRPr="00104E20">
        <w:rPr>
          <w:color w:val="000000" w:themeColor="text1"/>
        </w:rPr>
        <w:t xml:space="preserve">refer to </w:t>
      </w:r>
      <w:r w:rsidRPr="00104E20">
        <w:rPr>
          <w:i/>
          <w:color w:val="000000" w:themeColor="text1"/>
        </w:rPr>
        <w:t>section 1.2 and Attachment 4 of the Resource Management Framework (RMF)</w:t>
      </w:r>
      <w:r w:rsidRPr="00104E20">
        <w:rPr>
          <w:color w:val="000000" w:themeColor="text1"/>
        </w:rPr>
        <w:t xml:space="preserve">, available </w:t>
      </w:r>
      <w:r w:rsidRPr="0042214E">
        <w:t>on the DTF website.</w:t>
      </w:r>
    </w:p>
    <w:p w14:paraId="3C380AC1" w14:textId="77777777" w:rsidR="007D3CB4" w:rsidRPr="0042214E" w:rsidRDefault="007D3CB4" w:rsidP="00A4220E">
      <w:pPr>
        <w:pStyle w:val="NormalIndent"/>
      </w:pPr>
      <w:r w:rsidRPr="0042214E">
        <w:t xml:space="preserve">Performance management enables agencies to track the success of an investment in achieving the benefits it set out to achieve and is appropriately addressing the problem. </w:t>
      </w:r>
      <w:proofErr w:type="gramStart"/>
      <w:r w:rsidRPr="0042214E">
        <w:t>For the purpose of</w:t>
      </w:r>
      <w:proofErr w:type="gramEnd"/>
      <w:r w:rsidRPr="0042214E">
        <w:t xml:space="preserve"> evaluation, it involves the systematic collection of data relating to the financial management and outcomes of the project solution during implementation.</w:t>
      </w:r>
    </w:p>
    <w:p w14:paraId="4D015EF6" w14:textId="13BBB6BD" w:rsidR="007D3CB4" w:rsidRPr="0042214E" w:rsidRDefault="007D3CB4" w:rsidP="00A4220E">
      <w:pPr>
        <w:pStyle w:val="NormalIndent"/>
      </w:pPr>
      <w:r w:rsidRPr="0042214E">
        <w:t xml:space="preserve">Performance measures are an essential source of information in the performance management process, indicating the extent to which project objectives and investment benefits are being achieved to ensure success. </w:t>
      </w:r>
    </w:p>
    <w:p w14:paraId="48A4DCD5" w14:textId="116676EF" w:rsidR="007D3CB4" w:rsidRPr="0042214E" w:rsidRDefault="007D3CB4" w:rsidP="00A4220E">
      <w:pPr>
        <w:pStyle w:val="NormalIndent"/>
      </w:pPr>
      <w:r w:rsidRPr="0042214E">
        <w:t xml:space="preserve">This section requires agencies to update the benefit management plan, and to set out </w:t>
      </w:r>
      <w:r w:rsidR="00D15AF5" w:rsidRPr="0042214E">
        <w:t>project-</w:t>
      </w:r>
      <w:r w:rsidRPr="0042214E">
        <w:t xml:space="preserve">specific performance measures and monitoring systems that will be put in place to track benefits as they relate to the project solution. </w:t>
      </w:r>
    </w:p>
    <w:p w14:paraId="77B8AC92" w14:textId="77777777" w:rsidR="007D3CB4" w:rsidRPr="0042214E" w:rsidRDefault="007D3CB4" w:rsidP="00A4220E">
      <w:pPr>
        <w:pStyle w:val="NormalIndent"/>
      </w:pPr>
      <w:r w:rsidRPr="0042214E">
        <w:t xml:space="preserve">There are three KPIs types: </w:t>
      </w:r>
    </w:p>
    <w:p w14:paraId="02C14B0A" w14:textId="77777777" w:rsidR="007D3CB4" w:rsidRPr="0042214E" w:rsidRDefault="007D3CB4" w:rsidP="001C100C">
      <w:pPr>
        <w:pStyle w:val="Bulletindent"/>
      </w:pPr>
      <w:r w:rsidRPr="0042214E">
        <w:t xml:space="preserve">transactional – concludes in a numeric </w:t>
      </w:r>
      <w:proofErr w:type="gramStart"/>
      <w:r w:rsidRPr="0042214E">
        <w:t>value;</w:t>
      </w:r>
      <w:proofErr w:type="gramEnd"/>
      <w:r w:rsidRPr="0042214E">
        <w:t xml:space="preserve"> </w:t>
      </w:r>
    </w:p>
    <w:p w14:paraId="4C68649F" w14:textId="77777777" w:rsidR="007D3CB4" w:rsidRPr="0042214E" w:rsidRDefault="007D3CB4" w:rsidP="001C100C">
      <w:pPr>
        <w:pStyle w:val="Bulletindent"/>
      </w:pPr>
      <w:r w:rsidRPr="0042214E">
        <w:t>outcome – concludes in finished process; and</w:t>
      </w:r>
    </w:p>
    <w:p w14:paraId="5BE90520" w14:textId="77777777" w:rsidR="007D3CB4" w:rsidRPr="0042214E" w:rsidRDefault="007D3CB4" w:rsidP="001C100C">
      <w:pPr>
        <w:pStyle w:val="Bulletindent"/>
      </w:pPr>
      <w:r w:rsidRPr="0042214E">
        <w:t xml:space="preserve">output – is used in a further process to provide an outcome. </w:t>
      </w:r>
    </w:p>
    <w:p w14:paraId="1576738B" w14:textId="77777777" w:rsidR="007D3CB4" w:rsidRPr="0042214E" w:rsidRDefault="007D3CB4" w:rsidP="00A4220E">
      <w:pPr>
        <w:pStyle w:val="NormalIndent"/>
      </w:pPr>
      <w:r w:rsidRPr="0042214E">
        <w:t xml:space="preserve">KPI descriptors can be quantitative – objective (capable of verification and validation) or qualitative – subjective (less capable of verification and validation). </w:t>
      </w:r>
    </w:p>
    <w:p w14:paraId="7C3B69F1" w14:textId="77777777" w:rsidR="007D3CB4" w:rsidRPr="0042214E" w:rsidRDefault="007D3CB4" w:rsidP="001C100C">
      <w:pPr>
        <w:pStyle w:val="NormalIndent"/>
        <w:keepNext/>
      </w:pPr>
      <w:r w:rsidRPr="0042214E">
        <w:lastRenderedPageBreak/>
        <w:t xml:space="preserve">Performance measurement processes should be set up to ensure that: </w:t>
      </w:r>
    </w:p>
    <w:p w14:paraId="0E5C4993" w14:textId="77777777" w:rsidR="007D3CB4" w:rsidRPr="0042214E" w:rsidRDefault="007D3CB4" w:rsidP="001C100C">
      <w:pPr>
        <w:pStyle w:val="Bulletindent"/>
      </w:pPr>
      <w:r w:rsidRPr="0042214E">
        <w:t xml:space="preserve">projects have defined target benefits and outputs that relate to the overarching investment </w:t>
      </w:r>
      <w:proofErr w:type="gramStart"/>
      <w:r w:rsidRPr="0042214E">
        <w:t>benefits;</w:t>
      </w:r>
      <w:proofErr w:type="gramEnd"/>
      <w:r w:rsidRPr="0042214E">
        <w:t xml:space="preserve"> </w:t>
      </w:r>
    </w:p>
    <w:p w14:paraId="057F4C2C" w14:textId="47DEF872" w:rsidR="007D3CB4" w:rsidRPr="0042214E" w:rsidRDefault="007D3CB4" w:rsidP="001C100C">
      <w:pPr>
        <w:pStyle w:val="Bulletindent"/>
      </w:pPr>
      <w:r w:rsidRPr="0042214E">
        <w:t xml:space="preserve">outputs of an investment remain consistent with </w:t>
      </w:r>
      <w:r w:rsidR="00340BAC">
        <w:t>G</w:t>
      </w:r>
      <w:r w:rsidR="00340BAC" w:rsidRPr="0042214E">
        <w:t xml:space="preserve">overnment </w:t>
      </w:r>
      <w:proofErr w:type="gramStart"/>
      <w:r w:rsidRPr="0042214E">
        <w:t>objectives;</w:t>
      </w:r>
      <w:proofErr w:type="gramEnd"/>
      <w:r w:rsidRPr="0042214E">
        <w:t xml:space="preserve"> </w:t>
      </w:r>
    </w:p>
    <w:p w14:paraId="7F99D732" w14:textId="77777777" w:rsidR="007D3CB4" w:rsidRPr="0042214E" w:rsidRDefault="007D3CB4" w:rsidP="001C100C">
      <w:pPr>
        <w:pStyle w:val="Bulletindent"/>
      </w:pPr>
      <w:r w:rsidRPr="0042214E">
        <w:t xml:space="preserve">costs are closely managed and </w:t>
      </w:r>
      <w:proofErr w:type="gramStart"/>
      <w:r w:rsidRPr="0042214E">
        <w:t>monitored;</w:t>
      </w:r>
      <w:proofErr w:type="gramEnd"/>
      <w:r w:rsidRPr="0042214E">
        <w:t xml:space="preserve"> </w:t>
      </w:r>
    </w:p>
    <w:p w14:paraId="4BE1A79A" w14:textId="77777777" w:rsidR="007D3CB4" w:rsidRPr="0042214E" w:rsidRDefault="007D3CB4" w:rsidP="001C100C">
      <w:pPr>
        <w:pStyle w:val="Bulletindent"/>
      </w:pPr>
      <w:r w:rsidRPr="0042214E">
        <w:t xml:space="preserve">action will be initiated when KPIs are not being </w:t>
      </w:r>
      <w:proofErr w:type="gramStart"/>
      <w:r w:rsidRPr="0042214E">
        <w:t>met;</w:t>
      </w:r>
      <w:proofErr w:type="gramEnd"/>
      <w:r w:rsidRPr="0042214E">
        <w:t xml:space="preserve"> </w:t>
      </w:r>
    </w:p>
    <w:p w14:paraId="2AE7A453" w14:textId="77777777" w:rsidR="007D3CB4" w:rsidRPr="0042214E" w:rsidRDefault="007D3CB4" w:rsidP="001C100C">
      <w:pPr>
        <w:pStyle w:val="Bulletindent"/>
      </w:pPr>
      <w:r w:rsidRPr="0042214E">
        <w:t>forecast costs and benefits are frequently reviewed; and</w:t>
      </w:r>
    </w:p>
    <w:p w14:paraId="1397D4C7" w14:textId="77777777" w:rsidR="007D3CB4" w:rsidRPr="0042214E" w:rsidRDefault="007D3CB4" w:rsidP="001C100C">
      <w:pPr>
        <w:pStyle w:val="Bulletindent"/>
      </w:pPr>
      <w:r w:rsidRPr="0042214E">
        <w:t xml:space="preserve">targets and achieved benefits are measured, reported to an appropriate </w:t>
      </w:r>
      <w:proofErr w:type="gramStart"/>
      <w:r w:rsidRPr="0042214E">
        <w:t>forum</w:t>
      </w:r>
      <w:proofErr w:type="gramEnd"/>
      <w:r w:rsidRPr="0042214E">
        <w:t xml:space="preserve"> and communicated. </w:t>
      </w:r>
    </w:p>
    <w:p w14:paraId="42CA9ADA" w14:textId="77777777" w:rsidR="007D3CB4" w:rsidRPr="0042214E" w:rsidRDefault="007D3CB4" w:rsidP="00A4220E">
      <w:pPr>
        <w:pStyle w:val="NormalIndent"/>
      </w:pPr>
      <w:r w:rsidRPr="0042214E">
        <w:t>Most investments will affect output performance measures. The impact on existing outputs and performance measures should be specified indicating both the changes to output metrics relative to current levels and the timing of that impact.</w:t>
      </w:r>
    </w:p>
    <w:p w14:paraId="1F7FBB89" w14:textId="5C3C2903" w:rsidR="007D3CB4" w:rsidRPr="0042214E" w:rsidRDefault="007D3CB4" w:rsidP="00A4220E">
      <w:pPr>
        <w:pStyle w:val="Caption"/>
        <w:ind w:left="792"/>
      </w:pPr>
      <w:r w:rsidRPr="0042214E">
        <w:t xml:space="preserve">Table </w:t>
      </w:r>
      <w:fldSimple w:instr=" SEQ Table \* ARABIC ">
        <w:r w:rsidR="00295E8F">
          <w:rPr>
            <w:noProof/>
          </w:rPr>
          <w:t>15</w:t>
        </w:r>
      </w:fldSimple>
      <w:r w:rsidRPr="0042214E">
        <w:t>: Performance measures</w:t>
      </w:r>
    </w:p>
    <w:tbl>
      <w:tblPr>
        <w:tblStyle w:val="DTFfinancialtableindent"/>
        <w:tblW w:w="4514" w:type="pct"/>
        <w:tblLayout w:type="fixed"/>
        <w:tblLook w:val="06A0" w:firstRow="1" w:lastRow="0" w:firstColumn="1" w:lastColumn="0" w:noHBand="1" w:noVBand="1"/>
      </w:tblPr>
      <w:tblGrid>
        <w:gridCol w:w="1915"/>
        <w:gridCol w:w="978"/>
        <w:gridCol w:w="978"/>
        <w:gridCol w:w="887"/>
        <w:gridCol w:w="887"/>
        <w:gridCol w:w="887"/>
        <w:gridCol w:w="887"/>
        <w:gridCol w:w="885"/>
      </w:tblGrid>
      <w:tr w:rsidR="00D77155" w:rsidRPr="0042214E" w14:paraId="1750E6B7" w14:textId="77777777" w:rsidTr="00D7715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53" w:type="pct"/>
            <w:vMerge w:val="restart"/>
          </w:tcPr>
          <w:p w14:paraId="024A2CF2" w14:textId="77777777" w:rsidR="007D3CB4" w:rsidRPr="0042214E" w:rsidRDefault="007D3CB4" w:rsidP="00D77155">
            <w:pPr>
              <w:pStyle w:val="Tableheader"/>
              <w:rPr>
                <w:b/>
              </w:rPr>
            </w:pPr>
            <w:r w:rsidRPr="0042214E">
              <w:rPr>
                <w:b/>
              </w:rPr>
              <w:t>Performance measures</w:t>
            </w:r>
          </w:p>
        </w:tc>
        <w:tc>
          <w:tcPr>
            <w:tcW w:w="1178" w:type="pct"/>
            <w:gridSpan w:val="2"/>
          </w:tcPr>
          <w:p w14:paraId="72AAFFE6" w14:textId="77777777" w:rsidR="007D3CB4" w:rsidRPr="0042214E" w:rsidRDefault="007D3CB4" w:rsidP="00D77155">
            <w:pPr>
              <w:pStyle w:val="Tableheader"/>
              <w:cnfStyle w:val="100000000000" w:firstRow="1" w:lastRow="0" w:firstColumn="0" w:lastColumn="0" w:oddVBand="0" w:evenVBand="0" w:oddHBand="0" w:evenHBand="0" w:firstRowFirstColumn="0" w:firstRowLastColumn="0" w:lastRowFirstColumn="0" w:lastRowLastColumn="0"/>
              <w:rPr>
                <w:b/>
                <w:sz w:val="18"/>
                <w:szCs w:val="18"/>
              </w:rPr>
            </w:pPr>
          </w:p>
        </w:tc>
        <w:tc>
          <w:tcPr>
            <w:tcW w:w="534" w:type="pct"/>
          </w:tcPr>
          <w:p w14:paraId="25281F68" w14:textId="77777777" w:rsidR="007D3CB4" w:rsidRPr="0042214E" w:rsidRDefault="007D3CB4" w:rsidP="00D77155">
            <w:pPr>
              <w:pStyle w:val="Tableheader"/>
              <w:cnfStyle w:val="100000000000" w:firstRow="1" w:lastRow="0" w:firstColumn="0" w:lastColumn="0" w:oddVBand="0" w:evenVBand="0" w:oddHBand="0" w:evenHBand="0" w:firstRowFirstColumn="0" w:firstRowLastColumn="0" w:lastRowFirstColumn="0" w:lastRowLastColumn="0"/>
              <w:rPr>
                <w:b/>
                <w:sz w:val="18"/>
                <w:szCs w:val="18"/>
              </w:rPr>
            </w:pPr>
            <w:r w:rsidRPr="0042214E">
              <w:rPr>
                <w:b/>
                <w:sz w:val="18"/>
                <w:szCs w:val="18"/>
              </w:rPr>
              <w:t>Baseline</w:t>
            </w:r>
          </w:p>
        </w:tc>
        <w:tc>
          <w:tcPr>
            <w:tcW w:w="2136" w:type="pct"/>
            <w:gridSpan w:val="4"/>
          </w:tcPr>
          <w:p w14:paraId="0F49A523" w14:textId="77777777" w:rsidR="007D3CB4" w:rsidRPr="0042214E" w:rsidRDefault="007D3CB4" w:rsidP="00D77155">
            <w:pPr>
              <w:pStyle w:val="Tableheader"/>
              <w:jc w:val="center"/>
              <w:cnfStyle w:val="100000000000" w:firstRow="1" w:lastRow="0" w:firstColumn="0" w:lastColumn="0" w:oddVBand="0" w:evenVBand="0" w:oddHBand="0" w:evenHBand="0" w:firstRowFirstColumn="0" w:firstRowLastColumn="0" w:lastRowFirstColumn="0" w:lastRowLastColumn="0"/>
              <w:rPr>
                <w:b/>
                <w:sz w:val="18"/>
                <w:szCs w:val="18"/>
              </w:rPr>
            </w:pPr>
            <w:r w:rsidRPr="0042214E">
              <w:rPr>
                <w:b/>
                <w:sz w:val="18"/>
                <w:szCs w:val="18"/>
              </w:rPr>
              <w:t>Target if proposal is endorsed</w:t>
            </w:r>
          </w:p>
        </w:tc>
      </w:tr>
      <w:tr w:rsidR="00D77155" w:rsidRPr="0042214E" w14:paraId="738C25B8" w14:textId="77777777" w:rsidTr="00D77155">
        <w:tc>
          <w:tcPr>
            <w:cnfStyle w:val="001000000000" w:firstRow="0" w:lastRow="0" w:firstColumn="1" w:lastColumn="0" w:oddVBand="0" w:evenVBand="0" w:oddHBand="0" w:evenHBand="0" w:firstRowFirstColumn="0" w:firstRowLastColumn="0" w:lastRowFirstColumn="0" w:lastRowLastColumn="0"/>
            <w:tcW w:w="1153" w:type="pct"/>
            <w:vMerge/>
          </w:tcPr>
          <w:p w14:paraId="15AFBA66" w14:textId="77777777" w:rsidR="007D3CB4" w:rsidRPr="0042214E" w:rsidRDefault="007D3CB4" w:rsidP="006E62FF">
            <w:pPr>
              <w:pStyle w:val="Tabletextbold"/>
              <w:keepNext/>
              <w:rPr>
                <w:b w:val="0"/>
                <w:i/>
              </w:rPr>
            </w:pPr>
          </w:p>
        </w:tc>
        <w:tc>
          <w:tcPr>
            <w:tcW w:w="589" w:type="pct"/>
            <w:shd w:val="clear" w:color="auto" w:fill="E57200" w:themeFill="accent2"/>
            <w:vAlign w:val="bottom"/>
          </w:tcPr>
          <w:p w14:paraId="118E8C36" w14:textId="750A0F1A" w:rsidR="007D3CB4" w:rsidRPr="0042214E" w:rsidRDefault="007D3CB4" w:rsidP="00C45D4A">
            <w:pPr>
              <w:pStyle w:val="Tabletext"/>
              <w:cnfStyle w:val="000000000000" w:firstRow="0" w:lastRow="0" w:firstColumn="0" w:lastColumn="0" w:oddVBand="0" w:evenVBand="0" w:oddHBand="0" w:evenHBand="0" w:firstRowFirstColumn="0" w:firstRowLastColumn="0" w:lastRowFirstColumn="0" w:lastRowLastColumn="0"/>
              <w:rPr>
                <w:color w:val="FFFFFF" w:themeColor="background1"/>
                <w:sz w:val="16"/>
                <w:szCs w:val="16"/>
              </w:rPr>
            </w:pPr>
            <w:r w:rsidRPr="0042214E">
              <w:rPr>
                <w:color w:val="FFFFFF" w:themeColor="background1"/>
                <w:sz w:val="16"/>
                <w:szCs w:val="16"/>
              </w:rPr>
              <w:t>Existing</w:t>
            </w:r>
            <w:r w:rsidR="00DB64D3" w:rsidRPr="0042214E">
              <w:rPr>
                <w:color w:val="FFFFFF" w:themeColor="background1"/>
                <w:sz w:val="16"/>
                <w:szCs w:val="16"/>
              </w:rPr>
              <w:t>/</w:t>
            </w:r>
            <w:r w:rsidR="00D77155" w:rsidRPr="0042214E">
              <w:rPr>
                <w:color w:val="FFFFFF" w:themeColor="background1"/>
                <w:sz w:val="16"/>
                <w:szCs w:val="16"/>
              </w:rPr>
              <w:br/>
            </w:r>
            <w:r w:rsidR="00C45D4A" w:rsidRPr="0042214E">
              <w:rPr>
                <w:color w:val="FFFFFF" w:themeColor="background1"/>
                <w:sz w:val="16"/>
                <w:szCs w:val="16"/>
              </w:rPr>
              <w:t>new</w:t>
            </w:r>
            <w:r w:rsidR="00DB64D3" w:rsidRPr="0042214E">
              <w:rPr>
                <w:color w:val="FFFFFF" w:themeColor="background1"/>
                <w:sz w:val="16"/>
                <w:szCs w:val="16"/>
              </w:rPr>
              <w:t>/</w:t>
            </w:r>
            <w:r w:rsidR="00D77155" w:rsidRPr="0042214E">
              <w:rPr>
                <w:color w:val="FFFFFF" w:themeColor="background1"/>
                <w:sz w:val="16"/>
                <w:szCs w:val="16"/>
              </w:rPr>
              <w:br/>
            </w:r>
            <w:r w:rsidRPr="0042214E">
              <w:rPr>
                <w:color w:val="FFFFFF" w:themeColor="background1"/>
                <w:sz w:val="16"/>
                <w:szCs w:val="16"/>
              </w:rPr>
              <w:t>not in BP3</w:t>
            </w:r>
          </w:p>
        </w:tc>
        <w:tc>
          <w:tcPr>
            <w:tcW w:w="588" w:type="pct"/>
            <w:shd w:val="clear" w:color="auto" w:fill="E57200" w:themeFill="accent2"/>
            <w:vAlign w:val="bottom"/>
          </w:tcPr>
          <w:p w14:paraId="24A5AD17" w14:textId="77777777" w:rsidR="007D3CB4" w:rsidRPr="0042214E" w:rsidRDefault="007D3CB4" w:rsidP="00D77155">
            <w:pPr>
              <w:pStyle w:val="Tabletext"/>
              <w:cnfStyle w:val="000000000000" w:firstRow="0" w:lastRow="0" w:firstColumn="0" w:lastColumn="0" w:oddVBand="0" w:evenVBand="0" w:oddHBand="0" w:evenHBand="0" w:firstRowFirstColumn="0" w:firstRowLastColumn="0" w:lastRowFirstColumn="0" w:lastRowLastColumn="0"/>
              <w:rPr>
                <w:color w:val="FFFFFF" w:themeColor="background1"/>
                <w:sz w:val="16"/>
                <w:szCs w:val="16"/>
              </w:rPr>
            </w:pPr>
            <w:r w:rsidRPr="0042214E">
              <w:rPr>
                <w:color w:val="FFFFFF" w:themeColor="background1"/>
                <w:sz w:val="16"/>
                <w:szCs w:val="16"/>
              </w:rPr>
              <w:t>Unit of measure</w:t>
            </w:r>
          </w:p>
        </w:tc>
        <w:tc>
          <w:tcPr>
            <w:tcW w:w="534" w:type="pct"/>
            <w:shd w:val="clear" w:color="auto" w:fill="E57200" w:themeFill="accent2"/>
            <w:vAlign w:val="bottom"/>
          </w:tcPr>
          <w:p w14:paraId="02EE0B0C" w14:textId="5E13E323" w:rsidR="007D3CB4" w:rsidRPr="0042214E" w:rsidRDefault="007D3CB4" w:rsidP="00D77155">
            <w:pPr>
              <w:pStyle w:val="Tabletext"/>
              <w:cnfStyle w:val="000000000000" w:firstRow="0" w:lastRow="0" w:firstColumn="0" w:lastColumn="0" w:oddVBand="0" w:evenVBand="0" w:oddHBand="0" w:evenHBand="0" w:firstRowFirstColumn="0" w:firstRowLastColumn="0" w:lastRowFirstColumn="0" w:lastRowLastColumn="0"/>
              <w:rPr>
                <w:color w:val="FFFFFF" w:themeColor="background1"/>
                <w:sz w:val="16"/>
                <w:szCs w:val="16"/>
              </w:rPr>
            </w:pPr>
            <w:r w:rsidRPr="0042214E">
              <w:rPr>
                <w:color w:val="FFFFFF" w:themeColor="background1"/>
                <w:sz w:val="16"/>
                <w:szCs w:val="16"/>
              </w:rPr>
              <w:t>20xx</w:t>
            </w:r>
            <w:r w:rsidR="00034452" w:rsidRPr="0042214E">
              <w:rPr>
                <w:color w:val="FFFFFF" w:themeColor="background1"/>
                <w:sz w:val="16"/>
                <w:szCs w:val="16"/>
              </w:rPr>
              <w:noBreakHyphen/>
            </w:r>
            <w:r w:rsidRPr="0042214E">
              <w:rPr>
                <w:color w:val="FFFFFF" w:themeColor="background1"/>
                <w:sz w:val="16"/>
                <w:szCs w:val="16"/>
              </w:rPr>
              <w:t>xx published target</w:t>
            </w:r>
          </w:p>
        </w:tc>
        <w:tc>
          <w:tcPr>
            <w:tcW w:w="534" w:type="pct"/>
            <w:shd w:val="clear" w:color="auto" w:fill="E57200" w:themeFill="accent2"/>
            <w:vAlign w:val="bottom"/>
          </w:tcPr>
          <w:p w14:paraId="012A8DFA" w14:textId="0ACC3D00" w:rsidR="007D3CB4" w:rsidRPr="0042214E" w:rsidRDefault="007D3CB4" w:rsidP="00D77155">
            <w:pPr>
              <w:pStyle w:val="Tabletext"/>
              <w:cnfStyle w:val="000000000000" w:firstRow="0" w:lastRow="0" w:firstColumn="0" w:lastColumn="0" w:oddVBand="0" w:evenVBand="0" w:oddHBand="0" w:evenHBand="0" w:firstRowFirstColumn="0" w:firstRowLastColumn="0" w:lastRowFirstColumn="0" w:lastRowLastColumn="0"/>
              <w:rPr>
                <w:color w:val="FFFFFF" w:themeColor="background1"/>
                <w:sz w:val="16"/>
                <w:szCs w:val="16"/>
              </w:rPr>
            </w:pPr>
            <w:r w:rsidRPr="0042214E">
              <w:rPr>
                <w:color w:val="FFFFFF" w:themeColor="background1"/>
                <w:sz w:val="16"/>
                <w:szCs w:val="16"/>
              </w:rPr>
              <w:t>20xx</w:t>
            </w:r>
            <w:r w:rsidR="00034452" w:rsidRPr="0042214E">
              <w:rPr>
                <w:color w:val="FFFFFF" w:themeColor="background1"/>
                <w:sz w:val="16"/>
                <w:szCs w:val="16"/>
              </w:rPr>
              <w:noBreakHyphen/>
            </w:r>
            <w:r w:rsidRPr="0042214E">
              <w:rPr>
                <w:color w:val="FFFFFF" w:themeColor="background1"/>
                <w:sz w:val="16"/>
                <w:szCs w:val="16"/>
              </w:rPr>
              <w:t>xx</w:t>
            </w:r>
          </w:p>
        </w:tc>
        <w:tc>
          <w:tcPr>
            <w:tcW w:w="534" w:type="pct"/>
            <w:shd w:val="clear" w:color="auto" w:fill="E57200" w:themeFill="accent2"/>
            <w:vAlign w:val="bottom"/>
          </w:tcPr>
          <w:p w14:paraId="58954F4B" w14:textId="197EF14D" w:rsidR="007D3CB4" w:rsidRPr="0042214E" w:rsidRDefault="007D3CB4" w:rsidP="00D77155">
            <w:pPr>
              <w:pStyle w:val="Tabletext"/>
              <w:cnfStyle w:val="000000000000" w:firstRow="0" w:lastRow="0" w:firstColumn="0" w:lastColumn="0" w:oddVBand="0" w:evenVBand="0" w:oddHBand="0" w:evenHBand="0" w:firstRowFirstColumn="0" w:firstRowLastColumn="0" w:lastRowFirstColumn="0" w:lastRowLastColumn="0"/>
              <w:rPr>
                <w:color w:val="FFFFFF" w:themeColor="background1"/>
                <w:sz w:val="16"/>
                <w:szCs w:val="16"/>
              </w:rPr>
            </w:pPr>
            <w:r w:rsidRPr="0042214E">
              <w:rPr>
                <w:color w:val="FFFFFF" w:themeColor="background1"/>
                <w:sz w:val="16"/>
                <w:szCs w:val="16"/>
              </w:rPr>
              <w:t>20xx</w:t>
            </w:r>
            <w:r w:rsidR="00034452" w:rsidRPr="0042214E">
              <w:rPr>
                <w:color w:val="FFFFFF" w:themeColor="background1"/>
                <w:sz w:val="16"/>
                <w:szCs w:val="16"/>
              </w:rPr>
              <w:noBreakHyphen/>
            </w:r>
            <w:r w:rsidRPr="0042214E">
              <w:rPr>
                <w:color w:val="FFFFFF" w:themeColor="background1"/>
                <w:sz w:val="16"/>
                <w:szCs w:val="16"/>
              </w:rPr>
              <w:t>xx</w:t>
            </w:r>
          </w:p>
        </w:tc>
        <w:tc>
          <w:tcPr>
            <w:tcW w:w="534" w:type="pct"/>
            <w:shd w:val="clear" w:color="auto" w:fill="E57200" w:themeFill="accent2"/>
            <w:vAlign w:val="bottom"/>
          </w:tcPr>
          <w:p w14:paraId="730FC5CE" w14:textId="1C2CFA6E" w:rsidR="007D3CB4" w:rsidRPr="0042214E" w:rsidRDefault="007D3CB4" w:rsidP="00D77155">
            <w:pPr>
              <w:pStyle w:val="Tabletext"/>
              <w:cnfStyle w:val="000000000000" w:firstRow="0" w:lastRow="0" w:firstColumn="0" w:lastColumn="0" w:oddVBand="0" w:evenVBand="0" w:oddHBand="0" w:evenHBand="0" w:firstRowFirstColumn="0" w:firstRowLastColumn="0" w:lastRowFirstColumn="0" w:lastRowLastColumn="0"/>
              <w:rPr>
                <w:color w:val="FFFFFF" w:themeColor="background1"/>
                <w:sz w:val="16"/>
                <w:szCs w:val="16"/>
              </w:rPr>
            </w:pPr>
            <w:r w:rsidRPr="0042214E">
              <w:rPr>
                <w:color w:val="FFFFFF" w:themeColor="background1"/>
                <w:sz w:val="16"/>
                <w:szCs w:val="16"/>
              </w:rPr>
              <w:t>20xx</w:t>
            </w:r>
            <w:r w:rsidR="00034452" w:rsidRPr="0042214E">
              <w:rPr>
                <w:color w:val="FFFFFF" w:themeColor="background1"/>
                <w:sz w:val="16"/>
                <w:szCs w:val="16"/>
              </w:rPr>
              <w:noBreakHyphen/>
            </w:r>
            <w:r w:rsidRPr="0042214E">
              <w:rPr>
                <w:color w:val="FFFFFF" w:themeColor="background1"/>
                <w:sz w:val="16"/>
                <w:szCs w:val="16"/>
              </w:rPr>
              <w:t>xx</w:t>
            </w:r>
          </w:p>
        </w:tc>
        <w:tc>
          <w:tcPr>
            <w:tcW w:w="535" w:type="pct"/>
            <w:shd w:val="clear" w:color="auto" w:fill="E57200" w:themeFill="accent2"/>
            <w:vAlign w:val="bottom"/>
          </w:tcPr>
          <w:p w14:paraId="3F246D91" w14:textId="23437AFC" w:rsidR="007D3CB4" w:rsidRPr="0042214E" w:rsidRDefault="007D3CB4" w:rsidP="00D77155">
            <w:pPr>
              <w:pStyle w:val="Tabletext"/>
              <w:cnfStyle w:val="000000000000" w:firstRow="0" w:lastRow="0" w:firstColumn="0" w:lastColumn="0" w:oddVBand="0" w:evenVBand="0" w:oddHBand="0" w:evenHBand="0" w:firstRowFirstColumn="0" w:firstRowLastColumn="0" w:lastRowFirstColumn="0" w:lastRowLastColumn="0"/>
              <w:rPr>
                <w:color w:val="FFFFFF" w:themeColor="background1"/>
                <w:sz w:val="16"/>
                <w:szCs w:val="16"/>
              </w:rPr>
            </w:pPr>
            <w:r w:rsidRPr="0042214E">
              <w:rPr>
                <w:color w:val="FFFFFF" w:themeColor="background1"/>
                <w:sz w:val="16"/>
                <w:szCs w:val="16"/>
              </w:rPr>
              <w:t>20xx</w:t>
            </w:r>
            <w:r w:rsidR="00034452" w:rsidRPr="0042214E">
              <w:rPr>
                <w:color w:val="FFFFFF" w:themeColor="background1"/>
                <w:sz w:val="16"/>
                <w:szCs w:val="16"/>
              </w:rPr>
              <w:noBreakHyphen/>
            </w:r>
            <w:r w:rsidRPr="0042214E">
              <w:rPr>
                <w:color w:val="FFFFFF" w:themeColor="background1"/>
                <w:sz w:val="16"/>
                <w:szCs w:val="16"/>
              </w:rPr>
              <w:t>xx</w:t>
            </w:r>
          </w:p>
        </w:tc>
      </w:tr>
      <w:tr w:rsidR="007D3CB4" w:rsidRPr="0042214E" w14:paraId="495FB909" w14:textId="77777777" w:rsidTr="00D77155">
        <w:tc>
          <w:tcPr>
            <w:cnfStyle w:val="001000000000" w:firstRow="0" w:lastRow="0" w:firstColumn="1" w:lastColumn="0" w:oddVBand="0" w:evenVBand="0" w:oddHBand="0" w:evenHBand="0" w:firstRowFirstColumn="0" w:firstRowLastColumn="0" w:lastRowFirstColumn="0" w:lastRowLastColumn="0"/>
            <w:tcW w:w="5000" w:type="pct"/>
            <w:gridSpan w:val="8"/>
          </w:tcPr>
          <w:p w14:paraId="62900013" w14:textId="77777777" w:rsidR="007D3CB4" w:rsidRPr="0042214E" w:rsidRDefault="007D3CB4" w:rsidP="006E62FF">
            <w:pPr>
              <w:pStyle w:val="Tabletext"/>
              <w:rPr>
                <w:b/>
              </w:rPr>
            </w:pPr>
            <w:r w:rsidRPr="0042214E">
              <w:rPr>
                <w:b/>
              </w:rPr>
              <w:t>Output: [Insert output name]</w:t>
            </w:r>
          </w:p>
        </w:tc>
      </w:tr>
      <w:tr w:rsidR="00D77155" w:rsidRPr="0042214E" w14:paraId="7A641751" w14:textId="77777777" w:rsidTr="00D77155">
        <w:tc>
          <w:tcPr>
            <w:cnfStyle w:val="001000000000" w:firstRow="0" w:lastRow="0" w:firstColumn="1" w:lastColumn="0" w:oddVBand="0" w:evenVBand="0" w:oddHBand="0" w:evenHBand="0" w:firstRowFirstColumn="0" w:firstRowLastColumn="0" w:lastRowFirstColumn="0" w:lastRowLastColumn="0"/>
            <w:tcW w:w="1153" w:type="pct"/>
          </w:tcPr>
          <w:p w14:paraId="784A69D4" w14:textId="77777777" w:rsidR="007D3CB4" w:rsidRPr="0042214E" w:rsidRDefault="007D3CB4" w:rsidP="00D77155">
            <w:pPr>
              <w:pStyle w:val="Tabletext"/>
              <w:rPr>
                <w:sz w:val="16"/>
                <w:szCs w:val="16"/>
              </w:rPr>
            </w:pPr>
          </w:p>
        </w:tc>
        <w:tc>
          <w:tcPr>
            <w:tcW w:w="589" w:type="pct"/>
          </w:tcPr>
          <w:p w14:paraId="59CAE8DE" w14:textId="77777777" w:rsidR="007D3CB4" w:rsidRPr="0042214E" w:rsidRDefault="007D3CB4" w:rsidP="00D77155">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588" w:type="pct"/>
          </w:tcPr>
          <w:p w14:paraId="58547A6B" w14:textId="75C55F7D" w:rsidR="007D3CB4" w:rsidRPr="0042214E" w:rsidRDefault="007D3CB4" w:rsidP="00D77155">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42214E">
              <w:rPr>
                <w:sz w:val="16"/>
                <w:szCs w:val="16"/>
              </w:rPr>
              <w:t>Quantity</w:t>
            </w:r>
            <w:r w:rsidR="0044651B">
              <w:rPr>
                <w:sz w:val="16"/>
                <w:szCs w:val="16"/>
              </w:rPr>
              <w:t>/</w:t>
            </w:r>
            <w:r w:rsidRPr="0042214E">
              <w:rPr>
                <w:sz w:val="16"/>
                <w:szCs w:val="16"/>
              </w:rPr>
              <w:t>Quality</w:t>
            </w:r>
            <w:r w:rsidR="0044651B">
              <w:rPr>
                <w:sz w:val="16"/>
                <w:szCs w:val="16"/>
              </w:rPr>
              <w:t>/</w:t>
            </w:r>
            <w:r w:rsidRPr="0042214E">
              <w:rPr>
                <w:sz w:val="16"/>
                <w:szCs w:val="16"/>
              </w:rPr>
              <w:t>Timeliness</w:t>
            </w:r>
            <w:r w:rsidR="00DB64D3" w:rsidRPr="0042214E">
              <w:rPr>
                <w:sz w:val="16"/>
                <w:szCs w:val="16"/>
              </w:rPr>
              <w:t>/</w:t>
            </w:r>
            <w:r w:rsidRPr="0042214E">
              <w:rPr>
                <w:sz w:val="16"/>
                <w:szCs w:val="16"/>
              </w:rPr>
              <w:t>Cost</w:t>
            </w:r>
          </w:p>
        </w:tc>
        <w:tc>
          <w:tcPr>
            <w:tcW w:w="534" w:type="pct"/>
          </w:tcPr>
          <w:p w14:paraId="3BE938AF" w14:textId="77777777" w:rsidR="007D3CB4" w:rsidRPr="0042214E" w:rsidRDefault="007D3CB4" w:rsidP="00D77155">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534" w:type="pct"/>
          </w:tcPr>
          <w:p w14:paraId="7D3054EE" w14:textId="77777777" w:rsidR="007D3CB4" w:rsidRPr="0042214E" w:rsidRDefault="007D3CB4" w:rsidP="00D77155">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534" w:type="pct"/>
          </w:tcPr>
          <w:p w14:paraId="423739FA" w14:textId="77777777" w:rsidR="007D3CB4" w:rsidRPr="0042214E" w:rsidRDefault="007D3CB4" w:rsidP="00D77155">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534" w:type="pct"/>
          </w:tcPr>
          <w:p w14:paraId="5BB80E0D" w14:textId="77777777" w:rsidR="007D3CB4" w:rsidRPr="0042214E" w:rsidRDefault="007D3CB4" w:rsidP="00D77155">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535" w:type="pct"/>
          </w:tcPr>
          <w:p w14:paraId="3EFFE795" w14:textId="77777777" w:rsidR="007D3CB4" w:rsidRPr="0042214E" w:rsidRDefault="007D3CB4" w:rsidP="00D77155">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r>
    </w:tbl>
    <w:p w14:paraId="6CDF769C" w14:textId="77777777" w:rsidR="007D3CB4" w:rsidRPr="0042214E" w:rsidRDefault="007D3CB4" w:rsidP="007D3CB4"/>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7D3CB4" w:rsidRPr="0042214E" w14:paraId="4AADD356" w14:textId="77777777" w:rsidTr="00D77155">
        <w:tc>
          <w:tcPr>
            <w:tcW w:w="8719" w:type="dxa"/>
            <w:shd w:val="clear" w:color="auto" w:fill="FDF3EA" w:themeFill="accent5" w:themeFillTint="33"/>
          </w:tcPr>
          <w:p w14:paraId="53D625FF" w14:textId="162B4D2C" w:rsidR="007D3CB4" w:rsidRPr="0042214E" w:rsidRDefault="007D3CB4" w:rsidP="00D77155">
            <w:pPr>
              <w:pStyle w:val="Tabletextbold"/>
            </w:pPr>
            <w:r w:rsidRPr="0042214E">
              <w:t>Business case information requirements for performance measures</w:t>
            </w:r>
          </w:p>
          <w:p w14:paraId="597C940F" w14:textId="471EA8FE" w:rsidR="007D3CB4" w:rsidRPr="0042214E" w:rsidRDefault="007D3CB4" w:rsidP="00D77155">
            <w:pPr>
              <w:pStyle w:val="Tablebullet"/>
            </w:pPr>
            <w:r w:rsidRPr="0042214E">
              <w:rPr>
                <w:rFonts w:eastAsia="Arial"/>
              </w:rPr>
              <w:t>Provide a statement of investment benefits to show how well the project solution addresses the problem and key benefits</w:t>
            </w:r>
            <w:r w:rsidR="007E3AD5" w:rsidRPr="0042214E">
              <w:rPr>
                <w:rFonts w:eastAsia="Arial"/>
              </w:rPr>
              <w:t>.</w:t>
            </w:r>
            <w:r w:rsidRPr="0042214E" w:rsidDel="00F57EC2">
              <w:t xml:space="preserve"> </w:t>
            </w:r>
          </w:p>
          <w:p w14:paraId="1B48D6EC" w14:textId="0113FD1D" w:rsidR="007D3CB4" w:rsidRPr="0042214E" w:rsidRDefault="007D3CB4" w:rsidP="00D77155">
            <w:pPr>
              <w:pStyle w:val="Tablebullet"/>
            </w:pPr>
            <w:r w:rsidRPr="0042214E">
              <w:t>Provide information on project</w:t>
            </w:r>
            <w:r w:rsidR="00034452" w:rsidRPr="0042214E">
              <w:noBreakHyphen/>
            </w:r>
            <w:r w:rsidRPr="0042214E">
              <w:t>specific performance measurement and monitoring systems. This should include detailed information on:</w:t>
            </w:r>
          </w:p>
          <w:p w14:paraId="5469DC8C" w14:textId="77777777" w:rsidR="007D3CB4" w:rsidRPr="0042214E" w:rsidRDefault="007D3CB4" w:rsidP="00D77155">
            <w:pPr>
              <w:pStyle w:val="Tabledash"/>
            </w:pPr>
            <w:r w:rsidRPr="0042214E">
              <w:t xml:space="preserve">how well the project solution delivers identified investment benefits in a way that achieves value for </w:t>
            </w:r>
            <w:proofErr w:type="gramStart"/>
            <w:r w:rsidRPr="0042214E">
              <w:t>money;</w:t>
            </w:r>
            <w:proofErr w:type="gramEnd"/>
            <w:r w:rsidRPr="0042214E">
              <w:t xml:space="preserve"> </w:t>
            </w:r>
          </w:p>
          <w:p w14:paraId="7C3EC544" w14:textId="77777777" w:rsidR="007D3CB4" w:rsidRPr="0042214E" w:rsidRDefault="007D3CB4" w:rsidP="00D77155">
            <w:pPr>
              <w:pStyle w:val="Tabledash"/>
            </w:pPr>
            <w:r w:rsidRPr="0042214E">
              <w:t>the management framework and KPIs surrounding the project solution’s performance measurement; and</w:t>
            </w:r>
          </w:p>
          <w:p w14:paraId="0F22BCD0" w14:textId="77777777" w:rsidR="007D3CB4" w:rsidRPr="0042214E" w:rsidRDefault="007D3CB4" w:rsidP="00D77155">
            <w:pPr>
              <w:pStyle w:val="Tabledash"/>
            </w:pPr>
            <w:r w:rsidRPr="0042214E">
              <w:t xml:space="preserve">an outline of the monitoring system to be put in place to track benefits realisation. </w:t>
            </w:r>
          </w:p>
          <w:p w14:paraId="42B23BD3" w14:textId="26A57445" w:rsidR="007D3CB4" w:rsidRPr="0042214E" w:rsidRDefault="007D3CB4" w:rsidP="007E3AD5">
            <w:pPr>
              <w:pStyle w:val="Tablebullet"/>
            </w:pPr>
            <w:r w:rsidRPr="0042214E">
              <w:t>Where the investment affects output performance measures</w:t>
            </w:r>
            <w:r w:rsidR="007E3AD5" w:rsidRPr="0042214E">
              <w:t xml:space="preserve">, the </w:t>
            </w:r>
            <w:r w:rsidRPr="0042214E">
              <w:t>impact on existing outputs and performance measures should be specified indicating both the changes to output metrics relative to current levels and the timing of that impact.</w:t>
            </w:r>
          </w:p>
        </w:tc>
      </w:tr>
    </w:tbl>
    <w:p w14:paraId="23920D37" w14:textId="77777777" w:rsidR="00E751EA" w:rsidRDefault="00E751EA" w:rsidP="00E751EA">
      <w:bookmarkStart w:id="202" w:name="_Toc20816385"/>
      <w:bookmarkEnd w:id="202"/>
    </w:p>
    <w:p w14:paraId="036029B0" w14:textId="77777777" w:rsidR="00E751EA" w:rsidRDefault="00E751EA">
      <w:pPr>
        <w:keepLines w:val="0"/>
        <w:spacing w:line="264" w:lineRule="auto"/>
        <w:rPr>
          <w:rFonts w:asciiTheme="majorHAnsi" w:eastAsiaTheme="majorEastAsia" w:hAnsiTheme="majorHAnsi" w:cstheme="majorBidi"/>
          <w:b/>
          <w:bCs/>
          <w:color w:val="53565A" w:themeColor="text2"/>
          <w:sz w:val="22"/>
          <w:szCs w:val="22"/>
        </w:rPr>
      </w:pPr>
      <w:r>
        <w:br w:type="page"/>
      </w:r>
    </w:p>
    <w:p w14:paraId="6819848B" w14:textId="3511B52C" w:rsidR="00186D47" w:rsidRPr="0042214E" w:rsidRDefault="00186D47" w:rsidP="005E1934">
      <w:pPr>
        <w:pStyle w:val="Heading3numbered"/>
      </w:pPr>
      <w:bookmarkStart w:id="203" w:name="_Toc121415351"/>
      <w:r w:rsidRPr="0042214E">
        <w:lastRenderedPageBreak/>
        <w:t>Risk management plan</w:t>
      </w:r>
      <w:bookmarkEnd w:id="203"/>
    </w:p>
    <w:p w14:paraId="0B9A9BCF" w14:textId="37398425" w:rsidR="003113EB" w:rsidRPr="0042214E" w:rsidRDefault="00186D47" w:rsidP="00D77155">
      <w:pPr>
        <w:pStyle w:val="NormalIndent"/>
      </w:pPr>
      <w:r w:rsidRPr="0042214E">
        <w:t xml:space="preserve">While risk cannot be removed entirely, it can be managed. </w:t>
      </w:r>
      <w:r w:rsidR="005C3606" w:rsidRPr="0042214E">
        <w:t xml:space="preserve">A risk workshop is often used to identify key project risks. </w:t>
      </w:r>
    </w:p>
    <w:p w14:paraId="088C020B" w14:textId="0F3C15F4" w:rsidR="00186D47" w:rsidRPr="0042214E" w:rsidRDefault="00917BB7" w:rsidP="00D77155">
      <w:pPr>
        <w:pStyle w:val="NormalIndent"/>
      </w:pPr>
      <w:r w:rsidRPr="0042214E">
        <w:t>The business case requires a summary of risks to be included within individual sections of the business case. Step 10 should provide a more comprehensive risk analysis.</w:t>
      </w:r>
    </w:p>
    <w:p w14:paraId="7E370874" w14:textId="1A1882FA" w:rsidR="00186D47" w:rsidRPr="0042214E" w:rsidRDefault="00186D47" w:rsidP="00D77155">
      <w:pPr>
        <w:pStyle w:val="NormalIndent"/>
        <w:rPr>
          <w:b/>
          <w:color w:val="E57200" w:themeColor="accent2"/>
        </w:rPr>
      </w:pPr>
      <w:r w:rsidRPr="0042214E">
        <w:rPr>
          <w:b/>
          <w:color w:val="E57200" w:themeColor="accent2"/>
        </w:rPr>
        <w:t xml:space="preserve">Risk management is not a static </w:t>
      </w:r>
      <w:proofErr w:type="gramStart"/>
      <w:r w:rsidRPr="0042214E">
        <w:rPr>
          <w:b/>
          <w:color w:val="E57200" w:themeColor="accent2"/>
        </w:rPr>
        <w:t>process,</w:t>
      </w:r>
      <w:proofErr w:type="gramEnd"/>
      <w:r w:rsidRPr="0042214E">
        <w:rPr>
          <w:b/>
          <w:color w:val="E57200" w:themeColor="accent2"/>
        </w:rPr>
        <w:t xml:space="preserve"> therefore risk assessment</w:t>
      </w:r>
      <w:r w:rsidR="000F7EA7" w:rsidRPr="0042214E">
        <w:rPr>
          <w:b/>
          <w:color w:val="E57200" w:themeColor="accent2"/>
        </w:rPr>
        <w:t>s</w:t>
      </w:r>
      <w:r w:rsidRPr="0042214E">
        <w:rPr>
          <w:b/>
          <w:color w:val="E57200" w:themeColor="accent2"/>
        </w:rPr>
        <w:t xml:space="preserve"> should continue during proposal development (including the degree of risk sensitivity associated with assumptions used).</w:t>
      </w:r>
    </w:p>
    <w:p w14:paraId="204C4DA4" w14:textId="2EAA0988" w:rsidR="00186D47" w:rsidRPr="0042214E" w:rsidRDefault="00186D47" w:rsidP="00D77155">
      <w:pPr>
        <w:pStyle w:val="NormalIndent"/>
      </w:pPr>
      <w:r w:rsidRPr="0042214E">
        <w:t xml:space="preserve">Including a separate </w:t>
      </w:r>
      <w:r w:rsidR="00046969" w:rsidRPr="0042214E">
        <w:t>a</w:t>
      </w:r>
      <w:r w:rsidRPr="0042214E">
        <w:t>ppendix addressing risk issues may be warranted</w:t>
      </w:r>
      <w:r w:rsidR="00917BB7" w:rsidRPr="0042214E">
        <w:t xml:space="preserve"> </w:t>
      </w:r>
      <w:r w:rsidR="00046969" w:rsidRPr="0042214E">
        <w:t xml:space="preserve">for some projects </w:t>
      </w:r>
      <w:r w:rsidR="00917BB7" w:rsidRPr="0042214E">
        <w:t xml:space="preserve">and </w:t>
      </w:r>
      <w:r w:rsidR="00046969" w:rsidRPr="0042214E">
        <w:t>is</w:t>
      </w:r>
      <w:r w:rsidR="00917BB7" w:rsidRPr="0042214E">
        <w:t xml:space="preserve"> required for all HVHR projects</w:t>
      </w:r>
      <w:r w:rsidRPr="0042214E">
        <w:t xml:space="preserve">. </w:t>
      </w:r>
    </w:p>
    <w:p w14:paraId="2A4B5E07" w14:textId="4C428935" w:rsidR="00186D47" w:rsidRPr="0042214E" w:rsidRDefault="00186D47" w:rsidP="00D77155">
      <w:pPr>
        <w:pStyle w:val="NormalIndent"/>
      </w:pPr>
      <w:r w:rsidRPr="0042214E">
        <w:t>Where an investment may involve sharing of risk between the Government and the private sector, the risk management plan should identify how risk might be allocated and comment upon how the sharing arrangements will be managed.</w:t>
      </w:r>
    </w:p>
    <w:p w14:paraId="1E130D16" w14:textId="3BBC59FC" w:rsidR="005C3606" w:rsidRPr="0042214E" w:rsidRDefault="005C3606" w:rsidP="00D77155">
      <w:pPr>
        <w:pStyle w:val="NormalIndent"/>
      </w:pPr>
      <w:r w:rsidRPr="0042214E">
        <w:t xml:space="preserve">To assist in identifying the key risks, </w:t>
      </w:r>
      <w:r w:rsidR="0076617D">
        <w:fldChar w:fldCharType="begin"/>
      </w:r>
      <w:r w:rsidR="0076617D">
        <w:instrText xml:space="preserve"> REF _Ref24627899 \h </w:instrText>
      </w:r>
      <w:r w:rsidR="0076617D">
        <w:fldChar w:fldCharType="separate"/>
      </w:r>
      <w:r w:rsidR="00295E8F" w:rsidRPr="0042214E">
        <w:t xml:space="preserve">Table </w:t>
      </w:r>
      <w:r w:rsidR="00295E8F">
        <w:rPr>
          <w:noProof/>
        </w:rPr>
        <w:t>16</w:t>
      </w:r>
      <w:r w:rsidR="0076617D">
        <w:fldChar w:fldCharType="end"/>
      </w:r>
      <w:r w:rsidRPr="0042214E">
        <w:t xml:space="preserve"> is a (non</w:t>
      </w:r>
      <w:r w:rsidR="00034452" w:rsidRPr="0042214E">
        <w:noBreakHyphen/>
      </w:r>
      <w:r w:rsidRPr="0042214E">
        <w:t xml:space="preserve">exhaustive) list of risk categories and sources providing </w:t>
      </w:r>
      <w:proofErr w:type="gramStart"/>
      <w:r w:rsidRPr="0042214E">
        <w:t>a number of</w:t>
      </w:r>
      <w:proofErr w:type="gramEnd"/>
      <w:r w:rsidRPr="0042214E">
        <w:t xml:space="preserve"> perspectives from which agencies can consider project option risks.</w:t>
      </w:r>
    </w:p>
    <w:p w14:paraId="5BE9C461" w14:textId="28B56067" w:rsidR="005C3606" w:rsidRPr="0042214E" w:rsidRDefault="005C3606" w:rsidP="001C100C">
      <w:pPr>
        <w:pStyle w:val="Caption"/>
        <w:ind w:left="792"/>
      </w:pPr>
      <w:bookmarkStart w:id="204" w:name="_Ref24627899"/>
      <w:r w:rsidRPr="0042214E">
        <w:t xml:space="preserve">Table </w:t>
      </w:r>
      <w:fldSimple w:instr=" SEQ Table \* ARABIC ">
        <w:r w:rsidR="00295E8F">
          <w:rPr>
            <w:noProof/>
          </w:rPr>
          <w:t>16</w:t>
        </w:r>
      </w:fldSimple>
      <w:bookmarkEnd w:id="204"/>
      <w:r w:rsidRPr="0042214E">
        <w:t>: Types of project risks</w:t>
      </w:r>
    </w:p>
    <w:tbl>
      <w:tblPr>
        <w:tblStyle w:val="DTFfinancialtableindent"/>
        <w:tblW w:w="0" w:type="auto"/>
        <w:tblLook w:val="06A0" w:firstRow="1" w:lastRow="0" w:firstColumn="1" w:lastColumn="0" w:noHBand="1" w:noVBand="1"/>
      </w:tblPr>
      <w:tblGrid>
        <w:gridCol w:w="2071"/>
        <w:gridCol w:w="6306"/>
      </w:tblGrid>
      <w:tr w:rsidR="005C3606" w:rsidRPr="0042214E" w14:paraId="7129662E" w14:textId="77777777" w:rsidTr="00E751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1" w:type="dxa"/>
          </w:tcPr>
          <w:p w14:paraId="321FB0B4" w14:textId="77777777" w:rsidR="005C3606" w:rsidRPr="0042214E" w:rsidRDefault="005C3606" w:rsidP="001C100C">
            <w:pPr>
              <w:pStyle w:val="Tableheader"/>
              <w:rPr>
                <w:b/>
              </w:rPr>
            </w:pPr>
            <w:r w:rsidRPr="0042214E">
              <w:rPr>
                <w:b/>
              </w:rPr>
              <w:t>Risk type</w:t>
            </w:r>
          </w:p>
        </w:tc>
        <w:tc>
          <w:tcPr>
            <w:tcW w:w="6306" w:type="dxa"/>
          </w:tcPr>
          <w:p w14:paraId="04CABFB6" w14:textId="77777777" w:rsidR="005C3606" w:rsidRPr="0042214E" w:rsidRDefault="005C3606" w:rsidP="001C100C">
            <w:pPr>
              <w:pStyle w:val="Tableheader"/>
              <w:cnfStyle w:val="100000000000" w:firstRow="1" w:lastRow="0" w:firstColumn="0" w:lastColumn="0" w:oddVBand="0" w:evenVBand="0" w:oddHBand="0" w:evenHBand="0" w:firstRowFirstColumn="0" w:firstRowLastColumn="0" w:lastRowFirstColumn="0" w:lastRowLastColumn="0"/>
              <w:rPr>
                <w:b/>
              </w:rPr>
            </w:pPr>
            <w:r w:rsidRPr="0042214E">
              <w:rPr>
                <w:b/>
              </w:rPr>
              <w:t>Explanation</w:t>
            </w:r>
          </w:p>
        </w:tc>
      </w:tr>
      <w:tr w:rsidR="005C3606" w:rsidRPr="0042214E" w14:paraId="73C8A443" w14:textId="77777777" w:rsidTr="00E751EA">
        <w:tc>
          <w:tcPr>
            <w:cnfStyle w:val="001000000000" w:firstRow="0" w:lastRow="0" w:firstColumn="1" w:lastColumn="0" w:oddVBand="0" w:evenVBand="0" w:oddHBand="0" w:evenHBand="0" w:firstRowFirstColumn="0" w:firstRowLastColumn="0" w:lastRowFirstColumn="0" w:lastRowLastColumn="0"/>
            <w:tcW w:w="2071" w:type="dxa"/>
          </w:tcPr>
          <w:p w14:paraId="5C41F456" w14:textId="6DED0D69" w:rsidR="005C3606" w:rsidRPr="0042214E" w:rsidRDefault="005C3606" w:rsidP="001C100C">
            <w:pPr>
              <w:pStyle w:val="Tabletext"/>
            </w:pPr>
            <w:r w:rsidRPr="0042214E">
              <w:t>Non</w:t>
            </w:r>
            <w:r w:rsidR="00034452" w:rsidRPr="0042214E">
              <w:noBreakHyphen/>
            </w:r>
            <w:r w:rsidRPr="0042214E">
              <w:t>project specific risk (uncertainties)</w:t>
            </w:r>
          </w:p>
        </w:tc>
        <w:tc>
          <w:tcPr>
            <w:tcW w:w="6306" w:type="dxa"/>
          </w:tcPr>
          <w:p w14:paraId="69476A5F" w14:textId="26D8857A" w:rsidR="005C3606" w:rsidRPr="0042214E" w:rsidRDefault="005C3606" w:rsidP="000F7EA7">
            <w:pPr>
              <w:pStyle w:val="Tabletext"/>
              <w:cnfStyle w:val="000000000000" w:firstRow="0" w:lastRow="0" w:firstColumn="0" w:lastColumn="0" w:oddVBand="0" w:evenVBand="0" w:oddHBand="0" w:evenHBand="0" w:firstRowFirstColumn="0" w:firstRowLastColumn="0" w:lastRowFirstColumn="0" w:lastRowLastColumn="0"/>
            </w:pPr>
            <w:r w:rsidRPr="0042214E">
              <w:t>May highlight the need for a flexible ‘real options’ approach to the investment</w:t>
            </w:r>
            <w:r w:rsidR="000F7EA7" w:rsidRPr="0042214E">
              <w:t xml:space="preserve">, </w:t>
            </w:r>
            <w:r w:rsidR="00FB7609" w:rsidRPr="0042214E">
              <w:t>e.g.,</w:t>
            </w:r>
            <w:r w:rsidRPr="0042214E">
              <w:t xml:space="preserve"> general financial markets risk, climate change, limited information available in market at this time. </w:t>
            </w:r>
          </w:p>
        </w:tc>
      </w:tr>
      <w:tr w:rsidR="005C3606" w:rsidRPr="0042214E" w14:paraId="26B5358C" w14:textId="77777777" w:rsidTr="00E751EA">
        <w:tc>
          <w:tcPr>
            <w:cnfStyle w:val="001000000000" w:firstRow="0" w:lastRow="0" w:firstColumn="1" w:lastColumn="0" w:oddVBand="0" w:evenVBand="0" w:oddHBand="0" w:evenHBand="0" w:firstRowFirstColumn="0" w:firstRowLastColumn="0" w:lastRowFirstColumn="0" w:lastRowLastColumn="0"/>
            <w:tcW w:w="2071" w:type="dxa"/>
          </w:tcPr>
          <w:p w14:paraId="735291CD" w14:textId="3A2862C4" w:rsidR="005C3606" w:rsidRPr="0042214E" w:rsidRDefault="005C3606" w:rsidP="001C100C">
            <w:pPr>
              <w:pStyle w:val="Tabletext"/>
            </w:pPr>
            <w:r w:rsidRPr="0042214E">
              <w:t>Investment planning risk</w:t>
            </w:r>
          </w:p>
        </w:tc>
        <w:tc>
          <w:tcPr>
            <w:tcW w:w="6306" w:type="dxa"/>
          </w:tcPr>
          <w:p w14:paraId="41B0623A" w14:textId="4996EBFB" w:rsidR="005C3606" w:rsidRPr="0042214E" w:rsidRDefault="005C3606" w:rsidP="001C100C">
            <w:pPr>
              <w:pStyle w:val="Tabletext"/>
              <w:cnfStyle w:val="000000000000" w:firstRow="0" w:lastRow="0" w:firstColumn="0" w:lastColumn="0" w:oddVBand="0" w:evenVBand="0" w:oddHBand="0" w:evenHBand="0" w:firstRowFirstColumn="0" w:firstRowLastColumn="0" w:lastRowFirstColumn="0" w:lastRowLastColumn="0"/>
            </w:pPr>
            <w:r w:rsidRPr="0042214E">
              <w:t>The risk the investment proposal has not been rigorously prepared</w:t>
            </w:r>
            <w:r w:rsidR="000F7EA7" w:rsidRPr="0042214E">
              <w:t>,</w:t>
            </w:r>
            <w:r w:rsidRPr="0042214E">
              <w:t xml:space="preserve"> meaning issues critical to success have been missed or costs, benefits and risks </w:t>
            </w:r>
            <w:r w:rsidR="00E37518" w:rsidRPr="0042214E">
              <w:t xml:space="preserve">have been </w:t>
            </w:r>
            <w:r w:rsidRPr="0042214E">
              <w:t>over</w:t>
            </w:r>
            <w:r w:rsidR="000F7EA7" w:rsidRPr="0042214E">
              <w:t>estimated</w:t>
            </w:r>
            <w:r w:rsidRPr="0042214E">
              <w:t xml:space="preserve"> and/or underestimated.</w:t>
            </w:r>
          </w:p>
        </w:tc>
      </w:tr>
      <w:tr w:rsidR="005C3606" w:rsidRPr="0042214E" w14:paraId="50C5892A" w14:textId="77777777" w:rsidTr="00E751EA">
        <w:tc>
          <w:tcPr>
            <w:cnfStyle w:val="001000000000" w:firstRow="0" w:lastRow="0" w:firstColumn="1" w:lastColumn="0" w:oddVBand="0" w:evenVBand="0" w:oddHBand="0" w:evenHBand="0" w:firstRowFirstColumn="0" w:firstRowLastColumn="0" w:lastRowFirstColumn="0" w:lastRowLastColumn="0"/>
            <w:tcW w:w="2071" w:type="dxa"/>
          </w:tcPr>
          <w:p w14:paraId="10D3F39C" w14:textId="3A61C927" w:rsidR="005C3606" w:rsidRPr="0042214E" w:rsidRDefault="005C3606" w:rsidP="001C100C">
            <w:pPr>
              <w:pStyle w:val="Tabletext"/>
            </w:pPr>
            <w:r w:rsidRPr="0042214E">
              <w:t xml:space="preserve">Completion/construction risk </w:t>
            </w:r>
          </w:p>
        </w:tc>
        <w:tc>
          <w:tcPr>
            <w:tcW w:w="6306" w:type="dxa"/>
          </w:tcPr>
          <w:p w14:paraId="2E35608B" w14:textId="77777777" w:rsidR="005C3606" w:rsidRPr="0042214E" w:rsidRDefault="005C3606" w:rsidP="001C100C">
            <w:pPr>
              <w:pStyle w:val="Tabletext"/>
              <w:cnfStyle w:val="000000000000" w:firstRow="0" w:lastRow="0" w:firstColumn="0" w:lastColumn="0" w:oddVBand="0" w:evenVBand="0" w:oddHBand="0" w:evenHBand="0" w:firstRowFirstColumn="0" w:firstRowLastColumn="0" w:lastRowFirstColumn="0" w:lastRowLastColumn="0"/>
            </w:pPr>
            <w:r w:rsidRPr="0042214E">
              <w:t>Relates to the development and implementation of the investment within the time and budget parameters.</w:t>
            </w:r>
          </w:p>
        </w:tc>
      </w:tr>
      <w:tr w:rsidR="005C3606" w:rsidRPr="0042214E" w14:paraId="368C954A" w14:textId="77777777" w:rsidTr="00E751EA">
        <w:tc>
          <w:tcPr>
            <w:cnfStyle w:val="001000000000" w:firstRow="0" w:lastRow="0" w:firstColumn="1" w:lastColumn="0" w:oddVBand="0" w:evenVBand="0" w:oddHBand="0" w:evenHBand="0" w:firstRowFirstColumn="0" w:firstRowLastColumn="0" w:lastRowFirstColumn="0" w:lastRowLastColumn="0"/>
            <w:tcW w:w="2071" w:type="dxa"/>
          </w:tcPr>
          <w:p w14:paraId="452BF3D6" w14:textId="546EAFBD" w:rsidR="005C3606" w:rsidRPr="0042214E" w:rsidRDefault="005C3606" w:rsidP="001C100C">
            <w:pPr>
              <w:pStyle w:val="Tabletext"/>
            </w:pPr>
            <w:r w:rsidRPr="0042214E">
              <w:t xml:space="preserve">Implementation risk </w:t>
            </w:r>
          </w:p>
        </w:tc>
        <w:tc>
          <w:tcPr>
            <w:tcW w:w="6306" w:type="dxa"/>
          </w:tcPr>
          <w:p w14:paraId="423641F1" w14:textId="77777777" w:rsidR="005C3606" w:rsidRPr="0042214E" w:rsidRDefault="005C3606" w:rsidP="001C100C">
            <w:pPr>
              <w:pStyle w:val="Tabletext"/>
              <w:cnfStyle w:val="000000000000" w:firstRow="0" w:lastRow="0" w:firstColumn="0" w:lastColumn="0" w:oddVBand="0" w:evenVBand="0" w:oddHBand="0" w:evenHBand="0" w:firstRowFirstColumn="0" w:firstRowLastColumn="0" w:lastRowFirstColumn="0" w:lastRowLastColumn="0"/>
            </w:pPr>
            <w:r w:rsidRPr="0042214E">
              <w:t>The analysis of implementation risk involves an assessment of the likelihood the proposed investment will deliver the targeted outcomes and outputs.</w:t>
            </w:r>
          </w:p>
        </w:tc>
      </w:tr>
      <w:tr w:rsidR="005C3606" w:rsidRPr="0042214E" w14:paraId="60DA03FC" w14:textId="77777777" w:rsidTr="00E751EA">
        <w:tc>
          <w:tcPr>
            <w:cnfStyle w:val="001000000000" w:firstRow="0" w:lastRow="0" w:firstColumn="1" w:lastColumn="0" w:oddVBand="0" w:evenVBand="0" w:oddHBand="0" w:evenHBand="0" w:firstRowFirstColumn="0" w:firstRowLastColumn="0" w:lastRowFirstColumn="0" w:lastRowLastColumn="0"/>
            <w:tcW w:w="2071" w:type="dxa"/>
          </w:tcPr>
          <w:p w14:paraId="4A481073" w14:textId="3558C5F2" w:rsidR="005C3606" w:rsidRPr="0042214E" w:rsidRDefault="005C3606" w:rsidP="001C100C">
            <w:pPr>
              <w:pStyle w:val="Tabletext"/>
            </w:pPr>
            <w:r w:rsidRPr="0042214E">
              <w:t xml:space="preserve">Management risk </w:t>
            </w:r>
          </w:p>
        </w:tc>
        <w:tc>
          <w:tcPr>
            <w:tcW w:w="6306" w:type="dxa"/>
          </w:tcPr>
          <w:p w14:paraId="49ABDA14" w14:textId="77777777" w:rsidR="005C3606" w:rsidRPr="0042214E" w:rsidRDefault="005C3606" w:rsidP="001C100C">
            <w:pPr>
              <w:pStyle w:val="Tabletext"/>
              <w:cnfStyle w:val="000000000000" w:firstRow="0" w:lastRow="0" w:firstColumn="0" w:lastColumn="0" w:oddVBand="0" w:evenVBand="0" w:oddHBand="0" w:evenHBand="0" w:firstRowFirstColumn="0" w:firstRowLastColumn="0" w:lastRowFirstColumn="0" w:lastRowLastColumn="0"/>
            </w:pPr>
            <w:r w:rsidRPr="0042214E">
              <w:t>The ability of management to deliver the expected outcomes.</w:t>
            </w:r>
          </w:p>
        </w:tc>
      </w:tr>
      <w:tr w:rsidR="005C3606" w:rsidRPr="0042214E" w14:paraId="450BC7DD" w14:textId="77777777" w:rsidTr="00E751EA">
        <w:tc>
          <w:tcPr>
            <w:cnfStyle w:val="001000000000" w:firstRow="0" w:lastRow="0" w:firstColumn="1" w:lastColumn="0" w:oddVBand="0" w:evenVBand="0" w:oddHBand="0" w:evenHBand="0" w:firstRowFirstColumn="0" w:firstRowLastColumn="0" w:lastRowFirstColumn="0" w:lastRowLastColumn="0"/>
            <w:tcW w:w="2071" w:type="dxa"/>
          </w:tcPr>
          <w:p w14:paraId="26D7C8C5" w14:textId="29AE980D" w:rsidR="005C3606" w:rsidRPr="0042214E" w:rsidRDefault="005C3606" w:rsidP="001C100C">
            <w:pPr>
              <w:pStyle w:val="Tabletext"/>
            </w:pPr>
            <w:r w:rsidRPr="0042214E">
              <w:t xml:space="preserve">Operations risk </w:t>
            </w:r>
          </w:p>
        </w:tc>
        <w:tc>
          <w:tcPr>
            <w:tcW w:w="6306" w:type="dxa"/>
          </w:tcPr>
          <w:p w14:paraId="3F3DE876" w14:textId="77777777" w:rsidR="005C3606" w:rsidRPr="0042214E" w:rsidRDefault="005C3606" w:rsidP="001C100C">
            <w:pPr>
              <w:pStyle w:val="Tabletext"/>
              <w:cnfStyle w:val="000000000000" w:firstRow="0" w:lastRow="0" w:firstColumn="0" w:lastColumn="0" w:oddVBand="0" w:evenVBand="0" w:oddHBand="0" w:evenHBand="0" w:firstRowFirstColumn="0" w:firstRowLastColumn="0" w:lastRowFirstColumn="0" w:lastRowLastColumn="0"/>
            </w:pPr>
            <w:r w:rsidRPr="0042214E">
              <w:t>Operations risk is dependent upon the nature of the integration of the recommended project with other underlying operations of the enterprise.</w:t>
            </w:r>
          </w:p>
        </w:tc>
      </w:tr>
      <w:tr w:rsidR="005C3606" w:rsidRPr="0042214E" w14:paraId="6677BF48" w14:textId="77777777" w:rsidTr="00E751EA">
        <w:tc>
          <w:tcPr>
            <w:cnfStyle w:val="001000000000" w:firstRow="0" w:lastRow="0" w:firstColumn="1" w:lastColumn="0" w:oddVBand="0" w:evenVBand="0" w:oddHBand="0" w:evenHBand="0" w:firstRowFirstColumn="0" w:firstRowLastColumn="0" w:lastRowFirstColumn="0" w:lastRowLastColumn="0"/>
            <w:tcW w:w="2071" w:type="dxa"/>
          </w:tcPr>
          <w:p w14:paraId="6FFF50AF" w14:textId="2A0BFAF9" w:rsidR="005C3606" w:rsidRPr="0042214E" w:rsidRDefault="005C3606" w:rsidP="001C100C">
            <w:pPr>
              <w:pStyle w:val="Tabletext"/>
            </w:pPr>
            <w:r w:rsidRPr="0042214E">
              <w:t xml:space="preserve">Financial risk </w:t>
            </w:r>
          </w:p>
        </w:tc>
        <w:tc>
          <w:tcPr>
            <w:tcW w:w="6306" w:type="dxa"/>
          </w:tcPr>
          <w:p w14:paraId="30C73CE4" w14:textId="77777777" w:rsidR="005C3606" w:rsidRPr="0042214E" w:rsidRDefault="005C3606" w:rsidP="001C100C">
            <w:pPr>
              <w:pStyle w:val="Tabletext"/>
              <w:cnfStyle w:val="000000000000" w:firstRow="0" w:lastRow="0" w:firstColumn="0" w:lastColumn="0" w:oddVBand="0" w:evenVBand="0" w:oddHBand="0" w:evenHBand="0" w:firstRowFirstColumn="0" w:firstRowLastColumn="0" w:lastRowFirstColumn="0" w:lastRowLastColumn="0"/>
            </w:pPr>
            <w:r w:rsidRPr="0042214E">
              <w:t>Financial risk is dependent upon the investment’s financial structure. Interest rates, taxation treatment, timing of cash flows and ability to absorb losses.</w:t>
            </w:r>
          </w:p>
        </w:tc>
      </w:tr>
      <w:tr w:rsidR="005C3606" w:rsidRPr="0042214E" w14:paraId="755237E5" w14:textId="77777777" w:rsidTr="00E751EA">
        <w:tc>
          <w:tcPr>
            <w:cnfStyle w:val="001000000000" w:firstRow="0" w:lastRow="0" w:firstColumn="1" w:lastColumn="0" w:oddVBand="0" w:evenVBand="0" w:oddHBand="0" w:evenHBand="0" w:firstRowFirstColumn="0" w:firstRowLastColumn="0" w:lastRowFirstColumn="0" w:lastRowLastColumn="0"/>
            <w:tcW w:w="2071" w:type="dxa"/>
          </w:tcPr>
          <w:p w14:paraId="1AF21FCD" w14:textId="28A7EA8A" w:rsidR="005C3606" w:rsidRPr="0042214E" w:rsidRDefault="005C3606" w:rsidP="001C100C">
            <w:pPr>
              <w:pStyle w:val="Tabletext"/>
            </w:pPr>
            <w:r w:rsidRPr="0042214E">
              <w:t xml:space="preserve">Environmental risk </w:t>
            </w:r>
          </w:p>
        </w:tc>
        <w:tc>
          <w:tcPr>
            <w:tcW w:w="6306" w:type="dxa"/>
          </w:tcPr>
          <w:p w14:paraId="55BAAB80" w14:textId="77777777" w:rsidR="005C3606" w:rsidRPr="0042214E" w:rsidRDefault="005C3606" w:rsidP="001C100C">
            <w:pPr>
              <w:pStyle w:val="Tabletext"/>
              <w:cnfStyle w:val="000000000000" w:firstRow="0" w:lastRow="0" w:firstColumn="0" w:lastColumn="0" w:oddVBand="0" w:evenVBand="0" w:oddHBand="0" w:evenHBand="0" w:firstRowFirstColumn="0" w:firstRowLastColumn="0" w:lastRowFirstColumn="0" w:lastRowLastColumn="0"/>
            </w:pPr>
            <w:r w:rsidRPr="0042214E">
              <w:t>Relates to the impact of the proposal upon the natural environment.</w:t>
            </w:r>
          </w:p>
        </w:tc>
      </w:tr>
      <w:tr w:rsidR="005C3606" w:rsidRPr="0042214E" w14:paraId="291D150F" w14:textId="77777777" w:rsidTr="00E751EA">
        <w:tc>
          <w:tcPr>
            <w:cnfStyle w:val="001000000000" w:firstRow="0" w:lastRow="0" w:firstColumn="1" w:lastColumn="0" w:oddVBand="0" w:evenVBand="0" w:oddHBand="0" w:evenHBand="0" w:firstRowFirstColumn="0" w:firstRowLastColumn="0" w:lastRowFirstColumn="0" w:lastRowLastColumn="0"/>
            <w:tcW w:w="2071" w:type="dxa"/>
          </w:tcPr>
          <w:p w14:paraId="6E3749B2" w14:textId="4CDD7FEE" w:rsidR="005C3606" w:rsidRPr="0042214E" w:rsidRDefault="005C3606" w:rsidP="001C100C">
            <w:pPr>
              <w:pStyle w:val="Tabletext"/>
            </w:pPr>
            <w:r w:rsidRPr="0042214E">
              <w:t xml:space="preserve">Private sector risk </w:t>
            </w:r>
          </w:p>
        </w:tc>
        <w:tc>
          <w:tcPr>
            <w:tcW w:w="6306" w:type="dxa"/>
          </w:tcPr>
          <w:p w14:paraId="5A131518" w14:textId="082D9441" w:rsidR="005C3606" w:rsidRPr="0042214E" w:rsidRDefault="005C3606" w:rsidP="001C100C">
            <w:pPr>
              <w:pStyle w:val="Tabletext"/>
              <w:cnfStyle w:val="000000000000" w:firstRow="0" w:lastRow="0" w:firstColumn="0" w:lastColumn="0" w:oddVBand="0" w:evenVBand="0" w:oddHBand="0" w:evenHBand="0" w:firstRowFirstColumn="0" w:firstRowLastColumn="0" w:lastRowFirstColumn="0" w:lastRowLastColumn="0"/>
            </w:pPr>
            <w:r w:rsidRPr="0042214E">
              <w:t>Risks include the ability of the private sector to manage the allocated risks and to deliver the outcomes (</w:t>
            </w:r>
            <w:r w:rsidR="00FB7609" w:rsidRPr="0042214E">
              <w:t>i.e.,</w:t>
            </w:r>
            <w:r w:rsidRPr="0042214E">
              <w:t xml:space="preserve"> funding, implementation, management, operation</w:t>
            </w:r>
            <w:r w:rsidR="002B671B" w:rsidRPr="0042214E">
              <w:t>,</w:t>
            </w:r>
            <w:r w:rsidRPr="0042214E">
              <w:t xml:space="preserve"> etc.).</w:t>
            </w:r>
          </w:p>
        </w:tc>
      </w:tr>
      <w:tr w:rsidR="005C3606" w:rsidRPr="0042214E" w14:paraId="6FD99972" w14:textId="77777777" w:rsidTr="00E751EA">
        <w:tc>
          <w:tcPr>
            <w:cnfStyle w:val="001000000000" w:firstRow="0" w:lastRow="0" w:firstColumn="1" w:lastColumn="0" w:oddVBand="0" w:evenVBand="0" w:oddHBand="0" w:evenHBand="0" w:firstRowFirstColumn="0" w:firstRowLastColumn="0" w:lastRowFirstColumn="0" w:lastRowLastColumn="0"/>
            <w:tcW w:w="2071" w:type="dxa"/>
          </w:tcPr>
          <w:p w14:paraId="5BBDA408" w14:textId="6881B875" w:rsidR="005C3606" w:rsidRPr="0042214E" w:rsidRDefault="005C3606" w:rsidP="001C100C">
            <w:pPr>
              <w:pStyle w:val="Tabletext"/>
            </w:pPr>
            <w:r w:rsidRPr="0042214E">
              <w:t xml:space="preserve">Political risk </w:t>
            </w:r>
          </w:p>
        </w:tc>
        <w:tc>
          <w:tcPr>
            <w:tcW w:w="6306" w:type="dxa"/>
          </w:tcPr>
          <w:p w14:paraId="154AC0F8" w14:textId="4CB6E01B" w:rsidR="005C3606" w:rsidRPr="0042214E" w:rsidRDefault="005C3606" w:rsidP="001C100C">
            <w:pPr>
              <w:pStyle w:val="Tabletext"/>
              <w:cnfStyle w:val="000000000000" w:firstRow="0" w:lastRow="0" w:firstColumn="0" w:lastColumn="0" w:oddVBand="0" w:evenVBand="0" w:oddHBand="0" w:evenHBand="0" w:firstRowFirstColumn="0" w:firstRowLastColumn="0" w:lastRowFirstColumn="0" w:lastRowLastColumn="0"/>
            </w:pPr>
            <w:r w:rsidRPr="0042214E">
              <w:t>These risks arise from commitments or actions of politicians. Investments sometimes create a polarisation of interests in the community</w:t>
            </w:r>
            <w:r w:rsidR="002B671B" w:rsidRPr="0042214E">
              <w:t>,</w:t>
            </w:r>
            <w:r w:rsidRPr="0042214E">
              <w:t xml:space="preserve"> which can create political risks if not managed appropriately.</w:t>
            </w:r>
          </w:p>
        </w:tc>
      </w:tr>
      <w:tr w:rsidR="005C3606" w:rsidRPr="0042214E" w14:paraId="0A7B042C" w14:textId="77777777" w:rsidTr="00E751EA">
        <w:tc>
          <w:tcPr>
            <w:cnfStyle w:val="001000000000" w:firstRow="0" w:lastRow="0" w:firstColumn="1" w:lastColumn="0" w:oddVBand="0" w:evenVBand="0" w:oddHBand="0" w:evenHBand="0" w:firstRowFirstColumn="0" w:firstRowLastColumn="0" w:lastRowFirstColumn="0" w:lastRowLastColumn="0"/>
            <w:tcW w:w="2071" w:type="dxa"/>
          </w:tcPr>
          <w:p w14:paraId="09E0A2D4" w14:textId="538E4907" w:rsidR="005C3606" w:rsidRPr="0042214E" w:rsidRDefault="005C3606" w:rsidP="001C100C">
            <w:pPr>
              <w:pStyle w:val="Tabletext"/>
            </w:pPr>
            <w:r w:rsidRPr="0042214E">
              <w:t xml:space="preserve">Stakeholder risk </w:t>
            </w:r>
          </w:p>
        </w:tc>
        <w:tc>
          <w:tcPr>
            <w:tcW w:w="6306" w:type="dxa"/>
          </w:tcPr>
          <w:p w14:paraId="09D34E99" w14:textId="77777777" w:rsidR="005C3606" w:rsidRPr="0042214E" w:rsidRDefault="005C3606" w:rsidP="001C100C">
            <w:pPr>
              <w:pStyle w:val="Tabletext"/>
              <w:cnfStyle w:val="000000000000" w:firstRow="0" w:lastRow="0" w:firstColumn="0" w:lastColumn="0" w:oddVBand="0" w:evenVBand="0" w:oddHBand="0" w:evenHBand="0" w:firstRowFirstColumn="0" w:firstRowLastColumn="0" w:lastRowFirstColumn="0" w:lastRowLastColumn="0"/>
            </w:pPr>
            <w:r w:rsidRPr="0042214E">
              <w:t xml:space="preserve">Arises when there are varied and conflicting expectations of investments, or if there is significant commitment required by a stakeholder to ensure the project’s success. </w:t>
            </w:r>
          </w:p>
        </w:tc>
      </w:tr>
    </w:tbl>
    <w:p w14:paraId="33EE4C67" w14:textId="77777777" w:rsidR="001C100C" w:rsidRPr="0042214E" w:rsidRDefault="001C100C" w:rsidP="001C100C">
      <w:pPr>
        <w:pStyle w:val="Spacer"/>
      </w:pPr>
    </w:p>
    <w:p w14:paraId="2F968288" w14:textId="7413BEC9" w:rsidR="005C3606" w:rsidRPr="0042214E" w:rsidRDefault="007E4177" w:rsidP="00D77155">
      <w:pPr>
        <w:pStyle w:val="NormalIndent"/>
      </w:pPr>
      <w:r w:rsidRPr="0042214E">
        <w:lastRenderedPageBreak/>
        <w:t>The risk assessment should also include those risks relating to PDDD elements, or the risk of not having addressed certain PDDD elements.</w:t>
      </w:r>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C4044A" w:rsidRPr="0042214E" w14:paraId="10478033" w14:textId="77777777" w:rsidTr="001C100C">
        <w:trPr>
          <w:cantSplit/>
        </w:trPr>
        <w:tc>
          <w:tcPr>
            <w:tcW w:w="8502" w:type="dxa"/>
            <w:shd w:val="clear" w:color="auto" w:fill="FDF3EA" w:themeFill="accent5" w:themeFillTint="33"/>
          </w:tcPr>
          <w:p w14:paraId="3FD07958" w14:textId="6D72085B" w:rsidR="00C4044A" w:rsidRPr="0042214E" w:rsidRDefault="00C4044A" w:rsidP="001C100C">
            <w:pPr>
              <w:pStyle w:val="Tabletextbold"/>
            </w:pPr>
            <w:bookmarkStart w:id="205" w:name="_Hlk19536729"/>
            <w:r w:rsidRPr="0042214E">
              <w:t xml:space="preserve">Business case information requirements for the risk assessment and management for the </w:t>
            </w:r>
            <w:r w:rsidR="00784678" w:rsidRPr="0042214E">
              <w:t xml:space="preserve">project </w:t>
            </w:r>
            <w:r w:rsidRPr="0042214E">
              <w:t xml:space="preserve">solution </w:t>
            </w:r>
          </w:p>
          <w:p w14:paraId="3BCC0A59" w14:textId="0CF76A48" w:rsidR="00C4044A" w:rsidRPr="0042214E" w:rsidRDefault="00C4044A" w:rsidP="001C100C">
            <w:pPr>
              <w:pStyle w:val="Tablebullet"/>
            </w:pPr>
            <w:r w:rsidRPr="0042214E">
              <w:t>A high</w:t>
            </w:r>
            <w:r w:rsidR="00034452" w:rsidRPr="0042214E">
              <w:noBreakHyphen/>
            </w:r>
            <w:r w:rsidRPr="0042214E">
              <w:t xml:space="preserve">level overview of the risk planning methodology for the </w:t>
            </w:r>
            <w:r w:rsidR="00784678" w:rsidRPr="0042214E">
              <w:t xml:space="preserve">project </w:t>
            </w:r>
            <w:r w:rsidRPr="0042214E">
              <w:t>solution.</w:t>
            </w:r>
          </w:p>
          <w:p w14:paraId="61EB2390" w14:textId="41AF681D" w:rsidR="00C4044A" w:rsidRPr="0042214E" w:rsidRDefault="00C4044A" w:rsidP="001C100C">
            <w:pPr>
              <w:pStyle w:val="Tablebullet"/>
            </w:pPr>
            <w:r w:rsidRPr="0042214E">
              <w:t xml:space="preserve">An overview of the risk strategy for the </w:t>
            </w:r>
            <w:r w:rsidR="00784678" w:rsidRPr="0042214E">
              <w:t xml:space="preserve">project </w:t>
            </w:r>
            <w:r w:rsidRPr="0042214E">
              <w:t xml:space="preserve">solution, including identification of all relevant risks (risk causes, risk events and risk impacts) of the </w:t>
            </w:r>
            <w:r w:rsidR="00784678" w:rsidRPr="0042214E">
              <w:t xml:space="preserve">project </w:t>
            </w:r>
            <w:r w:rsidRPr="0042214E">
              <w:t xml:space="preserve">solution (including procurement and governance), along with associated mitigation strategies. </w:t>
            </w:r>
          </w:p>
          <w:p w14:paraId="14C02CDF" w14:textId="7A59BBF1" w:rsidR="00C4044A" w:rsidRPr="0042214E" w:rsidRDefault="00C4044A" w:rsidP="001C100C">
            <w:pPr>
              <w:pStyle w:val="Tablebullet"/>
            </w:pPr>
            <w:r w:rsidRPr="0042214E">
              <w:t xml:space="preserve">Provide additional commentary on the risks of the </w:t>
            </w:r>
            <w:r w:rsidR="00784678" w:rsidRPr="0042214E">
              <w:t xml:space="preserve">project </w:t>
            </w:r>
            <w:r w:rsidRPr="0042214E">
              <w:t xml:space="preserve">solution noting the impacts on various stakeholders. </w:t>
            </w:r>
          </w:p>
          <w:p w14:paraId="2B862D85" w14:textId="29922C42" w:rsidR="00C4044A" w:rsidRPr="0042214E" w:rsidRDefault="00C4044A" w:rsidP="001C100C">
            <w:pPr>
              <w:pStyle w:val="Tablebullet"/>
            </w:pPr>
            <w:r w:rsidRPr="0042214E">
              <w:t>Outline of plans for risk ratings reviews and capture of any new risks, along with responsibility for ongoing risk monitoring/management.</w:t>
            </w:r>
          </w:p>
          <w:p w14:paraId="18E7D0F2" w14:textId="558D1E3B" w:rsidR="00C4044A" w:rsidRPr="0042214E" w:rsidRDefault="00C4044A" w:rsidP="001C100C">
            <w:pPr>
              <w:pStyle w:val="Tablebullet"/>
            </w:pPr>
            <w:r w:rsidRPr="0042214E">
              <w:t>Include an appendix with the risk management strategy and risk register.</w:t>
            </w:r>
          </w:p>
        </w:tc>
      </w:tr>
      <w:bookmarkEnd w:id="205"/>
    </w:tbl>
    <w:p w14:paraId="590CDE6D" w14:textId="1178A3C2" w:rsidR="00C4044A" w:rsidRPr="0042214E" w:rsidRDefault="00C4044A" w:rsidP="005C3606"/>
    <w:tbl>
      <w:tblPr>
        <w:tblStyle w:val="DTFfinancialtableindent"/>
        <w:tblW w:w="0" w:type="auto"/>
        <w:tblLook w:val="0680" w:firstRow="0" w:lastRow="0" w:firstColumn="1" w:lastColumn="0" w:noHBand="1" w:noVBand="1"/>
      </w:tblPr>
      <w:tblGrid>
        <w:gridCol w:w="8377"/>
      </w:tblGrid>
      <w:tr w:rsidR="00C4044A" w:rsidRPr="0042214E" w14:paraId="10B797C9" w14:textId="77777777" w:rsidTr="001C100C">
        <w:tc>
          <w:tcPr>
            <w:cnfStyle w:val="001000000000" w:firstRow="0" w:lastRow="0" w:firstColumn="1" w:lastColumn="0" w:oddVBand="0" w:evenVBand="0" w:oddHBand="0" w:evenHBand="0" w:firstRowFirstColumn="0" w:firstRowLastColumn="0" w:lastRowFirstColumn="0" w:lastRowLastColumn="0"/>
            <w:tcW w:w="8719" w:type="dxa"/>
          </w:tcPr>
          <w:p w14:paraId="44F66DDE" w14:textId="6A7377E3" w:rsidR="00C4044A" w:rsidRPr="0042214E" w:rsidRDefault="00C4044A" w:rsidP="001C100C">
            <w:pPr>
              <w:pStyle w:val="Tabletextbold"/>
              <w:rPr>
                <w:sz w:val="20"/>
              </w:rPr>
            </w:pPr>
            <w:r w:rsidRPr="0042214E">
              <w:rPr>
                <w:sz w:val="20"/>
              </w:rPr>
              <w:t>Risk assessment and management (fictional example)</w:t>
            </w:r>
          </w:p>
          <w:p w14:paraId="3CE1BD55" w14:textId="77777777" w:rsidR="00C4044A" w:rsidRPr="0042214E" w:rsidRDefault="00C4044A" w:rsidP="001C100C">
            <w:pPr>
              <w:pStyle w:val="Tabletext"/>
            </w:pPr>
            <w:r w:rsidRPr="0042214E">
              <w:t>The business case should provide details of the process through which the agency will manage project risks. This case study illustrates how a business case might satisfy this requirement.</w:t>
            </w:r>
          </w:p>
          <w:p w14:paraId="3B293DFF" w14:textId="77777777" w:rsidR="00C4044A" w:rsidRPr="0042214E" w:rsidRDefault="00C4044A" w:rsidP="001C100C">
            <w:pPr>
              <w:pStyle w:val="Tabletext"/>
            </w:pPr>
            <w:r w:rsidRPr="0042214E">
              <w:rPr>
                <w:bCs/>
              </w:rPr>
              <w:t xml:space="preserve">Risk assessment and management </w:t>
            </w:r>
          </w:p>
          <w:p w14:paraId="383C2A7E" w14:textId="77777777" w:rsidR="00C4044A" w:rsidRPr="0042214E" w:rsidRDefault="00C4044A" w:rsidP="001C100C">
            <w:pPr>
              <w:pStyle w:val="Tabletextbold"/>
            </w:pPr>
            <w:r w:rsidRPr="0042214E">
              <w:t>Ongoing risk monitoring and management</w:t>
            </w:r>
          </w:p>
          <w:p w14:paraId="7736E8DB" w14:textId="6A6F03A1" w:rsidR="00C4044A" w:rsidRPr="0042214E" w:rsidRDefault="00C4044A" w:rsidP="001C100C">
            <w:pPr>
              <w:pStyle w:val="Tabletext"/>
            </w:pPr>
            <w:r w:rsidRPr="0042214E">
              <w:t>A draft risk management strategy for this project has been developed (see Appendix X), which outlines the process for managing risks and responsibilities. Its purpose is to assist management decisions on how to deliver the objectives of the project within specified constraints (</w:t>
            </w:r>
            <w:r w:rsidR="00FB7609" w:rsidRPr="0042214E">
              <w:t>e.g.,</w:t>
            </w:r>
            <w:r w:rsidRPr="0042214E">
              <w:t xml:space="preserve"> time, </w:t>
            </w:r>
            <w:proofErr w:type="gramStart"/>
            <w:r w:rsidRPr="0042214E">
              <w:t>quality</w:t>
            </w:r>
            <w:proofErr w:type="gramEnd"/>
            <w:r w:rsidRPr="0042214E">
              <w:t xml:space="preserve"> and cost). </w:t>
            </w:r>
          </w:p>
          <w:p w14:paraId="10900589" w14:textId="7C7D574D" w:rsidR="00C4044A" w:rsidRPr="0042214E" w:rsidRDefault="00C4044A" w:rsidP="001C100C">
            <w:pPr>
              <w:pStyle w:val="Tabletext"/>
            </w:pPr>
            <w:r w:rsidRPr="0042214E">
              <w:t>Risk will be identified and categorised as either strategic or project level risks. Strategic risks will be those expected to have broader impacts beyond the project, for example, inter agency risks and statewide risks. These may have state or regionwide significance and require high levels of management and coordination. Project level risks will be those with specific impact on the project’s ability to meet its objectives or operate within the specified constraints (but will not have broader ramifications).</w:t>
            </w:r>
          </w:p>
          <w:p w14:paraId="00310282" w14:textId="77777777" w:rsidR="00C4044A" w:rsidRPr="0042214E" w:rsidRDefault="00C4044A" w:rsidP="001C100C">
            <w:pPr>
              <w:pStyle w:val="Tabletext"/>
            </w:pPr>
            <w:r w:rsidRPr="0042214E">
              <w:t>Key features of the proposed risk identification and management process are:</w:t>
            </w:r>
          </w:p>
          <w:p w14:paraId="7339EF5E" w14:textId="19A9F89A" w:rsidR="00C4044A" w:rsidRPr="0042214E" w:rsidRDefault="00C6699E" w:rsidP="00FA4CA3">
            <w:pPr>
              <w:pStyle w:val="Tablebullet"/>
            </w:pPr>
            <w:r w:rsidRPr="0042214E">
              <w:t xml:space="preserve">all </w:t>
            </w:r>
            <w:r w:rsidR="00C4044A" w:rsidRPr="0042214E">
              <w:t xml:space="preserve">risk treatments will be assigned ownership and treatment actions will be incorporated into the project work </w:t>
            </w:r>
            <w:proofErr w:type="gramStart"/>
            <w:r w:rsidR="00C4044A" w:rsidRPr="0042214E">
              <w:t>plan;</w:t>
            </w:r>
            <w:proofErr w:type="gramEnd"/>
          </w:p>
          <w:p w14:paraId="10A0E78F" w14:textId="584EF05E" w:rsidR="00C4044A" w:rsidRPr="0042214E" w:rsidRDefault="00C6699E" w:rsidP="00FA4CA3">
            <w:pPr>
              <w:pStyle w:val="Tablebullet"/>
            </w:pPr>
            <w:r w:rsidRPr="0042214E">
              <w:t xml:space="preserve">the </w:t>
            </w:r>
            <w:r w:rsidR="00C4044A" w:rsidRPr="0042214E">
              <w:t>status of each risk will be assigned as open or closed. When risks are completely mitigated through some form of treatment or completion of a project milestone, these will be listed as closed (but not deleted); and</w:t>
            </w:r>
          </w:p>
          <w:p w14:paraId="07E004F0" w14:textId="5C4F26AC" w:rsidR="00C4044A" w:rsidRPr="0042214E" w:rsidRDefault="00C6699E" w:rsidP="00FA4CA3">
            <w:pPr>
              <w:pStyle w:val="Tablebullet"/>
            </w:pPr>
            <w:r w:rsidRPr="0042214E">
              <w:t xml:space="preserve">a </w:t>
            </w:r>
            <w:r w:rsidR="00C4044A" w:rsidRPr="0042214E">
              <w:t xml:space="preserve">risk profile for strategic and project risks will be identified and managed using a dedicated risk register. </w:t>
            </w:r>
          </w:p>
          <w:p w14:paraId="3FF40D86" w14:textId="007E9411" w:rsidR="00C4044A" w:rsidRPr="0042214E" w:rsidRDefault="00C4044A" w:rsidP="007B33EC">
            <w:pPr>
              <w:pStyle w:val="Tabletext"/>
            </w:pPr>
            <w:r w:rsidRPr="0042214E">
              <w:t>Risks will be managed within the governance structure for the project. Within this structure, the project control board (PCB) will be responsible for endorsing treatments for strategic risks and project risks with high consequence and/or likelihood ratings. The project director will be responsible for monitoring and reassessing risks and risk ratings, maintaining and updating the risk register, identifying potential treatments for risks and escalating risk management to the PCB as appropriate.</w:t>
            </w:r>
          </w:p>
        </w:tc>
      </w:tr>
    </w:tbl>
    <w:p w14:paraId="170799B9" w14:textId="77777777" w:rsidR="00EE6EE1" w:rsidRPr="0042214E" w:rsidRDefault="00EE6EE1" w:rsidP="005E1934">
      <w:pPr>
        <w:pStyle w:val="Heading3numbered"/>
      </w:pPr>
      <w:bookmarkStart w:id="206" w:name="_Toc20816387"/>
      <w:bookmarkStart w:id="207" w:name="_Toc20816388"/>
      <w:bookmarkStart w:id="208" w:name="_Toc20816389"/>
      <w:bookmarkStart w:id="209" w:name="_Toc20816390"/>
      <w:bookmarkStart w:id="210" w:name="_Toc20816391"/>
      <w:bookmarkStart w:id="211" w:name="_Toc20816392"/>
      <w:bookmarkStart w:id="212" w:name="_Toc20816393"/>
      <w:bookmarkStart w:id="213" w:name="_Toc20816394"/>
      <w:bookmarkStart w:id="214" w:name="_Toc20816395"/>
      <w:bookmarkStart w:id="215" w:name="_Toc20816396"/>
      <w:bookmarkStart w:id="216" w:name="_Toc20816397"/>
      <w:bookmarkStart w:id="217" w:name="_Toc20816398"/>
      <w:bookmarkStart w:id="218" w:name="_Toc20816399"/>
      <w:bookmarkStart w:id="219" w:name="_Toc20816400"/>
      <w:bookmarkStart w:id="220" w:name="_Toc20816401"/>
      <w:bookmarkStart w:id="221" w:name="_Toc20816402"/>
      <w:bookmarkStart w:id="222" w:name="_Toc20816403"/>
      <w:bookmarkStart w:id="223" w:name="_Toc20816404"/>
      <w:bookmarkStart w:id="224" w:name="_Toc20816405"/>
      <w:bookmarkStart w:id="225" w:name="_Toc20816413"/>
      <w:bookmarkStart w:id="226" w:name="_Toc18568680"/>
      <w:bookmarkStart w:id="227" w:name="_Toc18568692"/>
      <w:bookmarkStart w:id="228" w:name="_Toc18568693"/>
      <w:bookmarkStart w:id="229" w:name="_Toc18568694"/>
      <w:bookmarkStart w:id="230" w:name="_Toc20816456"/>
      <w:bookmarkStart w:id="231" w:name="_Toc20816457"/>
      <w:bookmarkStart w:id="232" w:name="_Toc20816458"/>
      <w:bookmarkStart w:id="233" w:name="_Toc20816459"/>
      <w:bookmarkStart w:id="234" w:name="_Toc20816460"/>
      <w:bookmarkStart w:id="235" w:name="_Toc20816461"/>
      <w:bookmarkStart w:id="236" w:name="_Toc20816462"/>
      <w:bookmarkStart w:id="237" w:name="_Toc20816463"/>
      <w:bookmarkStart w:id="238" w:name="_Toc20816464"/>
      <w:bookmarkStart w:id="239" w:name="_Toc20816478"/>
      <w:bookmarkStart w:id="240" w:name="_Toc20816479"/>
      <w:bookmarkStart w:id="241" w:name="_Toc20816480"/>
      <w:bookmarkStart w:id="242" w:name="_Toc20816481"/>
      <w:bookmarkStart w:id="243" w:name="_Toc20816482"/>
      <w:bookmarkStart w:id="244" w:name="_Toc20816483"/>
      <w:bookmarkStart w:id="245" w:name="_Toc20816484"/>
      <w:bookmarkStart w:id="246" w:name="_Toc20816485"/>
      <w:bookmarkStart w:id="247" w:name="_Toc20816486"/>
      <w:bookmarkStart w:id="248" w:name="_Toc20816487"/>
      <w:bookmarkStart w:id="249" w:name="_Toc20816488"/>
      <w:bookmarkStart w:id="250" w:name="_Toc20816489"/>
      <w:bookmarkStart w:id="251" w:name="_Toc20816490"/>
      <w:bookmarkStart w:id="252" w:name="_Toc20816491"/>
      <w:bookmarkStart w:id="253" w:name="_Toc20816492"/>
      <w:bookmarkStart w:id="254" w:name="_Toc20816493"/>
      <w:bookmarkStart w:id="255" w:name="_Toc20816498"/>
      <w:bookmarkStart w:id="256" w:name="_Toc20816499"/>
      <w:bookmarkStart w:id="257" w:name="_Toc20816500"/>
      <w:bookmarkStart w:id="258" w:name="_Toc20816501"/>
      <w:bookmarkStart w:id="259" w:name="_Toc20816502"/>
      <w:bookmarkStart w:id="260" w:name="_Toc20816503"/>
      <w:bookmarkStart w:id="261" w:name="_Toc20816504"/>
      <w:bookmarkStart w:id="262" w:name="_Toc20816505"/>
      <w:bookmarkStart w:id="263" w:name="_Toc20816506"/>
      <w:bookmarkStart w:id="264" w:name="_Toc20816507"/>
      <w:bookmarkStart w:id="265" w:name="_Toc20816508"/>
      <w:bookmarkStart w:id="266" w:name="_Toc20816509"/>
      <w:bookmarkStart w:id="267" w:name="_Toc20816510"/>
      <w:bookmarkStart w:id="268" w:name="_Toc20816511"/>
      <w:bookmarkStart w:id="269" w:name="_Toc20816512"/>
      <w:bookmarkStart w:id="270" w:name="_Toc20816513"/>
      <w:bookmarkStart w:id="271" w:name="_Toc20816514"/>
      <w:bookmarkStart w:id="272" w:name="_Toc20816515"/>
      <w:bookmarkStart w:id="273" w:name="_Toc20816516"/>
      <w:bookmarkStart w:id="274" w:name="_Toc20816517"/>
      <w:bookmarkStart w:id="275" w:name="_Toc20816518"/>
      <w:bookmarkStart w:id="276" w:name="_Toc20816519"/>
      <w:bookmarkStart w:id="277" w:name="_Toc20816520"/>
      <w:bookmarkStart w:id="278" w:name="_Toc20816526"/>
      <w:bookmarkStart w:id="279" w:name="_Toc20816537"/>
      <w:bookmarkStart w:id="280" w:name="_Toc20816546"/>
      <w:bookmarkStart w:id="281" w:name="_Toc121415352"/>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42214E">
        <w:lastRenderedPageBreak/>
        <w:t>Exit strategy</w:t>
      </w:r>
      <w:bookmarkEnd w:id="281"/>
    </w:p>
    <w:p w14:paraId="19A11EAF" w14:textId="2814CC47" w:rsidR="00EE6EE1" w:rsidRPr="0042214E" w:rsidRDefault="00EE6EE1" w:rsidP="00104E20">
      <w:pPr>
        <w:pStyle w:val="NormalIndent"/>
        <w:keepNext/>
      </w:pPr>
      <w:r w:rsidRPr="0042214E">
        <w:t>Detail the exit strategy and the factors that would lead to wanting to exit either early or at term. Investments maybe time limited or may involve pilot studies. This section allows for consideration of what termination rights are desirable at key review or decision points</w:t>
      </w:r>
      <w:r w:rsidR="007B33EC" w:rsidRPr="0042214E">
        <w:t>,</w:t>
      </w:r>
      <w:r w:rsidRPr="0042214E">
        <w:t xml:space="preserve"> for example</w:t>
      </w:r>
      <w:r w:rsidR="007B33EC" w:rsidRPr="0042214E">
        <w:t>,</w:t>
      </w:r>
      <w:r w:rsidRPr="0042214E">
        <w:t xml:space="preserve"> in lapsing programs.</w:t>
      </w:r>
    </w:p>
    <w:p w14:paraId="6C19165E" w14:textId="21F195B8" w:rsidR="00917BB7" w:rsidRPr="0042214E" w:rsidRDefault="00917BB7" w:rsidP="005E1934">
      <w:pPr>
        <w:pStyle w:val="Heading3numbered"/>
      </w:pPr>
      <w:bookmarkStart w:id="282" w:name="_Toc121415353"/>
      <w:r w:rsidRPr="0042214E">
        <w:t>Readiness and next steps</w:t>
      </w:r>
      <w:bookmarkEnd w:id="282"/>
    </w:p>
    <w:tbl>
      <w:tblPr>
        <w:tblStyle w:val="DTFfinancialtableindent"/>
        <w:tblW w:w="0" w:type="auto"/>
        <w:shd w:val="clear" w:color="auto" w:fill="FDF3EA" w:themeFill="accent5" w:themeFillTint="33"/>
        <w:tblLook w:val="0600" w:firstRow="0" w:lastRow="0" w:firstColumn="0" w:lastColumn="0" w:noHBand="1" w:noVBand="1"/>
      </w:tblPr>
      <w:tblGrid>
        <w:gridCol w:w="8377"/>
      </w:tblGrid>
      <w:tr w:rsidR="00AA5D8B" w:rsidRPr="00667D0D" w14:paraId="0C795CF6" w14:textId="77777777" w:rsidTr="001C100C">
        <w:trPr>
          <w:cantSplit/>
        </w:trPr>
        <w:tc>
          <w:tcPr>
            <w:tcW w:w="8719" w:type="dxa"/>
            <w:shd w:val="clear" w:color="auto" w:fill="FDF3EA" w:themeFill="accent5" w:themeFillTint="33"/>
          </w:tcPr>
          <w:p w14:paraId="606CC76E" w14:textId="7CEFE075" w:rsidR="00AA5D8B" w:rsidRPr="00667D0D" w:rsidRDefault="00AA5D8B" w:rsidP="001C100C">
            <w:pPr>
              <w:pStyle w:val="Tabletextbold"/>
            </w:pPr>
            <w:r w:rsidRPr="00667D0D">
              <w:t>Business case information requirements for readiness and next steps</w:t>
            </w:r>
          </w:p>
          <w:p w14:paraId="482BA91E" w14:textId="5AA5D0AA" w:rsidR="00AA5D8B" w:rsidRPr="00667D0D" w:rsidRDefault="00AA5D8B" w:rsidP="001C100C">
            <w:pPr>
              <w:pStyle w:val="Tablebullet"/>
            </w:pPr>
            <w:r w:rsidRPr="00667D0D">
              <w:t xml:space="preserve">Explain plans to transition the investment to Stage 3: Delivery. </w:t>
            </w:r>
          </w:p>
          <w:p w14:paraId="4E03BBCA" w14:textId="337417E3" w:rsidR="00AA5D8B" w:rsidRPr="00667D0D" w:rsidRDefault="00AA5D8B" w:rsidP="001C100C">
            <w:pPr>
              <w:pStyle w:val="Tablebullet"/>
            </w:pPr>
            <w:r w:rsidRPr="00667D0D">
              <w:t xml:space="preserve">Explain the main areas of </w:t>
            </w:r>
            <w:r w:rsidR="0069196B" w:rsidRPr="00667D0D">
              <w:t xml:space="preserve">risk and </w:t>
            </w:r>
            <w:r w:rsidRPr="00667D0D">
              <w:t>uncertainty to be resolved in the next stage</w:t>
            </w:r>
            <w:r w:rsidR="00B50506" w:rsidRPr="00667D0D">
              <w:t xml:space="preserve"> (including closing gaps in PDDD requirements)</w:t>
            </w:r>
            <w:r w:rsidRPr="00667D0D">
              <w:t xml:space="preserve"> and highlight options to manage these. </w:t>
            </w:r>
          </w:p>
          <w:p w14:paraId="004810B3" w14:textId="05F171AD" w:rsidR="00AA5D8B" w:rsidRPr="00667D0D" w:rsidRDefault="00AA5D8B" w:rsidP="001C100C">
            <w:pPr>
              <w:pStyle w:val="Tablebullet"/>
            </w:pPr>
            <w:r w:rsidRPr="00667D0D">
              <w:t>Include information</w:t>
            </w:r>
            <w:r w:rsidR="003F49D9" w:rsidRPr="00667D0D">
              <w:t>,</w:t>
            </w:r>
            <w:r w:rsidRPr="00667D0D">
              <w:t xml:space="preserve"> for example</w:t>
            </w:r>
            <w:r w:rsidR="003F49D9" w:rsidRPr="00667D0D">
              <w:t>,</w:t>
            </w:r>
            <w:r w:rsidRPr="00667D0D">
              <w:t xml:space="preserve"> regarding staffing, approvals, and land acquisition.</w:t>
            </w:r>
          </w:p>
          <w:p w14:paraId="74C03335" w14:textId="67B54E1C" w:rsidR="00AA5D8B" w:rsidRPr="00667D0D" w:rsidRDefault="00AA5D8B" w:rsidP="001C100C">
            <w:pPr>
              <w:pStyle w:val="Tablebullet"/>
            </w:pPr>
            <w:r w:rsidRPr="00667D0D">
              <w:t>Include summary details of the exit strategy and handover of the project beyond its delivery.</w:t>
            </w:r>
          </w:p>
        </w:tc>
      </w:tr>
    </w:tbl>
    <w:p w14:paraId="61431BB7" w14:textId="78825965" w:rsidR="00AA386E" w:rsidRPr="00667D0D" w:rsidRDefault="00AA386E" w:rsidP="005E1934">
      <w:pPr>
        <w:pStyle w:val="Heading3numbered"/>
      </w:pPr>
      <w:bookmarkStart w:id="283" w:name="_Toc121415354"/>
      <w:r w:rsidRPr="00667D0D">
        <w:t>Guideline departures</w:t>
      </w:r>
    </w:p>
    <w:p w14:paraId="3BAC623D" w14:textId="74588AC7" w:rsidR="00AA386E" w:rsidRPr="00667D0D" w:rsidRDefault="00AA386E" w:rsidP="00AA386E">
      <w:pPr>
        <w:pStyle w:val="NormalIndent"/>
      </w:pPr>
      <w:r w:rsidRPr="00667D0D">
        <w:t xml:space="preserve">If a business case has significant departures from the guidance outlined in this document, </w:t>
      </w:r>
      <w:r w:rsidR="002147A3" w:rsidRPr="00667D0D">
        <w:t xml:space="preserve">this section should disclose and </w:t>
      </w:r>
      <w:r w:rsidRPr="00667D0D">
        <w:t xml:space="preserve">outline the rationale for the departures.  </w:t>
      </w:r>
    </w:p>
    <w:p w14:paraId="44A79A96" w14:textId="1C681D92" w:rsidR="00917BB7" w:rsidRPr="00667D0D" w:rsidRDefault="00917BB7" w:rsidP="005E1934">
      <w:pPr>
        <w:pStyle w:val="Heading3numbered"/>
      </w:pPr>
      <w:r w:rsidRPr="00667D0D">
        <w:t>Sign</w:t>
      </w:r>
      <w:r w:rsidR="003F49D9" w:rsidRPr="00667D0D">
        <w:t>-</w:t>
      </w:r>
      <w:r w:rsidRPr="00667D0D">
        <w:t>off</w:t>
      </w:r>
      <w:bookmarkEnd w:id="283"/>
    </w:p>
    <w:p w14:paraId="6CE2558A" w14:textId="6C61CC06" w:rsidR="00917BB7" w:rsidRPr="0042214E" w:rsidRDefault="00917BB7" w:rsidP="00D77155">
      <w:pPr>
        <w:pStyle w:val="NormalIndent"/>
      </w:pPr>
      <w:proofErr w:type="gramStart"/>
      <w:r w:rsidRPr="0042214E">
        <w:t>Sign</w:t>
      </w:r>
      <w:r w:rsidR="003F49D9" w:rsidRPr="0042214E">
        <w:t>-</w:t>
      </w:r>
      <w:r w:rsidRPr="0042214E">
        <w:t>offs</w:t>
      </w:r>
      <w:proofErr w:type="gramEnd"/>
      <w:r w:rsidRPr="0042214E">
        <w:t xml:space="preserve"> are required by</w:t>
      </w:r>
      <w:r w:rsidR="00F27F76" w:rsidRPr="0042214E">
        <w:t xml:space="preserve"> the</w:t>
      </w:r>
      <w:r w:rsidRPr="0042214E">
        <w:t xml:space="preserve">: </w:t>
      </w:r>
    </w:p>
    <w:p w14:paraId="41F8824C" w14:textId="091AB24E" w:rsidR="00917BB7" w:rsidRPr="0042214E" w:rsidRDefault="003F49D9" w:rsidP="001C100C">
      <w:pPr>
        <w:pStyle w:val="Bulletindent"/>
      </w:pPr>
      <w:r w:rsidRPr="0042214E">
        <w:t xml:space="preserve">primary </w:t>
      </w:r>
      <w:proofErr w:type="gramStart"/>
      <w:r w:rsidR="00917BB7" w:rsidRPr="0042214E">
        <w:t>author</w:t>
      </w:r>
      <w:r w:rsidR="00F27F76" w:rsidRPr="0042214E">
        <w:t>;</w:t>
      </w:r>
      <w:proofErr w:type="gramEnd"/>
      <w:r w:rsidR="00F27F76" w:rsidRPr="0042214E">
        <w:t xml:space="preserve"> </w:t>
      </w:r>
    </w:p>
    <w:p w14:paraId="75AB7E7D" w14:textId="2C57B110" w:rsidR="00917BB7" w:rsidRPr="0042214E" w:rsidRDefault="00F27F76" w:rsidP="001C100C">
      <w:pPr>
        <w:pStyle w:val="Bulletindent"/>
      </w:pPr>
      <w:r w:rsidRPr="0042214E">
        <w:t>SRO</w:t>
      </w:r>
      <w:r w:rsidR="00917BB7" w:rsidRPr="0042214E">
        <w:t xml:space="preserve"> (or departmental Chief Financial Officer) on the Project Profile Model (PPM) included to update proposal risks</w:t>
      </w:r>
      <w:r w:rsidRPr="0042214E">
        <w:t>; and</w:t>
      </w:r>
    </w:p>
    <w:p w14:paraId="4F207C4B" w14:textId="6250AE89" w:rsidR="00917BB7" w:rsidRPr="0042214E" w:rsidRDefault="00F27F76" w:rsidP="00FA4CA3">
      <w:pPr>
        <w:pStyle w:val="Bulletindent"/>
      </w:pPr>
      <w:r w:rsidRPr="0042214E">
        <w:t>SRO</w:t>
      </w:r>
      <w:r w:rsidR="00917BB7" w:rsidRPr="0042214E">
        <w:t xml:space="preserve"> (or Chief Financial Officer) and the </w:t>
      </w:r>
      <w:r w:rsidR="00917BB7" w:rsidRPr="00FA4CA3">
        <w:t>department’s</w:t>
      </w:r>
      <w:r w:rsidR="00917BB7" w:rsidRPr="0042214E">
        <w:t xml:space="preserve"> Secretary </w:t>
      </w:r>
      <w:r w:rsidRPr="0042214E">
        <w:t xml:space="preserve">on the </w:t>
      </w:r>
      <w:r w:rsidR="00917BB7" w:rsidRPr="0042214E">
        <w:t xml:space="preserve">full business cases to be considered by the Government. </w:t>
      </w:r>
    </w:p>
    <w:p w14:paraId="2C4D1EE4" w14:textId="24ED27E3" w:rsidR="00917BB7" w:rsidRPr="0042214E" w:rsidRDefault="003F49D9" w:rsidP="00FA4CA3">
      <w:pPr>
        <w:pStyle w:val="Bulletindent"/>
      </w:pPr>
      <w:r w:rsidRPr="0042214E">
        <w:t>T</w:t>
      </w:r>
      <w:r w:rsidR="001C100C" w:rsidRPr="0042214E">
        <w:t xml:space="preserve">he </w:t>
      </w:r>
      <w:r w:rsidR="00F27F76" w:rsidRPr="0042214E">
        <w:t>SRO</w:t>
      </w:r>
      <w:r w:rsidR="00917BB7" w:rsidRPr="0042214E">
        <w:t xml:space="preserve"> </w:t>
      </w:r>
      <w:r w:rsidR="00F27F76" w:rsidRPr="0042214E">
        <w:t xml:space="preserve">is also required to attest </w:t>
      </w:r>
      <w:r w:rsidR="00917BB7" w:rsidRPr="0042214E">
        <w:t>that the proposed investment will deliver the operational outcomes outlined in the business case.</w:t>
      </w:r>
    </w:p>
    <w:p w14:paraId="25A6DBE9" w14:textId="67EC3A18" w:rsidR="00917BB7" w:rsidRPr="0042214E" w:rsidRDefault="00917BB7" w:rsidP="001C100C">
      <w:pPr>
        <w:pStyle w:val="NormalIndent"/>
      </w:pPr>
      <w:r w:rsidRPr="0042214E">
        <w:t>In establishing the project budget estimate</w:t>
      </w:r>
      <w:r w:rsidR="007A2C6E" w:rsidRPr="0042214E">
        <w:t>,</w:t>
      </w:r>
      <w:r w:rsidRPr="0042214E">
        <w:t xml:space="preserve"> the SRO should sign off on: </w:t>
      </w:r>
    </w:p>
    <w:p w14:paraId="0D4F2D46" w14:textId="1DB3116E" w:rsidR="00917BB7" w:rsidRPr="0042214E" w:rsidRDefault="001C100C" w:rsidP="001C100C">
      <w:pPr>
        <w:pStyle w:val="Bulletindent"/>
      </w:pPr>
      <w:r w:rsidRPr="0042214E">
        <w:t xml:space="preserve">the </w:t>
      </w:r>
      <w:r w:rsidR="00917BB7" w:rsidRPr="0042214E">
        <w:t>statements of the service benefits and project scope</w:t>
      </w:r>
      <w:r w:rsidR="00F27F76" w:rsidRPr="0042214E">
        <w:t>; and</w:t>
      </w:r>
    </w:p>
    <w:p w14:paraId="31888FAD" w14:textId="04225AC2" w:rsidR="00917BB7" w:rsidRPr="0042214E" w:rsidRDefault="001C100C" w:rsidP="001C100C">
      <w:pPr>
        <w:pStyle w:val="Bulletindent"/>
      </w:pPr>
      <w:r w:rsidRPr="0042214E">
        <w:t xml:space="preserve">the </w:t>
      </w:r>
      <w:r w:rsidR="00917BB7" w:rsidRPr="0042214E">
        <w:t>adequacy of the project budget including the base cost estimate, risk assessment, base risk allocation and contingency.</w:t>
      </w:r>
    </w:p>
    <w:p w14:paraId="5EFCB0FE" w14:textId="4BBF3389" w:rsidR="00917BB7" w:rsidRPr="0042214E" w:rsidRDefault="00917BB7" w:rsidP="00D77155">
      <w:pPr>
        <w:pStyle w:val="NormalIndent"/>
      </w:pPr>
      <w:r w:rsidRPr="0042214E">
        <w:t xml:space="preserve">This should be supported by additional </w:t>
      </w:r>
      <w:proofErr w:type="gramStart"/>
      <w:r w:rsidR="003F49D9" w:rsidRPr="0042214E">
        <w:t>sign-</w:t>
      </w:r>
      <w:r w:rsidRPr="0042214E">
        <w:t>offs</w:t>
      </w:r>
      <w:proofErr w:type="gramEnd"/>
      <w:r w:rsidRPr="0042214E">
        <w:t xml:space="preserve"> from:</w:t>
      </w:r>
    </w:p>
    <w:p w14:paraId="1F1EF59D" w14:textId="1A7D7DA9" w:rsidR="00917BB7" w:rsidRPr="0042214E" w:rsidRDefault="001C100C" w:rsidP="001C100C">
      <w:pPr>
        <w:pStyle w:val="Bulletindent"/>
      </w:pPr>
      <w:r w:rsidRPr="0042214E">
        <w:t xml:space="preserve">the </w:t>
      </w:r>
      <w:r w:rsidR="00917BB7" w:rsidRPr="0042214E">
        <w:t>base cost estimator; and</w:t>
      </w:r>
    </w:p>
    <w:p w14:paraId="01C14CC0" w14:textId="1DD99AB7" w:rsidR="00917BB7" w:rsidRPr="0042214E" w:rsidRDefault="001C100C" w:rsidP="001C100C">
      <w:pPr>
        <w:pStyle w:val="Bulletindent"/>
      </w:pPr>
      <w:r w:rsidRPr="0042214E">
        <w:t xml:space="preserve">the </w:t>
      </w:r>
      <w:r w:rsidR="00917BB7" w:rsidRPr="0042214E">
        <w:t>agency and its advisers on base risk allocation and contingency.</w:t>
      </w:r>
    </w:p>
    <w:p w14:paraId="6FAA0484" w14:textId="4CE9FD90" w:rsidR="00917BB7" w:rsidRPr="0042214E" w:rsidRDefault="007A2C6E" w:rsidP="001C100C">
      <w:pPr>
        <w:pStyle w:val="NormalIndent"/>
      </w:pPr>
      <w:r w:rsidRPr="0042214E">
        <w:t>Agencies should also p</w:t>
      </w:r>
      <w:r w:rsidR="00917BB7" w:rsidRPr="0042214E">
        <w:t>rovide details of any review process (</w:t>
      </w:r>
      <w:r w:rsidR="00FB7609" w:rsidRPr="0042214E">
        <w:t>e.g.,</w:t>
      </w:r>
      <w:r w:rsidR="00917BB7" w:rsidRPr="0042214E">
        <w:t xml:space="preserve"> for HVHR projects Gateway reviews are mandatory). </w:t>
      </w:r>
    </w:p>
    <w:p w14:paraId="47ABB919" w14:textId="11669467" w:rsidR="00D77155" w:rsidRPr="0042214E" w:rsidRDefault="00917BB7" w:rsidP="00D77155">
      <w:pPr>
        <w:pStyle w:val="NormalIndent"/>
      </w:pPr>
      <w:r w:rsidRPr="0042214E">
        <w:t xml:space="preserve">So that </w:t>
      </w:r>
      <w:r w:rsidR="003F49D9" w:rsidRPr="0042214E">
        <w:t>decision-</w:t>
      </w:r>
      <w:r w:rsidRPr="0042214E">
        <w:t xml:space="preserve">makers know that the business case is thorough and complete, please provide a quality assurance checklist with business case submissions seeking endorsement from departmental </w:t>
      </w:r>
      <w:r w:rsidR="003F49D9" w:rsidRPr="0042214E">
        <w:t>secretaries</w:t>
      </w:r>
      <w:r w:rsidRPr="0042214E">
        <w:t>.</w:t>
      </w:r>
    </w:p>
    <w:p w14:paraId="6694E1EC" w14:textId="2DBFE03B" w:rsidR="00BB7794" w:rsidRPr="0042214E" w:rsidRDefault="00BB7794"/>
    <w:p w14:paraId="4CA054D9" w14:textId="18F0BD25" w:rsidR="001C100C" w:rsidRPr="0042214E" w:rsidRDefault="001C100C">
      <w:pPr>
        <w:sectPr w:rsidR="001C100C" w:rsidRPr="0042214E" w:rsidSect="005228F2">
          <w:headerReference w:type="even" r:id="rId49"/>
          <w:headerReference w:type="default" r:id="rId50"/>
          <w:footerReference w:type="even" r:id="rId51"/>
          <w:footerReference w:type="default" r:id="rId52"/>
          <w:pgSz w:w="11906" w:h="16838" w:code="9"/>
          <w:pgMar w:top="1872" w:right="1411" w:bottom="1440" w:left="1411" w:header="677" w:footer="461" w:gutter="0"/>
          <w:pgNumType w:start="1"/>
          <w:cols w:sep="1" w:space="567"/>
          <w:docGrid w:linePitch="360"/>
        </w:sectPr>
      </w:pPr>
    </w:p>
    <w:p w14:paraId="26B015A0" w14:textId="77777777" w:rsidR="002D19C3" w:rsidRPr="0042214E" w:rsidRDefault="002D19C3" w:rsidP="006F6CE5">
      <w:pPr>
        <w:tabs>
          <w:tab w:val="left" w:pos="1540"/>
        </w:tabs>
      </w:pPr>
    </w:p>
    <w:p w14:paraId="7330098A" w14:textId="77777777" w:rsidR="00DB1DC8" w:rsidRPr="0042214E" w:rsidRDefault="00DB1DC8"/>
    <w:sectPr w:rsidR="00DB1DC8" w:rsidRPr="0042214E" w:rsidSect="00D666FA">
      <w:headerReference w:type="even" r:id="rId53"/>
      <w:headerReference w:type="default" r:id="rId54"/>
      <w:footerReference w:type="even" r:id="rId55"/>
      <w:footerReference w:type="default" r:id="rId56"/>
      <w:type w:val="evenPage"/>
      <w:pgSz w:w="11906" w:h="16838" w:code="9"/>
      <w:pgMar w:top="1872" w:right="1411" w:bottom="1440" w:left="1411" w:header="680" w:footer="454"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B24F" w14:textId="77777777" w:rsidR="0003103D" w:rsidRDefault="0003103D" w:rsidP="00474C53">
      <w:r>
        <w:separator/>
      </w:r>
    </w:p>
  </w:endnote>
  <w:endnote w:type="continuationSeparator" w:id="0">
    <w:p w14:paraId="6300CE41" w14:textId="77777777" w:rsidR="0003103D" w:rsidRDefault="0003103D" w:rsidP="00474C53">
      <w:r>
        <w:continuationSeparator/>
      </w:r>
    </w:p>
  </w:endnote>
  <w:endnote w:type="continuationNotice" w:id="1">
    <w:p w14:paraId="5606E3B0" w14:textId="77777777" w:rsidR="0003103D" w:rsidRDefault="000310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9DD5" w14:textId="15EDF2A7" w:rsidR="00E170D5" w:rsidRPr="00151399" w:rsidRDefault="00E170D5" w:rsidP="00151399">
    <w:pPr>
      <w:pStyle w:val="Footereven"/>
    </w:pP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Pr>
        <w:rStyle w:val="PageNumber"/>
        <w:rFonts w:asciiTheme="majorHAnsi" w:hAnsiTheme="majorHAnsi"/>
      </w:rPr>
      <w:t>71</w:t>
    </w:r>
    <w:r w:rsidRPr="00151399">
      <w:rPr>
        <w:rStyle w:val="PageNumber"/>
        <w:rFonts w:asciiTheme="majorHAnsi" w:hAnsiTheme="majorHAnsi"/>
      </w:rPr>
      <w:fldChar w:fldCharType="end"/>
    </w:r>
    <w:r w:rsidRPr="00151399">
      <w:tab/>
    </w:r>
    <w:r w:rsidRPr="00151399">
      <w:tab/>
    </w:r>
    <w:r w:rsidRPr="00151399">
      <w:rPr>
        <w:rStyle w:val="PageNumber"/>
        <w:rFonts w:asciiTheme="majorHAnsi" w:hAnsiTheme="majorHAnsi"/>
      </w:rPr>
      <w:fldChar w:fldCharType="begin"/>
    </w:r>
    <w:r w:rsidRPr="00151399">
      <w:rPr>
        <w:rStyle w:val="PageNumber"/>
        <w:rFonts w:asciiTheme="majorHAnsi" w:hAnsiTheme="majorHAnsi"/>
      </w:rPr>
      <w:instrText xml:space="preserve"> DOCPROPERTY  Subject </w:instrText>
    </w:r>
    <w:r w:rsidRPr="00151399">
      <w:rPr>
        <w:rStyle w:val="PageNumber"/>
        <w:rFonts w:asciiTheme="majorHAnsi" w:hAnsiTheme="majorHAnsi"/>
      </w:rPr>
      <w:fldChar w:fldCharType="separate"/>
    </w:r>
    <w:r w:rsidR="00295E8F">
      <w:rPr>
        <w:rStyle w:val="PageNumber"/>
        <w:rFonts w:asciiTheme="majorHAnsi" w:hAnsiTheme="majorHAnsi"/>
      </w:rPr>
      <w:t>[publication name]</w:t>
    </w:r>
    <w:r w:rsidRPr="00151399">
      <w:rPr>
        <w:rStyle w:val="PageNumber"/>
        <w:rFonts w:asciiTheme="majorHAnsi" w:hAnsiTheme="majorHAnsi"/>
      </w:rPr>
      <w:fldChar w:fldCharType="end"/>
    </w:r>
    <w:r w:rsidRPr="00151399">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DC0" w14:textId="297DE6B5" w:rsidR="00E170D5" w:rsidRPr="00BC5321" w:rsidRDefault="00E170D5" w:rsidP="00BC532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8B40" w14:textId="45A077D1" w:rsidR="00E170D5" w:rsidRPr="00BA26F2" w:rsidRDefault="00E170D5" w:rsidP="008155D0">
    <w:pPr>
      <w:pStyle w:val="Footerodd"/>
    </w:pPr>
    <w:r>
      <w:rPr>
        <w:rStyle w:val="PageNumber"/>
        <w:rFonts w:asciiTheme="majorHAnsi" w:hAnsiTheme="majorHAnsi"/>
      </w:rPr>
      <w:fldChar w:fldCharType="begin"/>
    </w:r>
    <w:r>
      <w:rPr>
        <w:rStyle w:val="PageNumber"/>
        <w:rFonts w:asciiTheme="majorHAnsi" w:hAnsiTheme="majorHAnsi"/>
      </w:rPr>
      <w:instrText xml:space="preserve"> STYLEREF  Title  \* MERGEFORMAT </w:instrText>
    </w:r>
    <w:r>
      <w:rPr>
        <w:rStyle w:val="PageNumber"/>
        <w:rFonts w:asciiTheme="majorHAnsi" w:hAnsiTheme="majorHAnsi"/>
      </w:rPr>
      <w:fldChar w:fldCharType="separate"/>
    </w:r>
    <w:r w:rsidR="00BB3C68">
      <w:rPr>
        <w:rStyle w:val="PageNumber"/>
        <w:rFonts w:asciiTheme="majorHAnsi" w:hAnsiTheme="majorHAnsi"/>
      </w:rPr>
      <w:t>Investment Lifecycle and High Value High Risk Guidelines</w:t>
    </w:r>
    <w:r>
      <w:rPr>
        <w:rStyle w:val="PageNumber"/>
        <w:rFonts w:asciiTheme="majorHAnsi" w:hAnsiTheme="majorHAnsi"/>
      </w:rPr>
      <w:fldChar w:fldCharType="end"/>
    </w:r>
    <w:r>
      <w:rPr>
        <w:rStyle w:val="PageNumber"/>
        <w:rFonts w:asciiTheme="majorHAnsi" w:hAnsiTheme="majorHAnsi"/>
      </w:rPr>
      <w:tab/>
    </w:r>
    <w:r>
      <w:rPr>
        <w:rStyle w:val="PageNumber"/>
        <w:rFonts w:asciiTheme="majorHAnsi" w:hAnsiTheme="majorHAnsi"/>
      </w:rPr>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rPr>
      <w:t>79</w:t>
    </w:r>
    <w:r w:rsidRPr="00BA26F2">
      <w:rPr>
        <w:rStyle w:val="PageNumbe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0163" w14:textId="77777777" w:rsidR="00DB3C52" w:rsidRDefault="00DB3C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26D1" w14:textId="77777777" w:rsidR="00DB3C52" w:rsidRDefault="00DB3C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0C94" w14:textId="7BF2D942" w:rsidR="00E170D5" w:rsidRDefault="00E170D5" w:rsidP="00A821B8">
    <w:pPr>
      <w:pStyle w:val="Footereven"/>
    </w:pPr>
  </w:p>
  <w:p w14:paraId="32CCDB8D" w14:textId="77777777" w:rsidR="00E170D5" w:rsidRPr="00151399" w:rsidRDefault="00E170D5" w:rsidP="00A821B8">
    <w:pPr>
      <w:pStyle w:val="Footereven"/>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2E8B" w14:textId="40B48C17" w:rsidR="00E170D5" w:rsidRDefault="00E170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EAC1" w14:textId="214D534B" w:rsidR="00E170D5" w:rsidRPr="00151399" w:rsidRDefault="00E170D5" w:rsidP="00A821B8">
    <w:pPr>
      <w:pStyle w:val="Footereven"/>
    </w:pP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Pr>
        <w:rStyle w:val="PageNumber"/>
        <w:rFonts w:asciiTheme="majorHAnsi" w:hAnsiTheme="majorHAnsi"/>
      </w:rPr>
      <w:t>ii</w:t>
    </w:r>
    <w:r w:rsidRPr="00151399">
      <w:rPr>
        <w:rStyle w:val="PageNumber"/>
        <w:rFonts w:asciiTheme="majorHAnsi" w:hAnsiTheme="majorHAnsi"/>
      </w:rPr>
      <w:fldChar w:fldCharType="end"/>
    </w:r>
    <w:r w:rsidRPr="00151399">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B514" w14:textId="2B21EA7B" w:rsidR="00E170D5" w:rsidRPr="00E170D5" w:rsidRDefault="00E170D5" w:rsidP="00E170D5">
    <w:pPr>
      <w:pStyle w:val="Footerodd"/>
      <w:jc w:val="right"/>
      <w:rPr>
        <w:color w:val="000000" w:themeColor="text1"/>
      </w:rPr>
    </w:pP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Pr>
        <w:rStyle w:val="PageNumber"/>
        <w:rFonts w:asciiTheme="majorHAnsi" w:hAnsiTheme="majorHAnsi"/>
      </w:rPr>
      <w:t>i</w:t>
    </w:r>
    <w:r w:rsidRPr="00BA26F2">
      <w:rPr>
        <w:rStyle w:val="PageNumber"/>
        <w:rFonts w:asciiTheme="majorHAnsi" w:hAnsiTheme="majorHAns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7076" w14:textId="61204ABB" w:rsidR="00E170D5" w:rsidRPr="00151399" w:rsidRDefault="00E170D5" w:rsidP="00151399">
    <w:pPr>
      <w:pStyle w:val="Footereven"/>
    </w:pPr>
    <w:r>
      <w:rPr>
        <w:rStyle w:val="PageNumber"/>
        <w:rFonts w:asciiTheme="majorHAnsi" w:hAnsiTheme="majorHAnsi"/>
      </w:rPr>
      <w:t xml:space="preserve">Page </w:t>
    </w: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Pr>
        <w:rStyle w:val="PageNumber"/>
        <w:rFonts w:asciiTheme="majorHAnsi" w:hAnsiTheme="majorHAnsi"/>
      </w:rPr>
      <w:t>30</w:t>
    </w:r>
    <w:r w:rsidRPr="00151399">
      <w:rPr>
        <w:rStyle w:val="PageNumber"/>
        <w:rFonts w:asciiTheme="majorHAnsi" w:hAnsiTheme="majorHAnsi"/>
      </w:rPr>
      <w:fldChar w:fldCharType="end"/>
    </w:r>
    <w:r w:rsidRPr="00151399">
      <w:tab/>
    </w:r>
    <w:fldSimple w:instr=" STYLEREF  Title  \* MERGEFORMAT ">
      <w:r w:rsidR="00BB3C68">
        <w:t>Investment Lifecycle and High Value High Risk Guidelines</w:t>
      </w:r>
    </w:fldSimple>
    <w:r w:rsidRPr="00151399">
      <w:t xml:space="preserve"> </w:t>
    </w:r>
    <w:r>
      <w:t xml:space="preserve">– </w:t>
    </w:r>
    <w:r w:rsidRPr="00A162C2">
      <w:rPr>
        <w:b/>
      </w:rPr>
      <w:fldChar w:fldCharType="begin"/>
    </w:r>
    <w:r w:rsidRPr="00A162C2">
      <w:rPr>
        <w:b/>
      </w:rPr>
      <w:instrText xml:space="preserve"> STYLEREF  Subtitle </w:instrText>
    </w:r>
    <w:r w:rsidRPr="00A162C2">
      <w:rPr>
        <w:b/>
      </w:rPr>
      <w:fldChar w:fldCharType="separate"/>
    </w:r>
    <w:r w:rsidR="00BB3C68">
      <w:rPr>
        <w:b/>
      </w:rPr>
      <w:t>Business case</w:t>
    </w:r>
    <w:r w:rsidRPr="00A162C2">
      <w:rPr>
        <w:b/>
        <w:bCs/>
        <w:lang w:val="en-U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0E82" w14:textId="07A545BF" w:rsidR="00E170D5" w:rsidRPr="00BA26F2" w:rsidRDefault="000F05BA" w:rsidP="008155D0">
    <w:pPr>
      <w:pStyle w:val="Footerodd"/>
    </w:pPr>
    <w:fldSimple w:instr=" STYLEREF  Title  \* MERGEFORMAT ">
      <w:r w:rsidR="00BB3C68">
        <w:t>Investment Lifecycle and High Value High Risk Guidelines</w:t>
      </w:r>
    </w:fldSimple>
    <w:r w:rsidR="00E170D5" w:rsidRPr="00151399">
      <w:t xml:space="preserve"> </w:t>
    </w:r>
    <w:r w:rsidR="00E170D5">
      <w:t xml:space="preserve">– </w:t>
    </w:r>
    <w:r w:rsidR="00E170D5" w:rsidRPr="00A162C2">
      <w:rPr>
        <w:b/>
      </w:rPr>
      <w:fldChar w:fldCharType="begin"/>
    </w:r>
    <w:r w:rsidR="00E170D5" w:rsidRPr="00A162C2">
      <w:rPr>
        <w:b/>
      </w:rPr>
      <w:instrText xml:space="preserve"> STYLEREF  Subtitle </w:instrText>
    </w:r>
    <w:r w:rsidR="00E170D5" w:rsidRPr="00A162C2">
      <w:rPr>
        <w:b/>
      </w:rPr>
      <w:fldChar w:fldCharType="separate"/>
    </w:r>
    <w:r w:rsidR="00BB3C68">
      <w:rPr>
        <w:b/>
      </w:rPr>
      <w:t>Business case</w:t>
    </w:r>
    <w:r w:rsidR="00E170D5" w:rsidRPr="00A162C2">
      <w:rPr>
        <w:b/>
        <w:bCs/>
        <w:lang w:val="en-US"/>
      </w:rPr>
      <w:fldChar w:fldCharType="end"/>
    </w:r>
    <w:r w:rsidR="00E170D5">
      <w:rPr>
        <w:rStyle w:val="PageNumber"/>
      </w:rPr>
      <w:tab/>
      <w:t xml:space="preserve">Page </w:t>
    </w:r>
    <w:r w:rsidR="00E170D5" w:rsidRPr="00BA26F2">
      <w:rPr>
        <w:rStyle w:val="PageNumber"/>
      </w:rPr>
      <w:fldChar w:fldCharType="begin"/>
    </w:r>
    <w:r w:rsidR="00E170D5" w:rsidRPr="00BA26F2">
      <w:rPr>
        <w:rStyle w:val="PageNumber"/>
      </w:rPr>
      <w:instrText xml:space="preserve"> PAGE </w:instrText>
    </w:r>
    <w:r w:rsidR="00E170D5" w:rsidRPr="00BA26F2">
      <w:rPr>
        <w:rStyle w:val="PageNumber"/>
      </w:rPr>
      <w:fldChar w:fldCharType="separate"/>
    </w:r>
    <w:r w:rsidR="00E170D5">
      <w:rPr>
        <w:rStyle w:val="PageNumber"/>
      </w:rPr>
      <w:t>31</w:t>
    </w:r>
    <w:r w:rsidR="00E170D5" w:rsidRPr="00BA26F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ADE4" w14:textId="77777777" w:rsidR="0003103D" w:rsidRDefault="0003103D" w:rsidP="00474C53">
      <w:r>
        <w:separator/>
      </w:r>
    </w:p>
  </w:footnote>
  <w:footnote w:type="continuationSeparator" w:id="0">
    <w:p w14:paraId="5DD2350B" w14:textId="77777777" w:rsidR="0003103D" w:rsidRDefault="0003103D" w:rsidP="00474C53">
      <w:r>
        <w:continuationSeparator/>
      </w:r>
    </w:p>
  </w:footnote>
  <w:footnote w:type="continuationNotice" w:id="1">
    <w:p w14:paraId="01098EC8" w14:textId="77777777" w:rsidR="0003103D" w:rsidRDefault="0003103D">
      <w:pPr>
        <w:spacing w:before="0" w:after="0" w:line="240" w:lineRule="auto"/>
      </w:pPr>
    </w:p>
  </w:footnote>
  <w:footnote w:id="2">
    <w:p w14:paraId="10643349" w14:textId="4A9B58A6" w:rsidR="00E170D5" w:rsidRDefault="00E170D5" w:rsidP="00A111F3">
      <w:pPr>
        <w:pStyle w:val="FootnoteText"/>
      </w:pPr>
      <w:r>
        <w:rPr>
          <w:rStyle w:val="FootnoteReference"/>
        </w:rPr>
        <w:footnoteRef/>
      </w:r>
      <w:r>
        <w:t xml:space="preserve"> See DTF’s website: </w:t>
      </w:r>
      <w:hyperlink r:id="rId1" w:history="1">
        <w:r w:rsidRPr="00CD5C46">
          <w:rPr>
            <w:rStyle w:val="Hyperlink"/>
          </w:rPr>
          <w:t>www.dtf.vic.gov.au/infrastructure-investment/investment-lifecycle-and-high-value-high-risk-guidelines</w:t>
        </w:r>
      </w:hyperlink>
    </w:p>
  </w:footnote>
  <w:footnote w:id="3">
    <w:p w14:paraId="6F10364F" w14:textId="1B70D2E8" w:rsidR="00E170D5" w:rsidRPr="00686051" w:rsidRDefault="00E170D5" w:rsidP="00DB64D3">
      <w:pPr>
        <w:pStyle w:val="FootnoteText"/>
      </w:pPr>
      <w:r>
        <w:rPr>
          <w:rStyle w:val="FootnoteReference"/>
        </w:rPr>
        <w:footnoteRef/>
      </w:r>
      <w:r>
        <w:t xml:space="preserve"> Note that the VCC Framework represents best practice for all projects. Practitioners are encouraged to consider the VCC opportunity presented by any project over $100 million. However, those projects that do not meet the above criteria and do not offer a reasonable VCC opportunity will not be required to comply with the Framework.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3EF2" w14:textId="77777777" w:rsidR="00DB3C52" w:rsidRDefault="00DB3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B565" w14:textId="77777777" w:rsidR="00E170D5" w:rsidRDefault="00E170D5" w:rsidP="0016322A">
    <w:pPr>
      <w:pStyle w:val="Header"/>
    </w:pPr>
    <w:r>
      <w:rPr>
        <w:noProof/>
        <w:lang w:val="en-US" w:eastAsia="en-US"/>
      </w:rPr>
      <w:drawing>
        <wp:inline distT="0" distB="0" distL="0" distR="0" wp14:anchorId="7883920B" wp14:editId="6A86ADCC">
          <wp:extent cx="1806308" cy="540000"/>
          <wp:effectExtent l="0" t="0" r="3810" b="0"/>
          <wp:docPr id="1" name="Picture 1"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r>
      <w:rPr>
        <w:noProof/>
        <w:lang w:val="en-US" w:eastAsia="en-US"/>
      </w:rPr>
      <w:drawing>
        <wp:anchor distT="0" distB="0" distL="114300" distR="114300" simplePos="0" relativeHeight="251658242" behindDoc="1" locked="0" layoutInCell="1" allowOverlap="1" wp14:anchorId="4BC66A6A" wp14:editId="5AC2770F">
          <wp:simplePos x="0" y="0"/>
          <wp:positionH relativeFrom="column">
            <wp:posOffset>-941070</wp:posOffset>
          </wp:positionH>
          <wp:positionV relativeFrom="paragraph">
            <wp:posOffset>3771445</wp:posOffset>
          </wp:positionV>
          <wp:extent cx="7610494" cy="6509886"/>
          <wp:effectExtent l="0" t="0" r="0" b="5715"/>
          <wp:wrapNone/>
          <wp:docPr id="2" name="Picture 2" descr="T:\Corpcom_CSS\COMMUNICATIONS\Formatting\Investment Lifecycle Guidelines (Lara M-C)\Overview-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rpcom_CSS\COMMUNICATIONS\Formatting\Investment Lifecycle Guidelines (Lara M-C)\Overview-ed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0494" cy="65098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50F7" w14:textId="77777777" w:rsidR="00DB3C52" w:rsidRDefault="00DB3C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B42E" w14:textId="77777777" w:rsidR="00E170D5" w:rsidRDefault="00E170D5" w:rsidP="002856ED">
    <w:pPr>
      <w:pStyle w:val="Header"/>
      <w:jc w:val="right"/>
    </w:pPr>
    <w:r>
      <w:rPr>
        <w:noProof/>
        <w:lang w:val="en-US" w:eastAsia="en-US"/>
      </w:rPr>
      <w:drawing>
        <wp:inline distT="0" distB="0" distL="0" distR="0" wp14:anchorId="04FB8135" wp14:editId="49FF1E14">
          <wp:extent cx="1806308" cy="540000"/>
          <wp:effectExtent l="0" t="0" r="3810" b="0"/>
          <wp:docPr id="3" name="Picture 3"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C5BE" w14:textId="77777777" w:rsidR="00E170D5" w:rsidRDefault="00E170D5" w:rsidP="002856E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5514" w14:textId="77777777" w:rsidR="00E170D5" w:rsidRDefault="00E170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2D27" w14:textId="77777777" w:rsidR="00E170D5" w:rsidRDefault="00E170D5" w:rsidP="002856ED">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46EE" w14:textId="77777777" w:rsidR="00E170D5" w:rsidRDefault="00E170D5" w:rsidP="00BC5321">
    <w:r>
      <w:rPr>
        <w:noProof/>
        <w:lang w:val="en-US" w:eastAsia="en-US"/>
      </w:rPr>
      <w:drawing>
        <wp:anchor distT="0" distB="0" distL="114300" distR="114300" simplePos="0" relativeHeight="251658243" behindDoc="1" locked="0" layoutInCell="1" allowOverlap="1" wp14:anchorId="6EEF2005" wp14:editId="5815E43D">
          <wp:simplePos x="0" y="0"/>
          <wp:positionH relativeFrom="column">
            <wp:posOffset>-896695</wp:posOffset>
          </wp:positionH>
          <wp:positionV relativeFrom="page">
            <wp:posOffset>4151630</wp:posOffset>
          </wp:positionV>
          <wp:extent cx="7607808" cy="6510528"/>
          <wp:effectExtent l="0" t="0" r="0" b="5080"/>
          <wp:wrapNone/>
          <wp:docPr id="17" name="Picture 17" descr="T:\Corpcom_CSS\COMMUNICATIONS\Formatting\Investment Lifecycle Guidelines (Lara M-C)\Overview-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rpcom_CSS\COMMUNICATIONS\Formatting\Investment Lifecycle Guidelines (Lara M-C)\Overview-ed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607808" cy="65105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15D3" w14:textId="77777777" w:rsidR="00E170D5" w:rsidRDefault="00E170D5" w:rsidP="002856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876CDF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835AB78A"/>
    <w:lvl w:ilvl="0">
      <w:start w:val="1"/>
      <w:numFmt w:val="decimal"/>
      <w:lvlText w:val="%1."/>
      <w:lvlJc w:val="left"/>
      <w:pPr>
        <w:tabs>
          <w:tab w:val="num" w:pos="360"/>
        </w:tabs>
        <w:ind w:left="360" w:hanging="360"/>
      </w:pPr>
    </w:lvl>
  </w:abstractNum>
  <w:abstractNum w:abstractNumId="4"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528102E"/>
    <w:multiLevelType w:val="hybridMultilevel"/>
    <w:tmpl w:val="E306110C"/>
    <w:lvl w:ilvl="0" w:tplc="0C090017">
      <w:start w:val="1"/>
      <w:numFmt w:val="lowerLetter"/>
      <w:lvlText w:val="%1)"/>
      <w:lvlJc w:val="left"/>
      <w:pPr>
        <w:ind w:left="1154" w:hanging="360"/>
      </w:p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6"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F20AAC"/>
    <w:multiLevelType w:val="hybridMultilevel"/>
    <w:tmpl w:val="4A40F2B8"/>
    <w:lvl w:ilvl="0" w:tplc="13E2388A">
      <w:start w:val="1"/>
      <w:numFmt w:val="bullet"/>
      <w:lvlText w:val="•"/>
      <w:lvlJc w:val="left"/>
      <w:pPr>
        <w:tabs>
          <w:tab w:val="num" w:pos="720"/>
        </w:tabs>
        <w:ind w:left="720" w:hanging="360"/>
      </w:pPr>
      <w:rPr>
        <w:rFonts w:ascii="Arial" w:hAnsi="Arial" w:hint="default"/>
      </w:rPr>
    </w:lvl>
    <w:lvl w:ilvl="1" w:tplc="7C2C0AD2">
      <w:start w:val="668"/>
      <w:numFmt w:val="bullet"/>
      <w:lvlText w:val="−"/>
      <w:lvlJc w:val="left"/>
      <w:pPr>
        <w:tabs>
          <w:tab w:val="num" w:pos="1440"/>
        </w:tabs>
        <w:ind w:left="1440" w:hanging="360"/>
      </w:pPr>
      <w:rPr>
        <w:rFonts w:ascii="Arial" w:hAnsi="Arial" w:hint="default"/>
      </w:rPr>
    </w:lvl>
    <w:lvl w:ilvl="2" w:tplc="9146CB80" w:tentative="1">
      <w:start w:val="1"/>
      <w:numFmt w:val="bullet"/>
      <w:lvlText w:val="•"/>
      <w:lvlJc w:val="left"/>
      <w:pPr>
        <w:tabs>
          <w:tab w:val="num" w:pos="2160"/>
        </w:tabs>
        <w:ind w:left="2160" w:hanging="360"/>
      </w:pPr>
      <w:rPr>
        <w:rFonts w:ascii="Arial" w:hAnsi="Arial" w:hint="default"/>
      </w:rPr>
    </w:lvl>
    <w:lvl w:ilvl="3" w:tplc="92184FAE" w:tentative="1">
      <w:start w:val="1"/>
      <w:numFmt w:val="bullet"/>
      <w:lvlText w:val="•"/>
      <w:lvlJc w:val="left"/>
      <w:pPr>
        <w:tabs>
          <w:tab w:val="num" w:pos="2880"/>
        </w:tabs>
        <w:ind w:left="2880" w:hanging="360"/>
      </w:pPr>
      <w:rPr>
        <w:rFonts w:ascii="Arial" w:hAnsi="Arial" w:hint="default"/>
      </w:rPr>
    </w:lvl>
    <w:lvl w:ilvl="4" w:tplc="2772B7B4" w:tentative="1">
      <w:start w:val="1"/>
      <w:numFmt w:val="bullet"/>
      <w:lvlText w:val="•"/>
      <w:lvlJc w:val="left"/>
      <w:pPr>
        <w:tabs>
          <w:tab w:val="num" w:pos="3600"/>
        </w:tabs>
        <w:ind w:left="3600" w:hanging="360"/>
      </w:pPr>
      <w:rPr>
        <w:rFonts w:ascii="Arial" w:hAnsi="Arial" w:hint="default"/>
      </w:rPr>
    </w:lvl>
    <w:lvl w:ilvl="5" w:tplc="FB22E48A" w:tentative="1">
      <w:start w:val="1"/>
      <w:numFmt w:val="bullet"/>
      <w:lvlText w:val="•"/>
      <w:lvlJc w:val="left"/>
      <w:pPr>
        <w:tabs>
          <w:tab w:val="num" w:pos="4320"/>
        </w:tabs>
        <w:ind w:left="4320" w:hanging="360"/>
      </w:pPr>
      <w:rPr>
        <w:rFonts w:ascii="Arial" w:hAnsi="Arial" w:hint="default"/>
      </w:rPr>
    </w:lvl>
    <w:lvl w:ilvl="6" w:tplc="271A756A" w:tentative="1">
      <w:start w:val="1"/>
      <w:numFmt w:val="bullet"/>
      <w:lvlText w:val="•"/>
      <w:lvlJc w:val="left"/>
      <w:pPr>
        <w:tabs>
          <w:tab w:val="num" w:pos="5040"/>
        </w:tabs>
        <w:ind w:left="5040" w:hanging="360"/>
      </w:pPr>
      <w:rPr>
        <w:rFonts w:ascii="Arial" w:hAnsi="Arial" w:hint="default"/>
      </w:rPr>
    </w:lvl>
    <w:lvl w:ilvl="7" w:tplc="BCD60CA0" w:tentative="1">
      <w:start w:val="1"/>
      <w:numFmt w:val="bullet"/>
      <w:lvlText w:val="•"/>
      <w:lvlJc w:val="left"/>
      <w:pPr>
        <w:tabs>
          <w:tab w:val="num" w:pos="5760"/>
        </w:tabs>
        <w:ind w:left="5760" w:hanging="360"/>
      </w:pPr>
      <w:rPr>
        <w:rFonts w:ascii="Arial" w:hAnsi="Arial" w:hint="default"/>
      </w:rPr>
    </w:lvl>
    <w:lvl w:ilvl="8" w:tplc="D98A3E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BB3403"/>
    <w:multiLevelType w:val="multilevel"/>
    <w:tmpl w:val="35BCEDCC"/>
    <w:lvl w:ilvl="0">
      <w:start w:val="1"/>
      <w:numFmt w:val="bullet"/>
      <w:lvlText w:val="–"/>
      <w:lvlJc w:val="left"/>
      <w:pPr>
        <w:ind w:left="568" w:hanging="284"/>
      </w:pPr>
      <w:rPr>
        <w:rFonts w:ascii="Arial" w:hAnsi="Arial" w:hint="default"/>
      </w:rPr>
    </w:lvl>
    <w:lvl w:ilvl="1">
      <w:start w:val="1"/>
      <w:numFmt w:val="bullet"/>
      <w:lvlText w:val="–"/>
      <w:lvlJc w:val="left"/>
      <w:pPr>
        <w:ind w:left="852" w:hanging="284"/>
      </w:pPr>
      <w:rPr>
        <w:rFonts w:ascii="Arial" w:hAnsi="Arial" w:hint="default"/>
      </w:rPr>
    </w:lvl>
    <w:lvl w:ilvl="2">
      <w:start w:val="1"/>
      <w:numFmt w:val="bullet"/>
      <w:lvlText w:val=""/>
      <w:lvlJc w:val="left"/>
      <w:pPr>
        <w:ind w:left="1136" w:hanging="284"/>
      </w:pPr>
      <w:rPr>
        <w:rFonts w:ascii="Symbol" w:hAnsi="Symbo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9" w15:restartNumberingAfterBreak="0">
    <w:nsid w:val="121200AB"/>
    <w:multiLevelType w:val="hybridMultilevel"/>
    <w:tmpl w:val="88523638"/>
    <w:lvl w:ilvl="0" w:tplc="47DE6498">
      <w:start w:val="3"/>
      <w:numFmt w:val="bullet"/>
      <w:lvlText w:val="-"/>
      <w:lvlJc w:val="left"/>
      <w:pPr>
        <w:ind w:left="896" w:hanging="360"/>
      </w:pPr>
      <w:rPr>
        <w:rFonts w:ascii="Arial" w:eastAsiaTheme="minorEastAsia" w:hAnsi="Arial" w:cs="Aria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0" w15:restartNumberingAfterBreak="0">
    <w:nsid w:val="12E0589D"/>
    <w:multiLevelType w:val="multilevel"/>
    <w:tmpl w:val="BFA0EC4C"/>
    <w:lvl w:ilvl="0">
      <w:start w:val="1"/>
      <w:numFmt w:val="bullet"/>
      <w:pStyle w:val="HighlightBoxcheckbox"/>
      <w:lvlText w:val=""/>
      <w:lvlJc w:val="left"/>
      <w:pPr>
        <w:ind w:left="284" w:hanging="284"/>
      </w:pPr>
      <w:rPr>
        <w:rFonts w:ascii="Wingdings" w:hAnsi="Wingdings"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16C71302"/>
    <w:multiLevelType w:val="hybridMultilevel"/>
    <w:tmpl w:val="9234530A"/>
    <w:lvl w:ilvl="0" w:tplc="228E00FE">
      <w:start w:val="1"/>
      <w:numFmt w:val="bullet"/>
      <w:pStyle w:val="Box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76700"/>
    <w:multiLevelType w:val="hybridMultilevel"/>
    <w:tmpl w:val="671E5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56FFD"/>
    <w:multiLevelType w:val="multilevel"/>
    <w:tmpl w:val="EBAA814C"/>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000000" w:themeColor="text1"/>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FC017D6"/>
    <w:multiLevelType w:val="hybridMultilevel"/>
    <w:tmpl w:val="38BCD792"/>
    <w:lvl w:ilvl="0" w:tplc="B97A22CC">
      <w:start w:val="1"/>
      <w:numFmt w:val="bullet"/>
      <w:lvlText w:val="•"/>
      <w:lvlJc w:val="left"/>
      <w:pPr>
        <w:tabs>
          <w:tab w:val="num" w:pos="720"/>
        </w:tabs>
        <w:ind w:left="720" w:hanging="360"/>
      </w:pPr>
      <w:rPr>
        <w:rFonts w:ascii="Arial" w:hAnsi="Arial" w:hint="default"/>
      </w:rPr>
    </w:lvl>
    <w:lvl w:ilvl="1" w:tplc="73F4B2EE">
      <w:start w:val="668"/>
      <w:numFmt w:val="bullet"/>
      <w:lvlText w:val="−"/>
      <w:lvlJc w:val="left"/>
      <w:pPr>
        <w:tabs>
          <w:tab w:val="num" w:pos="1440"/>
        </w:tabs>
        <w:ind w:left="1440" w:hanging="360"/>
      </w:pPr>
      <w:rPr>
        <w:rFonts w:ascii="Arial" w:hAnsi="Arial" w:hint="default"/>
      </w:rPr>
    </w:lvl>
    <w:lvl w:ilvl="2" w:tplc="C8DEA6F8" w:tentative="1">
      <w:start w:val="1"/>
      <w:numFmt w:val="bullet"/>
      <w:lvlText w:val="•"/>
      <w:lvlJc w:val="left"/>
      <w:pPr>
        <w:tabs>
          <w:tab w:val="num" w:pos="2160"/>
        </w:tabs>
        <w:ind w:left="2160" w:hanging="360"/>
      </w:pPr>
      <w:rPr>
        <w:rFonts w:ascii="Arial" w:hAnsi="Arial" w:hint="default"/>
      </w:rPr>
    </w:lvl>
    <w:lvl w:ilvl="3" w:tplc="E3F4BCFE" w:tentative="1">
      <w:start w:val="1"/>
      <w:numFmt w:val="bullet"/>
      <w:lvlText w:val="•"/>
      <w:lvlJc w:val="left"/>
      <w:pPr>
        <w:tabs>
          <w:tab w:val="num" w:pos="2880"/>
        </w:tabs>
        <w:ind w:left="2880" w:hanging="360"/>
      </w:pPr>
      <w:rPr>
        <w:rFonts w:ascii="Arial" w:hAnsi="Arial" w:hint="default"/>
      </w:rPr>
    </w:lvl>
    <w:lvl w:ilvl="4" w:tplc="CFDCAB4C" w:tentative="1">
      <w:start w:val="1"/>
      <w:numFmt w:val="bullet"/>
      <w:lvlText w:val="•"/>
      <w:lvlJc w:val="left"/>
      <w:pPr>
        <w:tabs>
          <w:tab w:val="num" w:pos="3600"/>
        </w:tabs>
        <w:ind w:left="3600" w:hanging="360"/>
      </w:pPr>
      <w:rPr>
        <w:rFonts w:ascii="Arial" w:hAnsi="Arial" w:hint="default"/>
      </w:rPr>
    </w:lvl>
    <w:lvl w:ilvl="5" w:tplc="34226626" w:tentative="1">
      <w:start w:val="1"/>
      <w:numFmt w:val="bullet"/>
      <w:lvlText w:val="•"/>
      <w:lvlJc w:val="left"/>
      <w:pPr>
        <w:tabs>
          <w:tab w:val="num" w:pos="4320"/>
        </w:tabs>
        <w:ind w:left="4320" w:hanging="360"/>
      </w:pPr>
      <w:rPr>
        <w:rFonts w:ascii="Arial" w:hAnsi="Arial" w:hint="default"/>
      </w:rPr>
    </w:lvl>
    <w:lvl w:ilvl="6" w:tplc="501CDBD0" w:tentative="1">
      <w:start w:val="1"/>
      <w:numFmt w:val="bullet"/>
      <w:lvlText w:val="•"/>
      <w:lvlJc w:val="left"/>
      <w:pPr>
        <w:tabs>
          <w:tab w:val="num" w:pos="5040"/>
        </w:tabs>
        <w:ind w:left="5040" w:hanging="360"/>
      </w:pPr>
      <w:rPr>
        <w:rFonts w:ascii="Arial" w:hAnsi="Arial" w:hint="default"/>
      </w:rPr>
    </w:lvl>
    <w:lvl w:ilvl="7" w:tplc="7958A84E" w:tentative="1">
      <w:start w:val="1"/>
      <w:numFmt w:val="bullet"/>
      <w:lvlText w:val="•"/>
      <w:lvlJc w:val="left"/>
      <w:pPr>
        <w:tabs>
          <w:tab w:val="num" w:pos="5760"/>
        </w:tabs>
        <w:ind w:left="5760" w:hanging="360"/>
      </w:pPr>
      <w:rPr>
        <w:rFonts w:ascii="Arial" w:hAnsi="Arial" w:hint="default"/>
      </w:rPr>
    </w:lvl>
    <w:lvl w:ilvl="8" w:tplc="41E08E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940CD5"/>
    <w:multiLevelType w:val="multilevel"/>
    <w:tmpl w:val="5E22C0F8"/>
    <w:styleLink w:val="Bullet"/>
    <w:lvl w:ilvl="0">
      <w:start w:val="1"/>
      <w:numFmt w:val="bullet"/>
      <w:pStyle w:val="Tabletext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40E43814"/>
    <w:multiLevelType w:val="hybridMultilevel"/>
    <w:tmpl w:val="53289B00"/>
    <w:lvl w:ilvl="0" w:tplc="2B76BAE4">
      <w:start w:val="3"/>
      <w:numFmt w:val="bullet"/>
      <w:lvlText w:val="-"/>
      <w:lvlJc w:val="left"/>
      <w:pPr>
        <w:ind w:left="413" w:hanging="360"/>
      </w:pPr>
      <w:rPr>
        <w:rFonts w:ascii="Arial" w:eastAsiaTheme="minorEastAsia" w:hAnsi="Arial" w:cs="Arial"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19" w15:restartNumberingAfterBreak="0">
    <w:nsid w:val="40EB4913"/>
    <w:multiLevelType w:val="multilevel"/>
    <w:tmpl w:val="31BAF5DA"/>
    <w:lvl w:ilvl="0">
      <w:start w:val="1"/>
      <w:numFmt w:val="bullet"/>
      <w:lvlText w:val=""/>
      <w:lvlJc w:val="left"/>
      <w:pPr>
        <w:ind w:left="720" w:hanging="360"/>
      </w:pPr>
      <w:rPr>
        <w:rFonts w:ascii="Symbol" w:hAnsi="Symbol"/>
        <w:color w:val="0000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F176C"/>
    <w:multiLevelType w:val="multilevel"/>
    <w:tmpl w:val="6806179E"/>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2" w15:restartNumberingAfterBreak="0">
    <w:nsid w:val="454F30FB"/>
    <w:multiLevelType w:val="multilevel"/>
    <w:tmpl w:val="31BAF5DA"/>
    <w:lvl w:ilvl="0">
      <w:start w:val="1"/>
      <w:numFmt w:val="bullet"/>
      <w:lvlText w:val=""/>
      <w:lvlJc w:val="left"/>
      <w:pPr>
        <w:ind w:left="720" w:hanging="360"/>
      </w:pPr>
      <w:rPr>
        <w:rFonts w:ascii="Symbol" w:hAnsi="Symbol"/>
        <w:color w:val="0000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4F7386"/>
    <w:multiLevelType w:val="multilevel"/>
    <w:tmpl w:val="7500EB92"/>
    <w:styleLink w:val="Number"/>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4"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6367C4"/>
    <w:multiLevelType w:val="multilevel"/>
    <w:tmpl w:val="F104AB12"/>
    <w:styleLink w:val="NumberedHeadings"/>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B695180"/>
    <w:multiLevelType w:val="multilevel"/>
    <w:tmpl w:val="5E22C0F8"/>
    <w:numStyleLink w:val="Bullet"/>
  </w:abstractNum>
  <w:abstractNum w:abstractNumId="27" w15:restartNumberingAfterBreak="0">
    <w:nsid w:val="4F566D24"/>
    <w:multiLevelType w:val="hybridMultilevel"/>
    <w:tmpl w:val="A12472B0"/>
    <w:lvl w:ilvl="0" w:tplc="3FF627E2">
      <w:start w:val="1"/>
      <w:numFmt w:val="bullet"/>
      <w:lvlText w:val="•"/>
      <w:lvlJc w:val="left"/>
      <w:pPr>
        <w:tabs>
          <w:tab w:val="num" w:pos="720"/>
        </w:tabs>
        <w:ind w:left="720" w:hanging="360"/>
      </w:pPr>
      <w:rPr>
        <w:rFonts w:ascii="Arial" w:hAnsi="Arial" w:hint="default"/>
        <w:color w:val="000000" w:themeColor="text1"/>
      </w:rPr>
    </w:lvl>
    <w:lvl w:ilvl="1" w:tplc="8B407EC2" w:tentative="1">
      <w:start w:val="1"/>
      <w:numFmt w:val="bullet"/>
      <w:lvlText w:val="•"/>
      <w:lvlJc w:val="left"/>
      <w:pPr>
        <w:tabs>
          <w:tab w:val="num" w:pos="1440"/>
        </w:tabs>
        <w:ind w:left="1440" w:hanging="360"/>
      </w:pPr>
      <w:rPr>
        <w:rFonts w:ascii="Arial" w:hAnsi="Arial" w:hint="default"/>
      </w:rPr>
    </w:lvl>
    <w:lvl w:ilvl="2" w:tplc="4468BBBA" w:tentative="1">
      <w:start w:val="1"/>
      <w:numFmt w:val="bullet"/>
      <w:lvlText w:val="•"/>
      <w:lvlJc w:val="left"/>
      <w:pPr>
        <w:tabs>
          <w:tab w:val="num" w:pos="2160"/>
        </w:tabs>
        <w:ind w:left="2160" w:hanging="360"/>
      </w:pPr>
      <w:rPr>
        <w:rFonts w:ascii="Arial" w:hAnsi="Arial" w:hint="default"/>
      </w:rPr>
    </w:lvl>
    <w:lvl w:ilvl="3" w:tplc="672A147C" w:tentative="1">
      <w:start w:val="1"/>
      <w:numFmt w:val="bullet"/>
      <w:lvlText w:val="•"/>
      <w:lvlJc w:val="left"/>
      <w:pPr>
        <w:tabs>
          <w:tab w:val="num" w:pos="2880"/>
        </w:tabs>
        <w:ind w:left="2880" w:hanging="360"/>
      </w:pPr>
      <w:rPr>
        <w:rFonts w:ascii="Arial" w:hAnsi="Arial" w:hint="default"/>
      </w:rPr>
    </w:lvl>
    <w:lvl w:ilvl="4" w:tplc="58F66AA0" w:tentative="1">
      <w:start w:val="1"/>
      <w:numFmt w:val="bullet"/>
      <w:lvlText w:val="•"/>
      <w:lvlJc w:val="left"/>
      <w:pPr>
        <w:tabs>
          <w:tab w:val="num" w:pos="3600"/>
        </w:tabs>
        <w:ind w:left="3600" w:hanging="360"/>
      </w:pPr>
      <w:rPr>
        <w:rFonts w:ascii="Arial" w:hAnsi="Arial" w:hint="default"/>
      </w:rPr>
    </w:lvl>
    <w:lvl w:ilvl="5" w:tplc="F6C44F36" w:tentative="1">
      <w:start w:val="1"/>
      <w:numFmt w:val="bullet"/>
      <w:lvlText w:val="•"/>
      <w:lvlJc w:val="left"/>
      <w:pPr>
        <w:tabs>
          <w:tab w:val="num" w:pos="4320"/>
        </w:tabs>
        <w:ind w:left="4320" w:hanging="360"/>
      </w:pPr>
      <w:rPr>
        <w:rFonts w:ascii="Arial" w:hAnsi="Arial" w:hint="default"/>
      </w:rPr>
    </w:lvl>
    <w:lvl w:ilvl="6" w:tplc="3B48CA4C" w:tentative="1">
      <w:start w:val="1"/>
      <w:numFmt w:val="bullet"/>
      <w:lvlText w:val="•"/>
      <w:lvlJc w:val="left"/>
      <w:pPr>
        <w:tabs>
          <w:tab w:val="num" w:pos="5040"/>
        </w:tabs>
        <w:ind w:left="5040" w:hanging="360"/>
      </w:pPr>
      <w:rPr>
        <w:rFonts w:ascii="Arial" w:hAnsi="Arial" w:hint="default"/>
      </w:rPr>
    </w:lvl>
    <w:lvl w:ilvl="7" w:tplc="6F160494" w:tentative="1">
      <w:start w:val="1"/>
      <w:numFmt w:val="bullet"/>
      <w:lvlText w:val="•"/>
      <w:lvlJc w:val="left"/>
      <w:pPr>
        <w:tabs>
          <w:tab w:val="num" w:pos="5760"/>
        </w:tabs>
        <w:ind w:left="5760" w:hanging="360"/>
      </w:pPr>
      <w:rPr>
        <w:rFonts w:ascii="Arial" w:hAnsi="Arial" w:hint="default"/>
      </w:rPr>
    </w:lvl>
    <w:lvl w:ilvl="8" w:tplc="14EAD8F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300437"/>
    <w:multiLevelType w:val="multilevel"/>
    <w:tmpl w:val="31BAF5DA"/>
    <w:lvl w:ilvl="0">
      <w:start w:val="1"/>
      <w:numFmt w:val="bullet"/>
      <w:lvlText w:val=""/>
      <w:lvlJc w:val="left"/>
      <w:pPr>
        <w:ind w:left="720" w:hanging="360"/>
      </w:pPr>
      <w:rPr>
        <w:rFonts w:ascii="Symbol" w:hAnsi="Symbol"/>
        <w:color w:val="0000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8A7F97"/>
    <w:multiLevelType w:val="multilevel"/>
    <w:tmpl w:val="269ECFBE"/>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Arial" w:hAnsi="Arial"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0" w15:restartNumberingAfterBreak="0">
    <w:nsid w:val="53AE0645"/>
    <w:multiLevelType w:val="multilevel"/>
    <w:tmpl w:val="31BAF5DA"/>
    <w:lvl w:ilvl="0">
      <w:start w:val="1"/>
      <w:numFmt w:val="bullet"/>
      <w:lvlText w:val=""/>
      <w:lvlJc w:val="left"/>
      <w:pPr>
        <w:ind w:left="720" w:hanging="360"/>
      </w:pPr>
      <w:rPr>
        <w:rFonts w:ascii="Symbol" w:hAnsi="Symbol"/>
        <w:color w:val="0000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8F2863"/>
    <w:multiLevelType w:val="hybridMultilevel"/>
    <w:tmpl w:val="78BAFED8"/>
    <w:lvl w:ilvl="0" w:tplc="31D63618">
      <w:start w:val="1"/>
      <w:numFmt w:val="bullet"/>
      <w:lvlText w:val="•"/>
      <w:lvlJc w:val="left"/>
      <w:pPr>
        <w:tabs>
          <w:tab w:val="num" w:pos="720"/>
        </w:tabs>
        <w:ind w:left="720" w:hanging="360"/>
      </w:pPr>
      <w:rPr>
        <w:rFonts w:ascii="Arial" w:hAnsi="Arial" w:hint="default"/>
        <w:color w:val="000000" w:themeColor="text1"/>
      </w:rPr>
    </w:lvl>
    <w:lvl w:ilvl="1" w:tplc="239EB840" w:tentative="1">
      <w:start w:val="1"/>
      <w:numFmt w:val="bullet"/>
      <w:lvlText w:val="•"/>
      <w:lvlJc w:val="left"/>
      <w:pPr>
        <w:tabs>
          <w:tab w:val="num" w:pos="1440"/>
        </w:tabs>
        <w:ind w:left="1440" w:hanging="360"/>
      </w:pPr>
      <w:rPr>
        <w:rFonts w:ascii="Arial" w:hAnsi="Arial" w:hint="default"/>
      </w:rPr>
    </w:lvl>
    <w:lvl w:ilvl="2" w:tplc="EDEE8A8C" w:tentative="1">
      <w:start w:val="1"/>
      <w:numFmt w:val="bullet"/>
      <w:lvlText w:val="•"/>
      <w:lvlJc w:val="left"/>
      <w:pPr>
        <w:tabs>
          <w:tab w:val="num" w:pos="2160"/>
        </w:tabs>
        <w:ind w:left="2160" w:hanging="360"/>
      </w:pPr>
      <w:rPr>
        <w:rFonts w:ascii="Arial" w:hAnsi="Arial" w:hint="default"/>
      </w:rPr>
    </w:lvl>
    <w:lvl w:ilvl="3" w:tplc="9E20C008" w:tentative="1">
      <w:start w:val="1"/>
      <w:numFmt w:val="bullet"/>
      <w:lvlText w:val="•"/>
      <w:lvlJc w:val="left"/>
      <w:pPr>
        <w:tabs>
          <w:tab w:val="num" w:pos="2880"/>
        </w:tabs>
        <w:ind w:left="2880" w:hanging="360"/>
      </w:pPr>
      <w:rPr>
        <w:rFonts w:ascii="Arial" w:hAnsi="Arial" w:hint="default"/>
      </w:rPr>
    </w:lvl>
    <w:lvl w:ilvl="4" w:tplc="A1DC1224" w:tentative="1">
      <w:start w:val="1"/>
      <w:numFmt w:val="bullet"/>
      <w:lvlText w:val="•"/>
      <w:lvlJc w:val="left"/>
      <w:pPr>
        <w:tabs>
          <w:tab w:val="num" w:pos="3600"/>
        </w:tabs>
        <w:ind w:left="3600" w:hanging="360"/>
      </w:pPr>
      <w:rPr>
        <w:rFonts w:ascii="Arial" w:hAnsi="Arial" w:hint="default"/>
      </w:rPr>
    </w:lvl>
    <w:lvl w:ilvl="5" w:tplc="41B0678A" w:tentative="1">
      <w:start w:val="1"/>
      <w:numFmt w:val="bullet"/>
      <w:lvlText w:val="•"/>
      <w:lvlJc w:val="left"/>
      <w:pPr>
        <w:tabs>
          <w:tab w:val="num" w:pos="4320"/>
        </w:tabs>
        <w:ind w:left="4320" w:hanging="360"/>
      </w:pPr>
      <w:rPr>
        <w:rFonts w:ascii="Arial" w:hAnsi="Arial" w:hint="default"/>
      </w:rPr>
    </w:lvl>
    <w:lvl w:ilvl="6" w:tplc="7780E424" w:tentative="1">
      <w:start w:val="1"/>
      <w:numFmt w:val="bullet"/>
      <w:lvlText w:val="•"/>
      <w:lvlJc w:val="left"/>
      <w:pPr>
        <w:tabs>
          <w:tab w:val="num" w:pos="5040"/>
        </w:tabs>
        <w:ind w:left="5040" w:hanging="360"/>
      </w:pPr>
      <w:rPr>
        <w:rFonts w:ascii="Arial" w:hAnsi="Arial" w:hint="default"/>
      </w:rPr>
    </w:lvl>
    <w:lvl w:ilvl="7" w:tplc="D23A7298" w:tentative="1">
      <w:start w:val="1"/>
      <w:numFmt w:val="bullet"/>
      <w:lvlText w:val="•"/>
      <w:lvlJc w:val="left"/>
      <w:pPr>
        <w:tabs>
          <w:tab w:val="num" w:pos="5760"/>
        </w:tabs>
        <w:ind w:left="5760" w:hanging="360"/>
      </w:pPr>
      <w:rPr>
        <w:rFonts w:ascii="Arial" w:hAnsi="Arial" w:hint="default"/>
      </w:rPr>
    </w:lvl>
    <w:lvl w:ilvl="8" w:tplc="9EC4520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FC55F5"/>
    <w:multiLevelType w:val="hybridMultilevel"/>
    <w:tmpl w:val="C382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7450001"/>
    <w:multiLevelType w:val="multilevel"/>
    <w:tmpl w:val="921CDE0A"/>
    <w:lvl w:ilvl="0">
      <w:start w:val="668"/>
      <w:numFmt w:val="bullet"/>
      <w:lvlText w:val="−"/>
      <w:lvlJc w:val="left"/>
      <w:pPr>
        <w:ind w:left="568" w:hanging="284"/>
      </w:pPr>
      <w:rPr>
        <w:rFonts w:ascii="Arial" w:hAnsi="Arial" w:hint="default"/>
      </w:rPr>
    </w:lvl>
    <w:lvl w:ilvl="1">
      <w:start w:val="1"/>
      <w:numFmt w:val="bullet"/>
      <w:lvlText w:val="–"/>
      <w:lvlJc w:val="left"/>
      <w:pPr>
        <w:ind w:left="852" w:hanging="284"/>
      </w:pPr>
      <w:rPr>
        <w:rFonts w:ascii="Arial" w:hAnsi="Arial" w:hint="default"/>
      </w:rPr>
    </w:lvl>
    <w:lvl w:ilvl="2">
      <w:start w:val="1"/>
      <w:numFmt w:val="bullet"/>
      <w:lvlText w:val=""/>
      <w:lvlJc w:val="left"/>
      <w:pPr>
        <w:ind w:left="1136" w:hanging="284"/>
      </w:pPr>
      <w:rPr>
        <w:rFonts w:ascii="Symbol" w:hAnsi="Symbo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35" w15:restartNumberingAfterBreak="0">
    <w:nsid w:val="6CFF3731"/>
    <w:multiLevelType w:val="multilevel"/>
    <w:tmpl w:val="7500EB92"/>
    <w:numStyleLink w:val="Number"/>
  </w:abstractNum>
  <w:abstractNum w:abstractNumId="36" w15:restartNumberingAfterBreak="0">
    <w:nsid w:val="6D755F54"/>
    <w:multiLevelType w:val="multilevel"/>
    <w:tmpl w:val="31BAF5DA"/>
    <w:lvl w:ilvl="0">
      <w:start w:val="1"/>
      <w:numFmt w:val="bullet"/>
      <w:lvlText w:val=""/>
      <w:lvlJc w:val="left"/>
      <w:pPr>
        <w:ind w:left="720" w:hanging="360"/>
      </w:pPr>
      <w:rPr>
        <w:rFonts w:ascii="Symbol" w:hAnsi="Symbol"/>
        <w:color w:val="00000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1FF1F5F"/>
    <w:multiLevelType w:val="hybridMultilevel"/>
    <w:tmpl w:val="91F26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8B5D42"/>
    <w:multiLevelType w:val="hybridMultilevel"/>
    <w:tmpl w:val="144286B0"/>
    <w:lvl w:ilvl="0" w:tplc="981C0002">
      <w:start w:val="1"/>
      <w:numFmt w:val="bullet"/>
      <w:pStyle w:val="Boxdash"/>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FD44514"/>
    <w:multiLevelType w:val="multilevel"/>
    <w:tmpl w:val="C2B66F9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4"/>
  </w:num>
  <w:num w:numId="2">
    <w:abstractNumId w:val="26"/>
    <w:lvlOverride w:ilvl="0">
      <w:lvl w:ilvl="0">
        <w:start w:val="1"/>
        <w:numFmt w:val="bullet"/>
        <w:pStyle w:val="Tabletextbullet"/>
        <w:lvlText w:val=""/>
        <w:lvlJc w:val="left"/>
        <w:pPr>
          <w:ind w:left="284" w:hanging="284"/>
        </w:pPr>
        <w:rPr>
          <w:rFonts w:ascii="Symbol" w:hAnsi="Symbol" w:hint="default"/>
          <w:color w:val="auto"/>
        </w:rPr>
      </w:lvl>
    </w:lvlOverride>
    <w:lvlOverride w:ilvl="1">
      <w:lvl w:ilvl="1">
        <w:start w:val="1"/>
        <w:numFmt w:val="bullet"/>
        <w:lvlText w:val="–"/>
        <w:lvlJc w:val="left"/>
        <w:pPr>
          <w:ind w:left="568" w:hanging="284"/>
        </w:pPr>
        <w:rPr>
          <w:rFonts w:ascii="Arial" w:hAnsi="Arial" w:hint="default"/>
        </w:rPr>
      </w:lvl>
    </w:lvlOverride>
    <w:lvlOverride w:ilvl="2">
      <w:lvl w:ilvl="2">
        <w:start w:val="1"/>
        <w:numFmt w:val="bullet"/>
        <w:lvlText w:val=""/>
        <w:lvlJc w:val="left"/>
        <w:pPr>
          <w:ind w:left="852" w:hanging="284"/>
        </w:pPr>
        <w:rPr>
          <w:rFonts w:ascii="Symbol" w:hAnsi="Symbol"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
    <w:abstractNumId w:val="32"/>
  </w:num>
  <w:num w:numId="4">
    <w:abstractNumId w:val="35"/>
    <w:lvlOverride w:ilvl="0">
      <w:startOverride w:val="1"/>
      <w:lvl w:ilvl="0">
        <w:start w:val="1"/>
        <w:numFmt w:val="decimal"/>
        <w:lvlText w:val="%1."/>
        <w:lvlJc w:val="left"/>
        <w:pPr>
          <w:ind w:left="284" w:hanging="284"/>
        </w:pPr>
        <w:rPr>
          <w:rFonts w:hint="default"/>
        </w:rPr>
      </w:lvl>
    </w:lvlOverride>
    <w:lvlOverride w:ilvl="1">
      <w:startOverride w:val="1"/>
      <w:lvl w:ilvl="1">
        <w:start w:val="1"/>
        <w:numFmt w:val="lowerLetter"/>
        <w:lvlText w:val="%2."/>
        <w:lvlJc w:val="left"/>
        <w:pPr>
          <w:ind w:left="568" w:hanging="284"/>
        </w:pPr>
        <w:rPr>
          <w:rFonts w:hint="default"/>
        </w:rPr>
      </w:lvl>
    </w:lvlOverride>
    <w:lvlOverride w:ilvl="2">
      <w:startOverride w:val="1"/>
      <w:lvl w:ilvl="2">
        <w:start w:val="1"/>
        <w:numFmt w:val="lowerRoman"/>
        <w:lvlText w:val="%3."/>
        <w:lvlJc w:val="left"/>
        <w:pPr>
          <w:ind w:left="852" w:hanging="284"/>
        </w:pPr>
        <w:rPr>
          <w:rFonts w:hint="default"/>
        </w:rPr>
      </w:lvl>
    </w:lvlOverride>
    <w:lvlOverride w:ilvl="3">
      <w:startOverride w:val="1"/>
      <w:lvl w:ilvl="3">
        <w:start w:val="1"/>
        <w:numFmt w:val="decimal"/>
        <w:pStyle w:val="ListNumber4"/>
        <w:lvlText w:val="%4."/>
        <w:lvlJc w:val="left"/>
        <w:pPr>
          <w:ind w:left="1136" w:hanging="284"/>
        </w:pPr>
        <w:rPr>
          <w:rFonts w:hint="default"/>
        </w:rPr>
      </w:lvl>
    </w:lvlOverride>
    <w:lvlOverride w:ilvl="4">
      <w:startOverride w:val="1"/>
      <w:lvl w:ilvl="4">
        <w:start w:val="1"/>
        <w:numFmt w:val="lowerLetter"/>
        <w:pStyle w:val="ListNumber5"/>
        <w:lvlText w:val="%5."/>
        <w:lvlJc w:val="left"/>
        <w:pPr>
          <w:ind w:left="1420" w:hanging="284"/>
        </w:pPr>
        <w:rPr>
          <w:rFonts w:hint="default"/>
        </w:rPr>
      </w:lvl>
    </w:lvlOverride>
    <w:lvlOverride w:ilvl="5">
      <w:startOverride w:val="1"/>
      <w:lvl w:ilvl="5">
        <w:start w:val="1"/>
        <w:numFmt w:val="lowerRoman"/>
        <w:lvlText w:val="%6."/>
        <w:lvlJc w:val="righ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right"/>
        <w:pPr>
          <w:ind w:left="2556" w:hanging="284"/>
        </w:pPr>
        <w:rPr>
          <w:rFonts w:hint="default"/>
        </w:rPr>
      </w:lvl>
    </w:lvlOverride>
  </w:num>
  <w:num w:numId="5">
    <w:abstractNumId w:val="12"/>
  </w:num>
  <w:num w:numId="6">
    <w:abstractNumId w:val="19"/>
  </w:num>
  <w:num w:numId="7">
    <w:abstractNumId w:val="7"/>
  </w:num>
  <w:num w:numId="8">
    <w:abstractNumId w:val="31"/>
  </w:num>
  <w:num w:numId="9">
    <w:abstractNumId w:val="27"/>
  </w:num>
  <w:num w:numId="10">
    <w:abstractNumId w:val="16"/>
  </w:num>
  <w:num w:numId="11">
    <w:abstractNumId w:val="34"/>
  </w:num>
  <w:num w:numId="12">
    <w:abstractNumId w:val="37"/>
  </w:num>
  <w:num w:numId="13">
    <w:abstractNumId w:val="8"/>
  </w:num>
  <w:num w:numId="14">
    <w:abstractNumId w:val="14"/>
  </w:num>
  <w:num w:numId="15">
    <w:abstractNumId w:val="6"/>
  </w:num>
  <w:num w:numId="16">
    <w:abstractNumId w:val="33"/>
  </w:num>
  <w:num w:numId="17">
    <w:abstractNumId w:val="17"/>
  </w:num>
  <w:num w:numId="18">
    <w:abstractNumId w:val="21"/>
  </w:num>
  <w:num w:numId="19">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0"/>
  </w:num>
  <w:num w:numId="22">
    <w:abstractNumId w:val="2"/>
  </w:num>
  <w:num w:numId="23">
    <w:abstractNumId w:val="1"/>
  </w:num>
  <w:num w:numId="24">
    <w:abstractNumId w:val="24"/>
  </w:num>
  <w:num w:numId="25">
    <w:abstractNumId w:val="38"/>
  </w:num>
  <w:num w:numId="26">
    <w:abstractNumId w:val="40"/>
  </w:num>
  <w:num w:numId="27">
    <w:abstractNumId w:val="23"/>
  </w:num>
  <w:num w:numId="28">
    <w:abstractNumId w:val="25"/>
  </w:num>
  <w:num w:numId="29">
    <w:abstractNumId w:val="13"/>
  </w:num>
  <w:num w:numId="30">
    <w:abstractNumId w:val="3"/>
  </w:num>
  <w:num w:numId="31">
    <w:abstractNumId w:val="36"/>
  </w:num>
  <w:num w:numId="32">
    <w:abstractNumId w:val="28"/>
  </w:num>
  <w:num w:numId="33">
    <w:abstractNumId w:val="21"/>
  </w:num>
  <w:num w:numId="34">
    <w:abstractNumId w:val="21"/>
  </w:num>
  <w:num w:numId="35">
    <w:abstractNumId w:val="21"/>
  </w:num>
  <w:num w:numId="36">
    <w:abstractNumId w:val="13"/>
  </w:num>
  <w:num w:numId="37">
    <w:abstractNumId w:val="22"/>
  </w:num>
  <w:num w:numId="38">
    <w:abstractNumId w:val="0"/>
  </w:num>
  <w:num w:numId="39">
    <w:abstractNumId w:val="30"/>
  </w:num>
  <w:num w:numId="40">
    <w:abstractNumId w:val="11"/>
  </w:num>
  <w:num w:numId="41">
    <w:abstractNumId w:val="29"/>
  </w:num>
  <w:num w:numId="42">
    <w:abstractNumId w:val="39"/>
  </w:num>
  <w:num w:numId="43">
    <w:abstractNumId w:val="20"/>
  </w:num>
  <w:num w:numId="44">
    <w:abstractNumId w:val="21"/>
  </w:num>
  <w:num w:numId="45">
    <w:abstractNumId w:val="9"/>
  </w:num>
  <w:num w:numId="46">
    <w:abstractNumId w:val="13"/>
  </w:num>
  <w:num w:numId="47">
    <w:abstractNumId w:val="13"/>
  </w:num>
  <w:num w:numId="48">
    <w:abstractNumId w:val="18"/>
  </w:num>
  <w:num w:numId="49">
    <w:abstractNumId w:val="40"/>
  </w:num>
  <w:num w:numId="50">
    <w:abstractNumId w:val="40"/>
  </w:num>
  <w:num w:numId="51">
    <w:abstractNumId w:val="40"/>
  </w:num>
  <w:num w:numId="52">
    <w:abstractNumId w:val="40"/>
  </w:num>
  <w:num w:numId="53">
    <w:abstractNumId w:val="40"/>
  </w:num>
  <w:num w:numId="54">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9DD"/>
    <w:rsid w:val="0000004A"/>
    <w:rsid w:val="000008A1"/>
    <w:rsid w:val="00001559"/>
    <w:rsid w:val="00001A3C"/>
    <w:rsid w:val="0000201B"/>
    <w:rsid w:val="00002C76"/>
    <w:rsid w:val="00003CEF"/>
    <w:rsid w:val="0000555E"/>
    <w:rsid w:val="000057B7"/>
    <w:rsid w:val="000068BC"/>
    <w:rsid w:val="00007561"/>
    <w:rsid w:val="00007717"/>
    <w:rsid w:val="00010BD0"/>
    <w:rsid w:val="00012238"/>
    <w:rsid w:val="00014D00"/>
    <w:rsid w:val="000160ED"/>
    <w:rsid w:val="00017584"/>
    <w:rsid w:val="00017A20"/>
    <w:rsid w:val="00017EF2"/>
    <w:rsid w:val="00020646"/>
    <w:rsid w:val="000214C9"/>
    <w:rsid w:val="0002248A"/>
    <w:rsid w:val="00022DC2"/>
    <w:rsid w:val="000245EB"/>
    <w:rsid w:val="000247D0"/>
    <w:rsid w:val="0002490A"/>
    <w:rsid w:val="000253F3"/>
    <w:rsid w:val="000256AE"/>
    <w:rsid w:val="00027074"/>
    <w:rsid w:val="0003103D"/>
    <w:rsid w:val="00032160"/>
    <w:rsid w:val="00032563"/>
    <w:rsid w:val="0003365F"/>
    <w:rsid w:val="00033A6F"/>
    <w:rsid w:val="00034452"/>
    <w:rsid w:val="00035CA9"/>
    <w:rsid w:val="000367C3"/>
    <w:rsid w:val="00037470"/>
    <w:rsid w:val="00037515"/>
    <w:rsid w:val="0004036E"/>
    <w:rsid w:val="00042ABE"/>
    <w:rsid w:val="00043376"/>
    <w:rsid w:val="00043CC9"/>
    <w:rsid w:val="00044673"/>
    <w:rsid w:val="0004496E"/>
    <w:rsid w:val="00044D5D"/>
    <w:rsid w:val="00045171"/>
    <w:rsid w:val="0004543A"/>
    <w:rsid w:val="0004650F"/>
    <w:rsid w:val="00046969"/>
    <w:rsid w:val="00047657"/>
    <w:rsid w:val="00047C7D"/>
    <w:rsid w:val="00050878"/>
    <w:rsid w:val="000517E3"/>
    <w:rsid w:val="00054408"/>
    <w:rsid w:val="0005492C"/>
    <w:rsid w:val="000551EC"/>
    <w:rsid w:val="00055A63"/>
    <w:rsid w:val="00056736"/>
    <w:rsid w:val="00056C2F"/>
    <w:rsid w:val="00056DB1"/>
    <w:rsid w:val="00056E7C"/>
    <w:rsid w:val="00057E5A"/>
    <w:rsid w:val="00057ECD"/>
    <w:rsid w:val="00057EFB"/>
    <w:rsid w:val="00060CD1"/>
    <w:rsid w:val="00061990"/>
    <w:rsid w:val="000622EC"/>
    <w:rsid w:val="00062F19"/>
    <w:rsid w:val="000644A4"/>
    <w:rsid w:val="00064F49"/>
    <w:rsid w:val="00065847"/>
    <w:rsid w:val="00066E93"/>
    <w:rsid w:val="00067F6C"/>
    <w:rsid w:val="000705F5"/>
    <w:rsid w:val="00072236"/>
    <w:rsid w:val="00072E3E"/>
    <w:rsid w:val="00073219"/>
    <w:rsid w:val="00073EFA"/>
    <w:rsid w:val="000747F5"/>
    <w:rsid w:val="00074EED"/>
    <w:rsid w:val="00074F12"/>
    <w:rsid w:val="00075CAF"/>
    <w:rsid w:val="000762CE"/>
    <w:rsid w:val="00077AF0"/>
    <w:rsid w:val="00077C19"/>
    <w:rsid w:val="000805A1"/>
    <w:rsid w:val="000819C4"/>
    <w:rsid w:val="00082872"/>
    <w:rsid w:val="00082D1F"/>
    <w:rsid w:val="0008304C"/>
    <w:rsid w:val="00083B58"/>
    <w:rsid w:val="00085330"/>
    <w:rsid w:val="0008556E"/>
    <w:rsid w:val="00085B47"/>
    <w:rsid w:val="00085D12"/>
    <w:rsid w:val="0009065D"/>
    <w:rsid w:val="0009147C"/>
    <w:rsid w:val="000915C9"/>
    <w:rsid w:val="00091942"/>
    <w:rsid w:val="00091E62"/>
    <w:rsid w:val="0009201D"/>
    <w:rsid w:val="000944D6"/>
    <w:rsid w:val="00094E7C"/>
    <w:rsid w:val="000958AB"/>
    <w:rsid w:val="00096A53"/>
    <w:rsid w:val="00096D6E"/>
    <w:rsid w:val="00096DBE"/>
    <w:rsid w:val="00097000"/>
    <w:rsid w:val="0009760A"/>
    <w:rsid w:val="000A03F9"/>
    <w:rsid w:val="000A07AD"/>
    <w:rsid w:val="000A2CDF"/>
    <w:rsid w:val="000A6230"/>
    <w:rsid w:val="000A6E6C"/>
    <w:rsid w:val="000B0C92"/>
    <w:rsid w:val="000B15A3"/>
    <w:rsid w:val="000B1734"/>
    <w:rsid w:val="000B4CE4"/>
    <w:rsid w:val="000B4D96"/>
    <w:rsid w:val="000B72FD"/>
    <w:rsid w:val="000B77A1"/>
    <w:rsid w:val="000B7EF4"/>
    <w:rsid w:val="000C021C"/>
    <w:rsid w:val="000C15B0"/>
    <w:rsid w:val="000C1B0B"/>
    <w:rsid w:val="000C208A"/>
    <w:rsid w:val="000C2A30"/>
    <w:rsid w:val="000C2A91"/>
    <w:rsid w:val="000C2DD7"/>
    <w:rsid w:val="000C350F"/>
    <w:rsid w:val="000C38F7"/>
    <w:rsid w:val="000C3C79"/>
    <w:rsid w:val="000C43CD"/>
    <w:rsid w:val="000C481A"/>
    <w:rsid w:val="000C4D78"/>
    <w:rsid w:val="000C68FD"/>
    <w:rsid w:val="000C6A23"/>
    <w:rsid w:val="000C725A"/>
    <w:rsid w:val="000C75C3"/>
    <w:rsid w:val="000D0ECF"/>
    <w:rsid w:val="000D2485"/>
    <w:rsid w:val="000D2D00"/>
    <w:rsid w:val="000D2F65"/>
    <w:rsid w:val="000D53D5"/>
    <w:rsid w:val="000D5949"/>
    <w:rsid w:val="000D672F"/>
    <w:rsid w:val="000E037E"/>
    <w:rsid w:val="000E04E7"/>
    <w:rsid w:val="000E1366"/>
    <w:rsid w:val="000E1957"/>
    <w:rsid w:val="000E1A6C"/>
    <w:rsid w:val="000E1CEF"/>
    <w:rsid w:val="000E2126"/>
    <w:rsid w:val="000E28B3"/>
    <w:rsid w:val="000E34CC"/>
    <w:rsid w:val="000E3510"/>
    <w:rsid w:val="000E439D"/>
    <w:rsid w:val="000E5C5F"/>
    <w:rsid w:val="000F0453"/>
    <w:rsid w:val="000F05BA"/>
    <w:rsid w:val="000F140B"/>
    <w:rsid w:val="000F34B0"/>
    <w:rsid w:val="000F3929"/>
    <w:rsid w:val="000F3A54"/>
    <w:rsid w:val="000F4563"/>
    <w:rsid w:val="000F47A9"/>
    <w:rsid w:val="000F4FE1"/>
    <w:rsid w:val="000F5BCA"/>
    <w:rsid w:val="000F6C51"/>
    <w:rsid w:val="000F7934"/>
    <w:rsid w:val="000F7C8B"/>
    <w:rsid w:val="000F7EA7"/>
    <w:rsid w:val="001006F8"/>
    <w:rsid w:val="001007FE"/>
    <w:rsid w:val="00100821"/>
    <w:rsid w:val="00101E14"/>
    <w:rsid w:val="00103C55"/>
    <w:rsid w:val="00103DE5"/>
    <w:rsid w:val="00104E20"/>
    <w:rsid w:val="00104EB8"/>
    <w:rsid w:val="00104F1A"/>
    <w:rsid w:val="00105427"/>
    <w:rsid w:val="0010622C"/>
    <w:rsid w:val="001077B2"/>
    <w:rsid w:val="00110D6F"/>
    <w:rsid w:val="00111D3E"/>
    <w:rsid w:val="0011271C"/>
    <w:rsid w:val="00113667"/>
    <w:rsid w:val="00113727"/>
    <w:rsid w:val="0011478B"/>
    <w:rsid w:val="00117084"/>
    <w:rsid w:val="001206F4"/>
    <w:rsid w:val="00120B97"/>
    <w:rsid w:val="001210A5"/>
    <w:rsid w:val="001212DB"/>
    <w:rsid w:val="001213D6"/>
    <w:rsid w:val="00122367"/>
    <w:rsid w:val="00124200"/>
    <w:rsid w:val="00124F13"/>
    <w:rsid w:val="00126278"/>
    <w:rsid w:val="001264B8"/>
    <w:rsid w:val="001266A7"/>
    <w:rsid w:val="00126E61"/>
    <w:rsid w:val="00127266"/>
    <w:rsid w:val="00127373"/>
    <w:rsid w:val="00127F6D"/>
    <w:rsid w:val="00132069"/>
    <w:rsid w:val="001329E0"/>
    <w:rsid w:val="00133F28"/>
    <w:rsid w:val="0013521D"/>
    <w:rsid w:val="00135A11"/>
    <w:rsid w:val="00136B2B"/>
    <w:rsid w:val="00140AF9"/>
    <w:rsid w:val="00140FBA"/>
    <w:rsid w:val="00141C6C"/>
    <w:rsid w:val="00143C08"/>
    <w:rsid w:val="00144CC7"/>
    <w:rsid w:val="001450DE"/>
    <w:rsid w:val="00146895"/>
    <w:rsid w:val="00146F40"/>
    <w:rsid w:val="00150302"/>
    <w:rsid w:val="0015038D"/>
    <w:rsid w:val="001506B1"/>
    <w:rsid w:val="00151399"/>
    <w:rsid w:val="00153C3B"/>
    <w:rsid w:val="00154699"/>
    <w:rsid w:val="00154868"/>
    <w:rsid w:val="00155F3E"/>
    <w:rsid w:val="001562E3"/>
    <w:rsid w:val="00156A1F"/>
    <w:rsid w:val="00157482"/>
    <w:rsid w:val="0015784B"/>
    <w:rsid w:val="00157C66"/>
    <w:rsid w:val="00157D89"/>
    <w:rsid w:val="00160DB5"/>
    <w:rsid w:val="00161FA7"/>
    <w:rsid w:val="001623DC"/>
    <w:rsid w:val="0016322A"/>
    <w:rsid w:val="001635C7"/>
    <w:rsid w:val="00164680"/>
    <w:rsid w:val="00164A14"/>
    <w:rsid w:val="00165540"/>
    <w:rsid w:val="00166390"/>
    <w:rsid w:val="00166699"/>
    <w:rsid w:val="001675E6"/>
    <w:rsid w:val="001708E2"/>
    <w:rsid w:val="001717BC"/>
    <w:rsid w:val="00174474"/>
    <w:rsid w:val="00175C77"/>
    <w:rsid w:val="00175CA3"/>
    <w:rsid w:val="001762BF"/>
    <w:rsid w:val="001765F0"/>
    <w:rsid w:val="00176A04"/>
    <w:rsid w:val="0017786B"/>
    <w:rsid w:val="00177B15"/>
    <w:rsid w:val="00177C2B"/>
    <w:rsid w:val="001807D4"/>
    <w:rsid w:val="001808F7"/>
    <w:rsid w:val="001814F6"/>
    <w:rsid w:val="00181667"/>
    <w:rsid w:val="001820AE"/>
    <w:rsid w:val="0018421A"/>
    <w:rsid w:val="001845E1"/>
    <w:rsid w:val="001846C7"/>
    <w:rsid w:val="00184EA7"/>
    <w:rsid w:val="00185B60"/>
    <w:rsid w:val="00186D47"/>
    <w:rsid w:val="00190582"/>
    <w:rsid w:val="00190C73"/>
    <w:rsid w:val="00191820"/>
    <w:rsid w:val="001925BB"/>
    <w:rsid w:val="00192741"/>
    <w:rsid w:val="00193D6D"/>
    <w:rsid w:val="001954CE"/>
    <w:rsid w:val="0019699A"/>
    <w:rsid w:val="00197CEF"/>
    <w:rsid w:val="00197FCC"/>
    <w:rsid w:val="001A05AE"/>
    <w:rsid w:val="001A0C3C"/>
    <w:rsid w:val="001A1689"/>
    <w:rsid w:val="001A1987"/>
    <w:rsid w:val="001A393F"/>
    <w:rsid w:val="001A4009"/>
    <w:rsid w:val="001A4A1D"/>
    <w:rsid w:val="001A5132"/>
    <w:rsid w:val="001A545D"/>
    <w:rsid w:val="001A54EB"/>
    <w:rsid w:val="001A57AC"/>
    <w:rsid w:val="001B04ED"/>
    <w:rsid w:val="001B21BD"/>
    <w:rsid w:val="001B2DBC"/>
    <w:rsid w:val="001B3B72"/>
    <w:rsid w:val="001B47E6"/>
    <w:rsid w:val="001B5ADB"/>
    <w:rsid w:val="001B647F"/>
    <w:rsid w:val="001B7307"/>
    <w:rsid w:val="001B73C8"/>
    <w:rsid w:val="001C0321"/>
    <w:rsid w:val="001C100C"/>
    <w:rsid w:val="001C149C"/>
    <w:rsid w:val="001C35F2"/>
    <w:rsid w:val="001C4FBE"/>
    <w:rsid w:val="001C53FE"/>
    <w:rsid w:val="001C6439"/>
    <w:rsid w:val="001C674F"/>
    <w:rsid w:val="001D0834"/>
    <w:rsid w:val="001D113B"/>
    <w:rsid w:val="001D1173"/>
    <w:rsid w:val="001D352D"/>
    <w:rsid w:val="001D486A"/>
    <w:rsid w:val="001D744C"/>
    <w:rsid w:val="001D7A51"/>
    <w:rsid w:val="001D7CEC"/>
    <w:rsid w:val="001E07E3"/>
    <w:rsid w:val="001E0BCD"/>
    <w:rsid w:val="001E12C0"/>
    <w:rsid w:val="001E1C68"/>
    <w:rsid w:val="001E1F86"/>
    <w:rsid w:val="001E2197"/>
    <w:rsid w:val="001E697F"/>
    <w:rsid w:val="001E6D17"/>
    <w:rsid w:val="001E6E6F"/>
    <w:rsid w:val="001F0DF3"/>
    <w:rsid w:val="001F1059"/>
    <w:rsid w:val="001F2159"/>
    <w:rsid w:val="001F2493"/>
    <w:rsid w:val="001F4F51"/>
    <w:rsid w:val="001F661B"/>
    <w:rsid w:val="001F6CB7"/>
    <w:rsid w:val="001F6F54"/>
    <w:rsid w:val="001F76CC"/>
    <w:rsid w:val="00201895"/>
    <w:rsid w:val="00204119"/>
    <w:rsid w:val="002042E4"/>
    <w:rsid w:val="002044BE"/>
    <w:rsid w:val="00205260"/>
    <w:rsid w:val="002058CE"/>
    <w:rsid w:val="002065D0"/>
    <w:rsid w:val="002069DC"/>
    <w:rsid w:val="0020738E"/>
    <w:rsid w:val="00210496"/>
    <w:rsid w:val="0021067E"/>
    <w:rsid w:val="00211FBA"/>
    <w:rsid w:val="00212222"/>
    <w:rsid w:val="00212276"/>
    <w:rsid w:val="002147A3"/>
    <w:rsid w:val="00214AB1"/>
    <w:rsid w:val="002150FF"/>
    <w:rsid w:val="00215AB4"/>
    <w:rsid w:val="00216CFF"/>
    <w:rsid w:val="002173F9"/>
    <w:rsid w:val="002174D9"/>
    <w:rsid w:val="00217579"/>
    <w:rsid w:val="0021796A"/>
    <w:rsid w:val="00217E3D"/>
    <w:rsid w:val="00217FD6"/>
    <w:rsid w:val="00220042"/>
    <w:rsid w:val="002208EA"/>
    <w:rsid w:val="00220E35"/>
    <w:rsid w:val="002223B9"/>
    <w:rsid w:val="00222883"/>
    <w:rsid w:val="002237A0"/>
    <w:rsid w:val="0022491B"/>
    <w:rsid w:val="00227061"/>
    <w:rsid w:val="00232674"/>
    <w:rsid w:val="00233A7D"/>
    <w:rsid w:val="00236311"/>
    <w:rsid w:val="00236D88"/>
    <w:rsid w:val="00237563"/>
    <w:rsid w:val="00241BC9"/>
    <w:rsid w:val="00242ABE"/>
    <w:rsid w:val="00242D60"/>
    <w:rsid w:val="00243A26"/>
    <w:rsid w:val="002447AE"/>
    <w:rsid w:val="00244C7D"/>
    <w:rsid w:val="00246F38"/>
    <w:rsid w:val="00247670"/>
    <w:rsid w:val="00247CE5"/>
    <w:rsid w:val="00251802"/>
    <w:rsid w:val="002534C3"/>
    <w:rsid w:val="00253619"/>
    <w:rsid w:val="0025424C"/>
    <w:rsid w:val="00255348"/>
    <w:rsid w:val="00255A9A"/>
    <w:rsid w:val="00256402"/>
    <w:rsid w:val="0025669F"/>
    <w:rsid w:val="00257864"/>
    <w:rsid w:val="00257E89"/>
    <w:rsid w:val="00257F96"/>
    <w:rsid w:val="0026029A"/>
    <w:rsid w:val="00260539"/>
    <w:rsid w:val="00260DE7"/>
    <w:rsid w:val="00261240"/>
    <w:rsid w:val="0026305F"/>
    <w:rsid w:val="002644A7"/>
    <w:rsid w:val="00264CB4"/>
    <w:rsid w:val="0026753F"/>
    <w:rsid w:val="0026779E"/>
    <w:rsid w:val="00270527"/>
    <w:rsid w:val="002710A0"/>
    <w:rsid w:val="00271E79"/>
    <w:rsid w:val="00272B3E"/>
    <w:rsid w:val="00276B8D"/>
    <w:rsid w:val="002771EE"/>
    <w:rsid w:val="002772E7"/>
    <w:rsid w:val="0028092E"/>
    <w:rsid w:val="00281489"/>
    <w:rsid w:val="002838E8"/>
    <w:rsid w:val="002846BB"/>
    <w:rsid w:val="0028499D"/>
    <w:rsid w:val="002855AF"/>
    <w:rsid w:val="00285693"/>
    <w:rsid w:val="002856ED"/>
    <w:rsid w:val="002872D0"/>
    <w:rsid w:val="00287D9C"/>
    <w:rsid w:val="002903DF"/>
    <w:rsid w:val="00290620"/>
    <w:rsid w:val="002926FE"/>
    <w:rsid w:val="00293688"/>
    <w:rsid w:val="00294556"/>
    <w:rsid w:val="00295836"/>
    <w:rsid w:val="00295E0F"/>
    <w:rsid w:val="00295E89"/>
    <w:rsid w:val="00295E8F"/>
    <w:rsid w:val="00296510"/>
    <w:rsid w:val="0029659E"/>
    <w:rsid w:val="00296CF7"/>
    <w:rsid w:val="002A0391"/>
    <w:rsid w:val="002A1B70"/>
    <w:rsid w:val="002A3F4C"/>
    <w:rsid w:val="002A57BB"/>
    <w:rsid w:val="002B1293"/>
    <w:rsid w:val="002B2602"/>
    <w:rsid w:val="002B275D"/>
    <w:rsid w:val="002B2C3F"/>
    <w:rsid w:val="002B3B71"/>
    <w:rsid w:val="002B3CF4"/>
    <w:rsid w:val="002B3E8C"/>
    <w:rsid w:val="002B526C"/>
    <w:rsid w:val="002B5523"/>
    <w:rsid w:val="002B56A9"/>
    <w:rsid w:val="002B671B"/>
    <w:rsid w:val="002B7DE4"/>
    <w:rsid w:val="002C0545"/>
    <w:rsid w:val="002C1DDD"/>
    <w:rsid w:val="002C3386"/>
    <w:rsid w:val="002C3B94"/>
    <w:rsid w:val="002C3D9D"/>
    <w:rsid w:val="002C3F78"/>
    <w:rsid w:val="002C433D"/>
    <w:rsid w:val="002C52E9"/>
    <w:rsid w:val="002C5BE1"/>
    <w:rsid w:val="002C5FEA"/>
    <w:rsid w:val="002C6B9C"/>
    <w:rsid w:val="002C6EA8"/>
    <w:rsid w:val="002D040C"/>
    <w:rsid w:val="002D19C3"/>
    <w:rsid w:val="002D38AA"/>
    <w:rsid w:val="002D47C9"/>
    <w:rsid w:val="002D5366"/>
    <w:rsid w:val="002D6C68"/>
    <w:rsid w:val="002D79D6"/>
    <w:rsid w:val="002E06C0"/>
    <w:rsid w:val="002E1812"/>
    <w:rsid w:val="002E1C3D"/>
    <w:rsid w:val="002E2260"/>
    <w:rsid w:val="002E4EC7"/>
    <w:rsid w:val="002E621C"/>
    <w:rsid w:val="002E628D"/>
    <w:rsid w:val="002E6CA8"/>
    <w:rsid w:val="002E6FF1"/>
    <w:rsid w:val="002F2B06"/>
    <w:rsid w:val="002F3D3E"/>
    <w:rsid w:val="002F3F05"/>
    <w:rsid w:val="002F42FA"/>
    <w:rsid w:val="002F4D1A"/>
    <w:rsid w:val="002F4F6F"/>
    <w:rsid w:val="002F572C"/>
    <w:rsid w:val="002F60FB"/>
    <w:rsid w:val="002F7BBC"/>
    <w:rsid w:val="00301106"/>
    <w:rsid w:val="00303764"/>
    <w:rsid w:val="00306EAE"/>
    <w:rsid w:val="00310CCB"/>
    <w:rsid w:val="003113EB"/>
    <w:rsid w:val="0031261F"/>
    <w:rsid w:val="00314FD6"/>
    <w:rsid w:val="00315E9A"/>
    <w:rsid w:val="00316CF0"/>
    <w:rsid w:val="003207EE"/>
    <w:rsid w:val="00321D35"/>
    <w:rsid w:val="003234C2"/>
    <w:rsid w:val="00324D8F"/>
    <w:rsid w:val="00325758"/>
    <w:rsid w:val="0033095C"/>
    <w:rsid w:val="003311EA"/>
    <w:rsid w:val="0033122E"/>
    <w:rsid w:val="00331345"/>
    <w:rsid w:val="0033135E"/>
    <w:rsid w:val="003324D7"/>
    <w:rsid w:val="00333217"/>
    <w:rsid w:val="00333D75"/>
    <w:rsid w:val="00335CE6"/>
    <w:rsid w:val="0033621D"/>
    <w:rsid w:val="003363DC"/>
    <w:rsid w:val="0033651B"/>
    <w:rsid w:val="0033716B"/>
    <w:rsid w:val="003371B4"/>
    <w:rsid w:val="00337317"/>
    <w:rsid w:val="0034041F"/>
    <w:rsid w:val="00340BAC"/>
    <w:rsid w:val="00340C88"/>
    <w:rsid w:val="00340F58"/>
    <w:rsid w:val="0034185B"/>
    <w:rsid w:val="00341D94"/>
    <w:rsid w:val="00342D96"/>
    <w:rsid w:val="00342FFE"/>
    <w:rsid w:val="0034364D"/>
    <w:rsid w:val="00343667"/>
    <w:rsid w:val="003438EC"/>
    <w:rsid w:val="00344424"/>
    <w:rsid w:val="00344D55"/>
    <w:rsid w:val="00345C6A"/>
    <w:rsid w:val="00346403"/>
    <w:rsid w:val="00347922"/>
    <w:rsid w:val="003507BB"/>
    <w:rsid w:val="0035318E"/>
    <w:rsid w:val="00354699"/>
    <w:rsid w:val="00354E21"/>
    <w:rsid w:val="003550ED"/>
    <w:rsid w:val="00355541"/>
    <w:rsid w:val="003562AF"/>
    <w:rsid w:val="00356902"/>
    <w:rsid w:val="00357C4E"/>
    <w:rsid w:val="00357E63"/>
    <w:rsid w:val="00360393"/>
    <w:rsid w:val="00360865"/>
    <w:rsid w:val="003632C6"/>
    <w:rsid w:val="00363B60"/>
    <w:rsid w:val="00363F4F"/>
    <w:rsid w:val="00366000"/>
    <w:rsid w:val="003703D1"/>
    <w:rsid w:val="003716DB"/>
    <w:rsid w:val="00371CCC"/>
    <w:rsid w:val="00371FB1"/>
    <w:rsid w:val="00373112"/>
    <w:rsid w:val="00374050"/>
    <w:rsid w:val="003741F4"/>
    <w:rsid w:val="0037430B"/>
    <w:rsid w:val="00374DF7"/>
    <w:rsid w:val="003765C5"/>
    <w:rsid w:val="00377B81"/>
    <w:rsid w:val="003805EF"/>
    <w:rsid w:val="00380B35"/>
    <w:rsid w:val="00381085"/>
    <w:rsid w:val="003825F8"/>
    <w:rsid w:val="003831DE"/>
    <w:rsid w:val="00383E2D"/>
    <w:rsid w:val="00383F61"/>
    <w:rsid w:val="00384036"/>
    <w:rsid w:val="003849D6"/>
    <w:rsid w:val="0038765E"/>
    <w:rsid w:val="00387F7F"/>
    <w:rsid w:val="00390066"/>
    <w:rsid w:val="003907D5"/>
    <w:rsid w:val="00390A50"/>
    <w:rsid w:val="003915ED"/>
    <w:rsid w:val="003916DE"/>
    <w:rsid w:val="0039234B"/>
    <w:rsid w:val="003933D6"/>
    <w:rsid w:val="00393699"/>
    <w:rsid w:val="00394704"/>
    <w:rsid w:val="00395FF7"/>
    <w:rsid w:val="00397B16"/>
    <w:rsid w:val="00397E96"/>
    <w:rsid w:val="003A0816"/>
    <w:rsid w:val="003A1578"/>
    <w:rsid w:val="003A1BBB"/>
    <w:rsid w:val="003A2C3F"/>
    <w:rsid w:val="003A3A33"/>
    <w:rsid w:val="003A4385"/>
    <w:rsid w:val="003A5819"/>
    <w:rsid w:val="003A7588"/>
    <w:rsid w:val="003A7691"/>
    <w:rsid w:val="003A7C00"/>
    <w:rsid w:val="003B0171"/>
    <w:rsid w:val="003B1473"/>
    <w:rsid w:val="003B1C62"/>
    <w:rsid w:val="003B29DF"/>
    <w:rsid w:val="003B5EC6"/>
    <w:rsid w:val="003B6384"/>
    <w:rsid w:val="003B697A"/>
    <w:rsid w:val="003B6B69"/>
    <w:rsid w:val="003B6D3C"/>
    <w:rsid w:val="003B6FBC"/>
    <w:rsid w:val="003B7DD4"/>
    <w:rsid w:val="003C1F67"/>
    <w:rsid w:val="003C3484"/>
    <w:rsid w:val="003C5DBD"/>
    <w:rsid w:val="003C6380"/>
    <w:rsid w:val="003C7529"/>
    <w:rsid w:val="003C75BF"/>
    <w:rsid w:val="003C796A"/>
    <w:rsid w:val="003D279B"/>
    <w:rsid w:val="003D5BAB"/>
    <w:rsid w:val="003D68EE"/>
    <w:rsid w:val="003D7FD7"/>
    <w:rsid w:val="003E0089"/>
    <w:rsid w:val="003E089D"/>
    <w:rsid w:val="003E0C03"/>
    <w:rsid w:val="003E1A36"/>
    <w:rsid w:val="003E2118"/>
    <w:rsid w:val="003E345B"/>
    <w:rsid w:val="003E373C"/>
    <w:rsid w:val="003E37E9"/>
    <w:rsid w:val="003E3F08"/>
    <w:rsid w:val="003E4A47"/>
    <w:rsid w:val="003E58E4"/>
    <w:rsid w:val="003E5E54"/>
    <w:rsid w:val="003E68E6"/>
    <w:rsid w:val="003E7CD9"/>
    <w:rsid w:val="003E7FCF"/>
    <w:rsid w:val="003F0110"/>
    <w:rsid w:val="003F07C1"/>
    <w:rsid w:val="003F16C4"/>
    <w:rsid w:val="003F1BB9"/>
    <w:rsid w:val="003F2101"/>
    <w:rsid w:val="003F3EDE"/>
    <w:rsid w:val="003F4147"/>
    <w:rsid w:val="003F41BC"/>
    <w:rsid w:val="003F49D9"/>
    <w:rsid w:val="003F574E"/>
    <w:rsid w:val="003F5BDF"/>
    <w:rsid w:val="00401F03"/>
    <w:rsid w:val="00402880"/>
    <w:rsid w:val="00403881"/>
    <w:rsid w:val="00403A06"/>
    <w:rsid w:val="00404F0A"/>
    <w:rsid w:val="00407B77"/>
    <w:rsid w:val="00407F41"/>
    <w:rsid w:val="00411644"/>
    <w:rsid w:val="00413875"/>
    <w:rsid w:val="00413BEC"/>
    <w:rsid w:val="00416184"/>
    <w:rsid w:val="00416373"/>
    <w:rsid w:val="00416D78"/>
    <w:rsid w:val="0042008E"/>
    <w:rsid w:val="004200AE"/>
    <w:rsid w:val="00420860"/>
    <w:rsid w:val="0042214E"/>
    <w:rsid w:val="00423170"/>
    <w:rsid w:val="00424473"/>
    <w:rsid w:val="004245A9"/>
    <w:rsid w:val="00424959"/>
    <w:rsid w:val="0042541C"/>
    <w:rsid w:val="0042572E"/>
    <w:rsid w:val="00425EBC"/>
    <w:rsid w:val="0042663E"/>
    <w:rsid w:val="004268C5"/>
    <w:rsid w:val="00432BD8"/>
    <w:rsid w:val="0043409D"/>
    <w:rsid w:val="00434B6A"/>
    <w:rsid w:val="00434F33"/>
    <w:rsid w:val="00434F6C"/>
    <w:rsid w:val="0043546D"/>
    <w:rsid w:val="00440471"/>
    <w:rsid w:val="00440874"/>
    <w:rsid w:val="004412EA"/>
    <w:rsid w:val="004419CD"/>
    <w:rsid w:val="00441B22"/>
    <w:rsid w:val="00441FC3"/>
    <w:rsid w:val="00443EA9"/>
    <w:rsid w:val="0044486A"/>
    <w:rsid w:val="00444B46"/>
    <w:rsid w:val="0044651B"/>
    <w:rsid w:val="004470AC"/>
    <w:rsid w:val="00450141"/>
    <w:rsid w:val="004514DE"/>
    <w:rsid w:val="004528C5"/>
    <w:rsid w:val="00452F8D"/>
    <w:rsid w:val="00453C05"/>
    <w:rsid w:val="00454513"/>
    <w:rsid w:val="00454DC5"/>
    <w:rsid w:val="00457EFF"/>
    <w:rsid w:val="0046045A"/>
    <w:rsid w:val="00460D24"/>
    <w:rsid w:val="00461B3F"/>
    <w:rsid w:val="00462523"/>
    <w:rsid w:val="00463012"/>
    <w:rsid w:val="0046303D"/>
    <w:rsid w:val="00463BFF"/>
    <w:rsid w:val="004645AE"/>
    <w:rsid w:val="00464D36"/>
    <w:rsid w:val="004658AF"/>
    <w:rsid w:val="00466475"/>
    <w:rsid w:val="00466A69"/>
    <w:rsid w:val="004724D4"/>
    <w:rsid w:val="00474112"/>
    <w:rsid w:val="004744AB"/>
    <w:rsid w:val="00474C53"/>
    <w:rsid w:val="00475D53"/>
    <w:rsid w:val="004775DD"/>
    <w:rsid w:val="00477B58"/>
    <w:rsid w:val="00477DEE"/>
    <w:rsid w:val="0048043D"/>
    <w:rsid w:val="004809ED"/>
    <w:rsid w:val="0048160E"/>
    <w:rsid w:val="0048254C"/>
    <w:rsid w:val="00484A08"/>
    <w:rsid w:val="004853A5"/>
    <w:rsid w:val="0048575E"/>
    <w:rsid w:val="004858D6"/>
    <w:rsid w:val="00485948"/>
    <w:rsid w:val="0048771F"/>
    <w:rsid w:val="0049078D"/>
    <w:rsid w:val="00490E6E"/>
    <w:rsid w:val="004924BE"/>
    <w:rsid w:val="00493C2E"/>
    <w:rsid w:val="004964EC"/>
    <w:rsid w:val="00496B0F"/>
    <w:rsid w:val="00496E34"/>
    <w:rsid w:val="004A084C"/>
    <w:rsid w:val="004A3DE2"/>
    <w:rsid w:val="004A59F9"/>
    <w:rsid w:val="004A5E0E"/>
    <w:rsid w:val="004A5E46"/>
    <w:rsid w:val="004A625F"/>
    <w:rsid w:val="004B0D7F"/>
    <w:rsid w:val="004B111B"/>
    <w:rsid w:val="004B1258"/>
    <w:rsid w:val="004B1F1F"/>
    <w:rsid w:val="004B2E8B"/>
    <w:rsid w:val="004B3937"/>
    <w:rsid w:val="004B4C3E"/>
    <w:rsid w:val="004B5107"/>
    <w:rsid w:val="004B7399"/>
    <w:rsid w:val="004B7452"/>
    <w:rsid w:val="004B74B8"/>
    <w:rsid w:val="004C15F7"/>
    <w:rsid w:val="004C1665"/>
    <w:rsid w:val="004C1F0B"/>
    <w:rsid w:val="004C304E"/>
    <w:rsid w:val="004C3F29"/>
    <w:rsid w:val="004C4189"/>
    <w:rsid w:val="004C4DB6"/>
    <w:rsid w:val="004C5460"/>
    <w:rsid w:val="004C59E7"/>
    <w:rsid w:val="004C61E6"/>
    <w:rsid w:val="004C7488"/>
    <w:rsid w:val="004C7A3C"/>
    <w:rsid w:val="004D109B"/>
    <w:rsid w:val="004D4339"/>
    <w:rsid w:val="004D52E1"/>
    <w:rsid w:val="004D53F3"/>
    <w:rsid w:val="004D6771"/>
    <w:rsid w:val="004D6838"/>
    <w:rsid w:val="004D7F8C"/>
    <w:rsid w:val="004E0694"/>
    <w:rsid w:val="004E1586"/>
    <w:rsid w:val="004E178D"/>
    <w:rsid w:val="004E261D"/>
    <w:rsid w:val="004E3B37"/>
    <w:rsid w:val="004E47CB"/>
    <w:rsid w:val="004E5C31"/>
    <w:rsid w:val="004E6541"/>
    <w:rsid w:val="004E6742"/>
    <w:rsid w:val="004E7B9A"/>
    <w:rsid w:val="004F03F6"/>
    <w:rsid w:val="004F0FAF"/>
    <w:rsid w:val="004F2F5C"/>
    <w:rsid w:val="004F3EFD"/>
    <w:rsid w:val="004F3F64"/>
    <w:rsid w:val="004F40E6"/>
    <w:rsid w:val="004F5AD4"/>
    <w:rsid w:val="004F683E"/>
    <w:rsid w:val="004F6AFC"/>
    <w:rsid w:val="004F6DBA"/>
    <w:rsid w:val="004F738A"/>
    <w:rsid w:val="004F7529"/>
    <w:rsid w:val="004F755A"/>
    <w:rsid w:val="004F7F7F"/>
    <w:rsid w:val="00500C7C"/>
    <w:rsid w:val="00500DAE"/>
    <w:rsid w:val="005045C7"/>
    <w:rsid w:val="00504897"/>
    <w:rsid w:val="00505024"/>
    <w:rsid w:val="0050578C"/>
    <w:rsid w:val="00505A2F"/>
    <w:rsid w:val="0050727F"/>
    <w:rsid w:val="00507CAE"/>
    <w:rsid w:val="00511338"/>
    <w:rsid w:val="00513424"/>
    <w:rsid w:val="00515F86"/>
    <w:rsid w:val="00517AFE"/>
    <w:rsid w:val="0052094A"/>
    <w:rsid w:val="00520F73"/>
    <w:rsid w:val="00522218"/>
    <w:rsid w:val="00522688"/>
    <w:rsid w:val="005228F2"/>
    <w:rsid w:val="00523A9F"/>
    <w:rsid w:val="00523F6C"/>
    <w:rsid w:val="005243EA"/>
    <w:rsid w:val="00524CFF"/>
    <w:rsid w:val="0052545E"/>
    <w:rsid w:val="00526B9A"/>
    <w:rsid w:val="005271FE"/>
    <w:rsid w:val="0053062B"/>
    <w:rsid w:val="005307AA"/>
    <w:rsid w:val="0053103E"/>
    <w:rsid w:val="00531EF1"/>
    <w:rsid w:val="00532CA7"/>
    <w:rsid w:val="00533739"/>
    <w:rsid w:val="005337B2"/>
    <w:rsid w:val="00534734"/>
    <w:rsid w:val="00535247"/>
    <w:rsid w:val="00535BB1"/>
    <w:rsid w:val="00536ACD"/>
    <w:rsid w:val="005371EE"/>
    <w:rsid w:val="00540C54"/>
    <w:rsid w:val="00540FAF"/>
    <w:rsid w:val="00541C6D"/>
    <w:rsid w:val="0054205F"/>
    <w:rsid w:val="00542B89"/>
    <w:rsid w:val="00543B3A"/>
    <w:rsid w:val="00544993"/>
    <w:rsid w:val="00545C39"/>
    <w:rsid w:val="00545DC9"/>
    <w:rsid w:val="005505BC"/>
    <w:rsid w:val="005519CA"/>
    <w:rsid w:val="00552B9D"/>
    <w:rsid w:val="00553133"/>
    <w:rsid w:val="00554FC0"/>
    <w:rsid w:val="005563E9"/>
    <w:rsid w:val="00556B3E"/>
    <w:rsid w:val="00557592"/>
    <w:rsid w:val="005576C6"/>
    <w:rsid w:val="005605FD"/>
    <w:rsid w:val="00560D1A"/>
    <w:rsid w:val="00560E01"/>
    <w:rsid w:val="00563036"/>
    <w:rsid w:val="00563B7A"/>
    <w:rsid w:val="00564D98"/>
    <w:rsid w:val="005657B2"/>
    <w:rsid w:val="00566049"/>
    <w:rsid w:val="00566692"/>
    <w:rsid w:val="00566B82"/>
    <w:rsid w:val="005677CB"/>
    <w:rsid w:val="00567B73"/>
    <w:rsid w:val="00567DCC"/>
    <w:rsid w:val="00570930"/>
    <w:rsid w:val="0057310E"/>
    <w:rsid w:val="00573F75"/>
    <w:rsid w:val="00574728"/>
    <w:rsid w:val="00576C73"/>
    <w:rsid w:val="0057737B"/>
    <w:rsid w:val="00580082"/>
    <w:rsid w:val="00580399"/>
    <w:rsid w:val="0058053A"/>
    <w:rsid w:val="00580982"/>
    <w:rsid w:val="0058161A"/>
    <w:rsid w:val="005817CE"/>
    <w:rsid w:val="0058392E"/>
    <w:rsid w:val="00583A72"/>
    <w:rsid w:val="00584AE6"/>
    <w:rsid w:val="00584CFC"/>
    <w:rsid w:val="005852CA"/>
    <w:rsid w:val="0058536D"/>
    <w:rsid w:val="005855E8"/>
    <w:rsid w:val="00585AFB"/>
    <w:rsid w:val="005869AD"/>
    <w:rsid w:val="00586BA5"/>
    <w:rsid w:val="0058764D"/>
    <w:rsid w:val="005903BA"/>
    <w:rsid w:val="00590D29"/>
    <w:rsid w:val="00591293"/>
    <w:rsid w:val="0059321B"/>
    <w:rsid w:val="00593AA2"/>
    <w:rsid w:val="005946C4"/>
    <w:rsid w:val="00594CA6"/>
    <w:rsid w:val="0059579A"/>
    <w:rsid w:val="0059652C"/>
    <w:rsid w:val="005A01F4"/>
    <w:rsid w:val="005A042F"/>
    <w:rsid w:val="005A0941"/>
    <w:rsid w:val="005A0BEB"/>
    <w:rsid w:val="005A0D1F"/>
    <w:rsid w:val="005A0EE3"/>
    <w:rsid w:val="005A100B"/>
    <w:rsid w:val="005A32F9"/>
    <w:rsid w:val="005A3B07"/>
    <w:rsid w:val="005A55E7"/>
    <w:rsid w:val="005A6439"/>
    <w:rsid w:val="005A71F2"/>
    <w:rsid w:val="005B1D32"/>
    <w:rsid w:val="005B26DD"/>
    <w:rsid w:val="005B34F2"/>
    <w:rsid w:val="005B42AE"/>
    <w:rsid w:val="005B51EE"/>
    <w:rsid w:val="005B6D80"/>
    <w:rsid w:val="005B798D"/>
    <w:rsid w:val="005C0288"/>
    <w:rsid w:val="005C054C"/>
    <w:rsid w:val="005C09D4"/>
    <w:rsid w:val="005C09EB"/>
    <w:rsid w:val="005C2C77"/>
    <w:rsid w:val="005C3606"/>
    <w:rsid w:val="005C374E"/>
    <w:rsid w:val="005C3F69"/>
    <w:rsid w:val="005C3F95"/>
    <w:rsid w:val="005C436D"/>
    <w:rsid w:val="005C4400"/>
    <w:rsid w:val="005C4A90"/>
    <w:rsid w:val="005C5993"/>
    <w:rsid w:val="005C6079"/>
    <w:rsid w:val="005C62C6"/>
    <w:rsid w:val="005D08F6"/>
    <w:rsid w:val="005D0EAB"/>
    <w:rsid w:val="005D0F36"/>
    <w:rsid w:val="005D108E"/>
    <w:rsid w:val="005D2D79"/>
    <w:rsid w:val="005D3B56"/>
    <w:rsid w:val="005D3F8B"/>
    <w:rsid w:val="005D584E"/>
    <w:rsid w:val="005D58CB"/>
    <w:rsid w:val="005D5EFD"/>
    <w:rsid w:val="005D641A"/>
    <w:rsid w:val="005D7891"/>
    <w:rsid w:val="005D7FF0"/>
    <w:rsid w:val="005E0E83"/>
    <w:rsid w:val="005E12B3"/>
    <w:rsid w:val="005E167E"/>
    <w:rsid w:val="005E1934"/>
    <w:rsid w:val="005E334D"/>
    <w:rsid w:val="005E3D9B"/>
    <w:rsid w:val="005E6B0F"/>
    <w:rsid w:val="005E7C30"/>
    <w:rsid w:val="005E7F18"/>
    <w:rsid w:val="005F23BF"/>
    <w:rsid w:val="005F2A46"/>
    <w:rsid w:val="005F2C3B"/>
    <w:rsid w:val="005F35D0"/>
    <w:rsid w:val="005F4322"/>
    <w:rsid w:val="005F454F"/>
    <w:rsid w:val="005F529B"/>
    <w:rsid w:val="005F5457"/>
    <w:rsid w:val="005F6CE2"/>
    <w:rsid w:val="005F74FD"/>
    <w:rsid w:val="00600C46"/>
    <w:rsid w:val="006024D1"/>
    <w:rsid w:val="00602A4F"/>
    <w:rsid w:val="00602E19"/>
    <w:rsid w:val="00603848"/>
    <w:rsid w:val="00603941"/>
    <w:rsid w:val="006051C9"/>
    <w:rsid w:val="00605A27"/>
    <w:rsid w:val="00606611"/>
    <w:rsid w:val="00606825"/>
    <w:rsid w:val="00606C8C"/>
    <w:rsid w:val="0061037D"/>
    <w:rsid w:val="00610AC7"/>
    <w:rsid w:val="00610CA8"/>
    <w:rsid w:val="006114E4"/>
    <w:rsid w:val="006116EE"/>
    <w:rsid w:val="00611E52"/>
    <w:rsid w:val="00612683"/>
    <w:rsid w:val="00612D05"/>
    <w:rsid w:val="006135D1"/>
    <w:rsid w:val="0061407E"/>
    <w:rsid w:val="006155A6"/>
    <w:rsid w:val="006155F7"/>
    <w:rsid w:val="00616C47"/>
    <w:rsid w:val="00617210"/>
    <w:rsid w:val="0061790D"/>
    <w:rsid w:val="00617936"/>
    <w:rsid w:val="0062009F"/>
    <w:rsid w:val="0062070B"/>
    <w:rsid w:val="006227C6"/>
    <w:rsid w:val="00622D2D"/>
    <w:rsid w:val="00623CF6"/>
    <w:rsid w:val="00624080"/>
    <w:rsid w:val="006243FE"/>
    <w:rsid w:val="006244AC"/>
    <w:rsid w:val="00624779"/>
    <w:rsid w:val="00624DDE"/>
    <w:rsid w:val="0062613A"/>
    <w:rsid w:val="006263F5"/>
    <w:rsid w:val="00627C2B"/>
    <w:rsid w:val="00631830"/>
    <w:rsid w:val="00632201"/>
    <w:rsid w:val="00633430"/>
    <w:rsid w:val="00633E33"/>
    <w:rsid w:val="00634BFD"/>
    <w:rsid w:val="00635722"/>
    <w:rsid w:val="00635726"/>
    <w:rsid w:val="00636690"/>
    <w:rsid w:val="0063682C"/>
    <w:rsid w:val="0064053B"/>
    <w:rsid w:val="00641254"/>
    <w:rsid w:val="00641F0E"/>
    <w:rsid w:val="00643EBE"/>
    <w:rsid w:val="00644B4A"/>
    <w:rsid w:val="006450B5"/>
    <w:rsid w:val="00645412"/>
    <w:rsid w:val="00647917"/>
    <w:rsid w:val="006479D1"/>
    <w:rsid w:val="006517D1"/>
    <w:rsid w:val="00651946"/>
    <w:rsid w:val="0065280D"/>
    <w:rsid w:val="00652C52"/>
    <w:rsid w:val="006535E2"/>
    <w:rsid w:val="006538CD"/>
    <w:rsid w:val="006547A4"/>
    <w:rsid w:val="0065617D"/>
    <w:rsid w:val="0065676C"/>
    <w:rsid w:val="006570FB"/>
    <w:rsid w:val="006575BB"/>
    <w:rsid w:val="00660280"/>
    <w:rsid w:val="00661B55"/>
    <w:rsid w:val="00664667"/>
    <w:rsid w:val="00664985"/>
    <w:rsid w:val="0066512E"/>
    <w:rsid w:val="006662BB"/>
    <w:rsid w:val="00666541"/>
    <w:rsid w:val="00666A22"/>
    <w:rsid w:val="00666D64"/>
    <w:rsid w:val="00667D0D"/>
    <w:rsid w:val="00670826"/>
    <w:rsid w:val="0067154A"/>
    <w:rsid w:val="006725D8"/>
    <w:rsid w:val="006759E6"/>
    <w:rsid w:val="0067642E"/>
    <w:rsid w:val="00676AAC"/>
    <w:rsid w:val="00676CD3"/>
    <w:rsid w:val="006770AC"/>
    <w:rsid w:val="006772E4"/>
    <w:rsid w:val="006773B4"/>
    <w:rsid w:val="00677990"/>
    <w:rsid w:val="006809B9"/>
    <w:rsid w:val="00680C18"/>
    <w:rsid w:val="00681444"/>
    <w:rsid w:val="00681B11"/>
    <w:rsid w:val="00683628"/>
    <w:rsid w:val="0068524B"/>
    <w:rsid w:val="00685355"/>
    <w:rsid w:val="00687D03"/>
    <w:rsid w:val="0069042D"/>
    <w:rsid w:val="0069180E"/>
    <w:rsid w:val="0069196B"/>
    <w:rsid w:val="00692395"/>
    <w:rsid w:val="006933A9"/>
    <w:rsid w:val="00693CC7"/>
    <w:rsid w:val="00697C1C"/>
    <w:rsid w:val="006A004B"/>
    <w:rsid w:val="006A047F"/>
    <w:rsid w:val="006A112B"/>
    <w:rsid w:val="006A1CE5"/>
    <w:rsid w:val="006A1F6F"/>
    <w:rsid w:val="006A2065"/>
    <w:rsid w:val="006A2B1B"/>
    <w:rsid w:val="006A2D7B"/>
    <w:rsid w:val="006A32AE"/>
    <w:rsid w:val="006A3331"/>
    <w:rsid w:val="006A35C1"/>
    <w:rsid w:val="006A6173"/>
    <w:rsid w:val="006A63CC"/>
    <w:rsid w:val="006A6819"/>
    <w:rsid w:val="006A6A87"/>
    <w:rsid w:val="006A7713"/>
    <w:rsid w:val="006A7B5E"/>
    <w:rsid w:val="006B10BA"/>
    <w:rsid w:val="006B23DF"/>
    <w:rsid w:val="006B30D6"/>
    <w:rsid w:val="006B3C9B"/>
    <w:rsid w:val="006B713F"/>
    <w:rsid w:val="006C00EB"/>
    <w:rsid w:val="006C1E65"/>
    <w:rsid w:val="006C30A0"/>
    <w:rsid w:val="006C4263"/>
    <w:rsid w:val="006C505F"/>
    <w:rsid w:val="006C600B"/>
    <w:rsid w:val="006D193A"/>
    <w:rsid w:val="006D1AF9"/>
    <w:rsid w:val="006D361C"/>
    <w:rsid w:val="006D37F7"/>
    <w:rsid w:val="006D3BE2"/>
    <w:rsid w:val="006D3CB9"/>
    <w:rsid w:val="006D4F41"/>
    <w:rsid w:val="006D5DA5"/>
    <w:rsid w:val="006D736E"/>
    <w:rsid w:val="006D77A6"/>
    <w:rsid w:val="006D7FC5"/>
    <w:rsid w:val="006E1CF8"/>
    <w:rsid w:val="006E1EEA"/>
    <w:rsid w:val="006E2ADF"/>
    <w:rsid w:val="006E2BC5"/>
    <w:rsid w:val="006E3443"/>
    <w:rsid w:val="006E3E12"/>
    <w:rsid w:val="006E400E"/>
    <w:rsid w:val="006E5D57"/>
    <w:rsid w:val="006E62FF"/>
    <w:rsid w:val="006E66BA"/>
    <w:rsid w:val="006E6C31"/>
    <w:rsid w:val="006E6F37"/>
    <w:rsid w:val="006E7714"/>
    <w:rsid w:val="006E7A7E"/>
    <w:rsid w:val="006F1D47"/>
    <w:rsid w:val="006F1F28"/>
    <w:rsid w:val="006F23B1"/>
    <w:rsid w:val="006F24E9"/>
    <w:rsid w:val="006F2631"/>
    <w:rsid w:val="006F49E2"/>
    <w:rsid w:val="006F4E21"/>
    <w:rsid w:val="006F6CE5"/>
    <w:rsid w:val="006F6D61"/>
    <w:rsid w:val="006F747B"/>
    <w:rsid w:val="007021B4"/>
    <w:rsid w:val="007035C4"/>
    <w:rsid w:val="007035DC"/>
    <w:rsid w:val="00703A18"/>
    <w:rsid w:val="00703B71"/>
    <w:rsid w:val="007042CE"/>
    <w:rsid w:val="007058DD"/>
    <w:rsid w:val="00705B7B"/>
    <w:rsid w:val="007068E0"/>
    <w:rsid w:val="00706DC1"/>
    <w:rsid w:val="00707512"/>
    <w:rsid w:val="00707A0E"/>
    <w:rsid w:val="007103A8"/>
    <w:rsid w:val="0071138C"/>
    <w:rsid w:val="00711582"/>
    <w:rsid w:val="007116A2"/>
    <w:rsid w:val="00712A51"/>
    <w:rsid w:val="00713553"/>
    <w:rsid w:val="0071366D"/>
    <w:rsid w:val="00714F94"/>
    <w:rsid w:val="00715AF2"/>
    <w:rsid w:val="00716099"/>
    <w:rsid w:val="007168CD"/>
    <w:rsid w:val="007169E3"/>
    <w:rsid w:val="00717335"/>
    <w:rsid w:val="007175DD"/>
    <w:rsid w:val="007201A2"/>
    <w:rsid w:val="00720B4C"/>
    <w:rsid w:val="00720B9F"/>
    <w:rsid w:val="00721FD6"/>
    <w:rsid w:val="00722541"/>
    <w:rsid w:val="00722C32"/>
    <w:rsid w:val="00722D45"/>
    <w:rsid w:val="00722E77"/>
    <w:rsid w:val="00724986"/>
    <w:rsid w:val="00725696"/>
    <w:rsid w:val="00725906"/>
    <w:rsid w:val="00726975"/>
    <w:rsid w:val="00726F1F"/>
    <w:rsid w:val="00727041"/>
    <w:rsid w:val="007278CE"/>
    <w:rsid w:val="00727E4F"/>
    <w:rsid w:val="00731598"/>
    <w:rsid w:val="00732488"/>
    <w:rsid w:val="00733903"/>
    <w:rsid w:val="00734167"/>
    <w:rsid w:val="00734505"/>
    <w:rsid w:val="007345CE"/>
    <w:rsid w:val="007346C0"/>
    <w:rsid w:val="007349CB"/>
    <w:rsid w:val="00734B50"/>
    <w:rsid w:val="007352B3"/>
    <w:rsid w:val="00735839"/>
    <w:rsid w:val="007361DB"/>
    <w:rsid w:val="00737FCE"/>
    <w:rsid w:val="007414FC"/>
    <w:rsid w:val="007415AB"/>
    <w:rsid w:val="0074166D"/>
    <w:rsid w:val="00741825"/>
    <w:rsid w:val="007432EA"/>
    <w:rsid w:val="007433EF"/>
    <w:rsid w:val="00743CE4"/>
    <w:rsid w:val="00744153"/>
    <w:rsid w:val="00745B27"/>
    <w:rsid w:val="00746F73"/>
    <w:rsid w:val="00746FD7"/>
    <w:rsid w:val="00751550"/>
    <w:rsid w:val="00751E72"/>
    <w:rsid w:val="00752A79"/>
    <w:rsid w:val="00753CA2"/>
    <w:rsid w:val="00753E64"/>
    <w:rsid w:val="00755DCB"/>
    <w:rsid w:val="00756910"/>
    <w:rsid w:val="007575FF"/>
    <w:rsid w:val="00760A76"/>
    <w:rsid w:val="00761B7E"/>
    <w:rsid w:val="00761E9C"/>
    <w:rsid w:val="007621EF"/>
    <w:rsid w:val="00762903"/>
    <w:rsid w:val="00762A07"/>
    <w:rsid w:val="00763243"/>
    <w:rsid w:val="007636EC"/>
    <w:rsid w:val="0076376B"/>
    <w:rsid w:val="00764553"/>
    <w:rsid w:val="0076540C"/>
    <w:rsid w:val="00765E3F"/>
    <w:rsid w:val="0076617D"/>
    <w:rsid w:val="0076627F"/>
    <w:rsid w:val="00766391"/>
    <w:rsid w:val="007664D9"/>
    <w:rsid w:val="007676F1"/>
    <w:rsid w:val="0077181E"/>
    <w:rsid w:val="00771A05"/>
    <w:rsid w:val="00772FA5"/>
    <w:rsid w:val="00773F07"/>
    <w:rsid w:val="00774956"/>
    <w:rsid w:val="00776234"/>
    <w:rsid w:val="00776335"/>
    <w:rsid w:val="00777D62"/>
    <w:rsid w:val="00777F96"/>
    <w:rsid w:val="007803E2"/>
    <w:rsid w:val="0078166D"/>
    <w:rsid w:val="00781BD8"/>
    <w:rsid w:val="0078220D"/>
    <w:rsid w:val="0078312F"/>
    <w:rsid w:val="00783650"/>
    <w:rsid w:val="0078392E"/>
    <w:rsid w:val="00784678"/>
    <w:rsid w:val="007852D3"/>
    <w:rsid w:val="007861FE"/>
    <w:rsid w:val="007865B6"/>
    <w:rsid w:val="00786ADC"/>
    <w:rsid w:val="00790378"/>
    <w:rsid w:val="00790E40"/>
    <w:rsid w:val="00790FB8"/>
    <w:rsid w:val="007919BA"/>
    <w:rsid w:val="007925EF"/>
    <w:rsid w:val="00794C4A"/>
    <w:rsid w:val="0079507A"/>
    <w:rsid w:val="00795A73"/>
    <w:rsid w:val="00797CD1"/>
    <w:rsid w:val="007A0305"/>
    <w:rsid w:val="007A0D8B"/>
    <w:rsid w:val="007A11BE"/>
    <w:rsid w:val="007A13C8"/>
    <w:rsid w:val="007A162D"/>
    <w:rsid w:val="007A1EEA"/>
    <w:rsid w:val="007A2C6E"/>
    <w:rsid w:val="007A4996"/>
    <w:rsid w:val="007A4FEB"/>
    <w:rsid w:val="007A55E6"/>
    <w:rsid w:val="007A5BD1"/>
    <w:rsid w:val="007A63FA"/>
    <w:rsid w:val="007A6A1C"/>
    <w:rsid w:val="007A6BFC"/>
    <w:rsid w:val="007A6E4F"/>
    <w:rsid w:val="007A7975"/>
    <w:rsid w:val="007B1732"/>
    <w:rsid w:val="007B1CDE"/>
    <w:rsid w:val="007B24E9"/>
    <w:rsid w:val="007B271B"/>
    <w:rsid w:val="007B2B86"/>
    <w:rsid w:val="007B2E94"/>
    <w:rsid w:val="007B30CE"/>
    <w:rsid w:val="007B33A7"/>
    <w:rsid w:val="007B33EC"/>
    <w:rsid w:val="007B51DD"/>
    <w:rsid w:val="007B6188"/>
    <w:rsid w:val="007B75C6"/>
    <w:rsid w:val="007C016C"/>
    <w:rsid w:val="007C1344"/>
    <w:rsid w:val="007C1AA7"/>
    <w:rsid w:val="007C1CF6"/>
    <w:rsid w:val="007C2A63"/>
    <w:rsid w:val="007C3905"/>
    <w:rsid w:val="007C7191"/>
    <w:rsid w:val="007C7F01"/>
    <w:rsid w:val="007C7FD9"/>
    <w:rsid w:val="007D1798"/>
    <w:rsid w:val="007D1E5B"/>
    <w:rsid w:val="007D2479"/>
    <w:rsid w:val="007D2E2B"/>
    <w:rsid w:val="007D341A"/>
    <w:rsid w:val="007D3CB4"/>
    <w:rsid w:val="007D42C5"/>
    <w:rsid w:val="007D69C4"/>
    <w:rsid w:val="007D6D1A"/>
    <w:rsid w:val="007D7747"/>
    <w:rsid w:val="007D77FE"/>
    <w:rsid w:val="007D78F8"/>
    <w:rsid w:val="007D79FD"/>
    <w:rsid w:val="007D7FE8"/>
    <w:rsid w:val="007E08F5"/>
    <w:rsid w:val="007E0A70"/>
    <w:rsid w:val="007E1DFD"/>
    <w:rsid w:val="007E3AD5"/>
    <w:rsid w:val="007E3BB4"/>
    <w:rsid w:val="007E4177"/>
    <w:rsid w:val="007E556E"/>
    <w:rsid w:val="007E55BD"/>
    <w:rsid w:val="007E5F4E"/>
    <w:rsid w:val="007E7E5D"/>
    <w:rsid w:val="007F0D61"/>
    <w:rsid w:val="007F1AAF"/>
    <w:rsid w:val="007F226D"/>
    <w:rsid w:val="007F25D1"/>
    <w:rsid w:val="007F29CC"/>
    <w:rsid w:val="007F2BCF"/>
    <w:rsid w:val="007F3487"/>
    <w:rsid w:val="007F4641"/>
    <w:rsid w:val="007F4951"/>
    <w:rsid w:val="007F5EEC"/>
    <w:rsid w:val="007F668A"/>
    <w:rsid w:val="00801A62"/>
    <w:rsid w:val="00801B7F"/>
    <w:rsid w:val="0080371F"/>
    <w:rsid w:val="0080479F"/>
    <w:rsid w:val="008057C4"/>
    <w:rsid w:val="00805F22"/>
    <w:rsid w:val="00810C62"/>
    <w:rsid w:val="008111DE"/>
    <w:rsid w:val="00813A48"/>
    <w:rsid w:val="00814A7C"/>
    <w:rsid w:val="008155D0"/>
    <w:rsid w:val="00815A11"/>
    <w:rsid w:val="00817034"/>
    <w:rsid w:val="00817169"/>
    <w:rsid w:val="00817DE6"/>
    <w:rsid w:val="00820AFD"/>
    <w:rsid w:val="00820C65"/>
    <w:rsid w:val="00820FD0"/>
    <w:rsid w:val="008210DB"/>
    <w:rsid w:val="00821E8C"/>
    <w:rsid w:val="00821EB7"/>
    <w:rsid w:val="008222A9"/>
    <w:rsid w:val="00822D20"/>
    <w:rsid w:val="00823102"/>
    <w:rsid w:val="0082413C"/>
    <w:rsid w:val="008247D6"/>
    <w:rsid w:val="00824940"/>
    <w:rsid w:val="008257B7"/>
    <w:rsid w:val="00825CA5"/>
    <w:rsid w:val="00825F8B"/>
    <w:rsid w:val="00826DAD"/>
    <w:rsid w:val="008275E5"/>
    <w:rsid w:val="00830205"/>
    <w:rsid w:val="00831075"/>
    <w:rsid w:val="008315DB"/>
    <w:rsid w:val="00831AE5"/>
    <w:rsid w:val="00832FBE"/>
    <w:rsid w:val="0083305B"/>
    <w:rsid w:val="008338CB"/>
    <w:rsid w:val="0083463B"/>
    <w:rsid w:val="00835538"/>
    <w:rsid w:val="00835557"/>
    <w:rsid w:val="0083574F"/>
    <w:rsid w:val="008359D4"/>
    <w:rsid w:val="008366D9"/>
    <w:rsid w:val="00837164"/>
    <w:rsid w:val="00841B9D"/>
    <w:rsid w:val="008420DB"/>
    <w:rsid w:val="00843305"/>
    <w:rsid w:val="00844B6F"/>
    <w:rsid w:val="00844FC6"/>
    <w:rsid w:val="00845213"/>
    <w:rsid w:val="00845348"/>
    <w:rsid w:val="00845353"/>
    <w:rsid w:val="00845CD6"/>
    <w:rsid w:val="00846DDD"/>
    <w:rsid w:val="00847541"/>
    <w:rsid w:val="0084798B"/>
    <w:rsid w:val="008517BE"/>
    <w:rsid w:val="00852F8A"/>
    <w:rsid w:val="00857393"/>
    <w:rsid w:val="00857B6F"/>
    <w:rsid w:val="0086085C"/>
    <w:rsid w:val="00860E35"/>
    <w:rsid w:val="00861CEE"/>
    <w:rsid w:val="00862402"/>
    <w:rsid w:val="00862547"/>
    <w:rsid w:val="00862CF3"/>
    <w:rsid w:val="00864046"/>
    <w:rsid w:val="0086442A"/>
    <w:rsid w:val="00865B8B"/>
    <w:rsid w:val="0086647D"/>
    <w:rsid w:val="00866A17"/>
    <w:rsid w:val="008723A6"/>
    <w:rsid w:val="0087379C"/>
    <w:rsid w:val="00873AB0"/>
    <w:rsid w:val="00873C39"/>
    <w:rsid w:val="00875DA3"/>
    <w:rsid w:val="0087650B"/>
    <w:rsid w:val="008765D7"/>
    <w:rsid w:val="00877689"/>
    <w:rsid w:val="0088054E"/>
    <w:rsid w:val="00881D31"/>
    <w:rsid w:val="00883104"/>
    <w:rsid w:val="008848F9"/>
    <w:rsid w:val="00886195"/>
    <w:rsid w:val="00886DF7"/>
    <w:rsid w:val="00890695"/>
    <w:rsid w:val="008916C4"/>
    <w:rsid w:val="0089207D"/>
    <w:rsid w:val="00892B9F"/>
    <w:rsid w:val="00893252"/>
    <w:rsid w:val="00893855"/>
    <w:rsid w:val="008958CA"/>
    <w:rsid w:val="008972D6"/>
    <w:rsid w:val="008A063F"/>
    <w:rsid w:val="008A125D"/>
    <w:rsid w:val="008A1684"/>
    <w:rsid w:val="008A1E51"/>
    <w:rsid w:val="008A33A9"/>
    <w:rsid w:val="008A3B58"/>
    <w:rsid w:val="008A3EAF"/>
    <w:rsid w:val="008A4041"/>
    <w:rsid w:val="008A4DED"/>
    <w:rsid w:val="008A5A91"/>
    <w:rsid w:val="008A5F0E"/>
    <w:rsid w:val="008A636A"/>
    <w:rsid w:val="008A67A1"/>
    <w:rsid w:val="008A73B7"/>
    <w:rsid w:val="008A7F02"/>
    <w:rsid w:val="008B24EF"/>
    <w:rsid w:val="008B31BC"/>
    <w:rsid w:val="008B37A9"/>
    <w:rsid w:val="008B42E4"/>
    <w:rsid w:val="008B5016"/>
    <w:rsid w:val="008B685E"/>
    <w:rsid w:val="008B7429"/>
    <w:rsid w:val="008B79ED"/>
    <w:rsid w:val="008C0226"/>
    <w:rsid w:val="008C12E1"/>
    <w:rsid w:val="008C1614"/>
    <w:rsid w:val="008C178C"/>
    <w:rsid w:val="008C1F43"/>
    <w:rsid w:val="008C2187"/>
    <w:rsid w:val="008C3731"/>
    <w:rsid w:val="008C416F"/>
    <w:rsid w:val="008C55F5"/>
    <w:rsid w:val="008C6B54"/>
    <w:rsid w:val="008D0E80"/>
    <w:rsid w:val="008D128E"/>
    <w:rsid w:val="008D29E5"/>
    <w:rsid w:val="008D37BD"/>
    <w:rsid w:val="008D3A66"/>
    <w:rsid w:val="008D5DD6"/>
    <w:rsid w:val="008D6849"/>
    <w:rsid w:val="008D7561"/>
    <w:rsid w:val="008D7A45"/>
    <w:rsid w:val="008D7DE2"/>
    <w:rsid w:val="008E1140"/>
    <w:rsid w:val="008E1571"/>
    <w:rsid w:val="008E1787"/>
    <w:rsid w:val="008E1B01"/>
    <w:rsid w:val="008E2672"/>
    <w:rsid w:val="008E2CAD"/>
    <w:rsid w:val="008E3105"/>
    <w:rsid w:val="008E3650"/>
    <w:rsid w:val="008E469A"/>
    <w:rsid w:val="008E481F"/>
    <w:rsid w:val="008E554D"/>
    <w:rsid w:val="008E6224"/>
    <w:rsid w:val="008E756A"/>
    <w:rsid w:val="008F0B77"/>
    <w:rsid w:val="008F272E"/>
    <w:rsid w:val="008F2758"/>
    <w:rsid w:val="00900DF0"/>
    <w:rsid w:val="00901B8C"/>
    <w:rsid w:val="00901EF5"/>
    <w:rsid w:val="00902866"/>
    <w:rsid w:val="00902C89"/>
    <w:rsid w:val="00903544"/>
    <w:rsid w:val="009046BD"/>
    <w:rsid w:val="00904AFB"/>
    <w:rsid w:val="00906D9C"/>
    <w:rsid w:val="009077C6"/>
    <w:rsid w:val="00907E56"/>
    <w:rsid w:val="009103EC"/>
    <w:rsid w:val="0091058A"/>
    <w:rsid w:val="0091189C"/>
    <w:rsid w:val="00912F80"/>
    <w:rsid w:val="00913259"/>
    <w:rsid w:val="009146D5"/>
    <w:rsid w:val="009161F4"/>
    <w:rsid w:val="00916ED7"/>
    <w:rsid w:val="009174A7"/>
    <w:rsid w:val="00917919"/>
    <w:rsid w:val="00917BB7"/>
    <w:rsid w:val="00917D22"/>
    <w:rsid w:val="00917DF5"/>
    <w:rsid w:val="00920F02"/>
    <w:rsid w:val="0092120F"/>
    <w:rsid w:val="00921E79"/>
    <w:rsid w:val="00922951"/>
    <w:rsid w:val="00922978"/>
    <w:rsid w:val="00922BE7"/>
    <w:rsid w:val="00923C5F"/>
    <w:rsid w:val="00924B15"/>
    <w:rsid w:val="00926C2E"/>
    <w:rsid w:val="00926C9A"/>
    <w:rsid w:val="00927267"/>
    <w:rsid w:val="009322A2"/>
    <w:rsid w:val="0093239B"/>
    <w:rsid w:val="00932F62"/>
    <w:rsid w:val="00934FFB"/>
    <w:rsid w:val="009354B2"/>
    <w:rsid w:val="0093694B"/>
    <w:rsid w:val="009372EB"/>
    <w:rsid w:val="00937617"/>
    <w:rsid w:val="00942109"/>
    <w:rsid w:val="0094231C"/>
    <w:rsid w:val="00943A05"/>
    <w:rsid w:val="00943EAD"/>
    <w:rsid w:val="009442C3"/>
    <w:rsid w:val="0094464D"/>
    <w:rsid w:val="00944AF6"/>
    <w:rsid w:val="00946DD0"/>
    <w:rsid w:val="00947000"/>
    <w:rsid w:val="00947417"/>
    <w:rsid w:val="00947727"/>
    <w:rsid w:val="009479BF"/>
    <w:rsid w:val="00950409"/>
    <w:rsid w:val="00950FB1"/>
    <w:rsid w:val="00951E29"/>
    <w:rsid w:val="00952665"/>
    <w:rsid w:val="00953503"/>
    <w:rsid w:val="00953F45"/>
    <w:rsid w:val="00954E3E"/>
    <w:rsid w:val="00954E9E"/>
    <w:rsid w:val="009556A3"/>
    <w:rsid w:val="00957647"/>
    <w:rsid w:val="00960402"/>
    <w:rsid w:val="009610A7"/>
    <w:rsid w:val="0096124A"/>
    <w:rsid w:val="00961C49"/>
    <w:rsid w:val="0096348C"/>
    <w:rsid w:val="00963B9F"/>
    <w:rsid w:val="0096597E"/>
    <w:rsid w:val="00965A79"/>
    <w:rsid w:val="00965E66"/>
    <w:rsid w:val="00966705"/>
    <w:rsid w:val="00966A1B"/>
    <w:rsid w:val="00966F58"/>
    <w:rsid w:val="009670CB"/>
    <w:rsid w:val="0096745A"/>
    <w:rsid w:val="00970EBC"/>
    <w:rsid w:val="00972C5E"/>
    <w:rsid w:val="00973018"/>
    <w:rsid w:val="009754C5"/>
    <w:rsid w:val="009754E0"/>
    <w:rsid w:val="009754F2"/>
    <w:rsid w:val="00975A51"/>
    <w:rsid w:val="0097602C"/>
    <w:rsid w:val="009778B9"/>
    <w:rsid w:val="009821E6"/>
    <w:rsid w:val="0098314A"/>
    <w:rsid w:val="0098338B"/>
    <w:rsid w:val="00983AF0"/>
    <w:rsid w:val="0098405C"/>
    <w:rsid w:val="00984C09"/>
    <w:rsid w:val="00985339"/>
    <w:rsid w:val="0098560E"/>
    <w:rsid w:val="00985F13"/>
    <w:rsid w:val="009862B3"/>
    <w:rsid w:val="00987C71"/>
    <w:rsid w:val="009907D1"/>
    <w:rsid w:val="00991ACA"/>
    <w:rsid w:val="0099293D"/>
    <w:rsid w:val="00992F3F"/>
    <w:rsid w:val="00995368"/>
    <w:rsid w:val="00996029"/>
    <w:rsid w:val="009A0215"/>
    <w:rsid w:val="009A1492"/>
    <w:rsid w:val="009A15CB"/>
    <w:rsid w:val="009A1DEA"/>
    <w:rsid w:val="009A1E62"/>
    <w:rsid w:val="009A3AA5"/>
    <w:rsid w:val="009A3E43"/>
    <w:rsid w:val="009A493F"/>
    <w:rsid w:val="009A4C36"/>
    <w:rsid w:val="009A61A0"/>
    <w:rsid w:val="009A72FA"/>
    <w:rsid w:val="009A77F4"/>
    <w:rsid w:val="009A784B"/>
    <w:rsid w:val="009A7C4F"/>
    <w:rsid w:val="009B06BC"/>
    <w:rsid w:val="009B080A"/>
    <w:rsid w:val="009B185C"/>
    <w:rsid w:val="009B3E01"/>
    <w:rsid w:val="009B3E3C"/>
    <w:rsid w:val="009B45D9"/>
    <w:rsid w:val="009B47B6"/>
    <w:rsid w:val="009B497D"/>
    <w:rsid w:val="009B5021"/>
    <w:rsid w:val="009B6263"/>
    <w:rsid w:val="009B7B27"/>
    <w:rsid w:val="009C2BC9"/>
    <w:rsid w:val="009C34D4"/>
    <w:rsid w:val="009C3D4C"/>
    <w:rsid w:val="009C517F"/>
    <w:rsid w:val="009C602E"/>
    <w:rsid w:val="009C6703"/>
    <w:rsid w:val="009C78B0"/>
    <w:rsid w:val="009C7E23"/>
    <w:rsid w:val="009D033C"/>
    <w:rsid w:val="009D2694"/>
    <w:rsid w:val="009D44E6"/>
    <w:rsid w:val="009D75CD"/>
    <w:rsid w:val="009D788C"/>
    <w:rsid w:val="009D7F3E"/>
    <w:rsid w:val="009E0A1F"/>
    <w:rsid w:val="009E0D3F"/>
    <w:rsid w:val="009E1F58"/>
    <w:rsid w:val="009E2196"/>
    <w:rsid w:val="009E2DB5"/>
    <w:rsid w:val="009E302E"/>
    <w:rsid w:val="009E32E6"/>
    <w:rsid w:val="009E49BB"/>
    <w:rsid w:val="009E4B42"/>
    <w:rsid w:val="009E4D30"/>
    <w:rsid w:val="009E4EA4"/>
    <w:rsid w:val="009E5689"/>
    <w:rsid w:val="009E6332"/>
    <w:rsid w:val="009E6EDF"/>
    <w:rsid w:val="009F05E3"/>
    <w:rsid w:val="009F07A5"/>
    <w:rsid w:val="009F160B"/>
    <w:rsid w:val="009F1F0E"/>
    <w:rsid w:val="009F3FB8"/>
    <w:rsid w:val="009F6370"/>
    <w:rsid w:val="009F67BC"/>
    <w:rsid w:val="009F6886"/>
    <w:rsid w:val="009F6D73"/>
    <w:rsid w:val="009F7272"/>
    <w:rsid w:val="009F7E72"/>
    <w:rsid w:val="00A00527"/>
    <w:rsid w:val="00A00E94"/>
    <w:rsid w:val="00A015F0"/>
    <w:rsid w:val="00A032C0"/>
    <w:rsid w:val="00A03BEA"/>
    <w:rsid w:val="00A03C0B"/>
    <w:rsid w:val="00A04205"/>
    <w:rsid w:val="00A05101"/>
    <w:rsid w:val="00A055C2"/>
    <w:rsid w:val="00A05EBD"/>
    <w:rsid w:val="00A0608A"/>
    <w:rsid w:val="00A0768B"/>
    <w:rsid w:val="00A07708"/>
    <w:rsid w:val="00A07A34"/>
    <w:rsid w:val="00A07ECB"/>
    <w:rsid w:val="00A10300"/>
    <w:rsid w:val="00A105F2"/>
    <w:rsid w:val="00A10959"/>
    <w:rsid w:val="00A11153"/>
    <w:rsid w:val="00A111F3"/>
    <w:rsid w:val="00A1188C"/>
    <w:rsid w:val="00A119C9"/>
    <w:rsid w:val="00A1311E"/>
    <w:rsid w:val="00A13C05"/>
    <w:rsid w:val="00A14845"/>
    <w:rsid w:val="00A15636"/>
    <w:rsid w:val="00A162C2"/>
    <w:rsid w:val="00A171DC"/>
    <w:rsid w:val="00A202DD"/>
    <w:rsid w:val="00A20300"/>
    <w:rsid w:val="00A20782"/>
    <w:rsid w:val="00A2094F"/>
    <w:rsid w:val="00A20F1E"/>
    <w:rsid w:val="00A2147F"/>
    <w:rsid w:val="00A2172C"/>
    <w:rsid w:val="00A21C10"/>
    <w:rsid w:val="00A21F77"/>
    <w:rsid w:val="00A23190"/>
    <w:rsid w:val="00A2366A"/>
    <w:rsid w:val="00A23A79"/>
    <w:rsid w:val="00A264FE"/>
    <w:rsid w:val="00A268F4"/>
    <w:rsid w:val="00A30D6D"/>
    <w:rsid w:val="00A32170"/>
    <w:rsid w:val="00A34441"/>
    <w:rsid w:val="00A34EEC"/>
    <w:rsid w:val="00A35406"/>
    <w:rsid w:val="00A356AA"/>
    <w:rsid w:val="00A35D1A"/>
    <w:rsid w:val="00A35ECA"/>
    <w:rsid w:val="00A3646A"/>
    <w:rsid w:val="00A36AB4"/>
    <w:rsid w:val="00A36E74"/>
    <w:rsid w:val="00A40680"/>
    <w:rsid w:val="00A40AF9"/>
    <w:rsid w:val="00A4220E"/>
    <w:rsid w:val="00A42771"/>
    <w:rsid w:val="00A43DAE"/>
    <w:rsid w:val="00A44B30"/>
    <w:rsid w:val="00A465AD"/>
    <w:rsid w:val="00A47629"/>
    <w:rsid w:val="00A50706"/>
    <w:rsid w:val="00A50ADC"/>
    <w:rsid w:val="00A50C8B"/>
    <w:rsid w:val="00A51381"/>
    <w:rsid w:val="00A51BCE"/>
    <w:rsid w:val="00A529ED"/>
    <w:rsid w:val="00A5315C"/>
    <w:rsid w:val="00A53FFD"/>
    <w:rsid w:val="00A5434D"/>
    <w:rsid w:val="00A544B5"/>
    <w:rsid w:val="00A545AB"/>
    <w:rsid w:val="00A549C6"/>
    <w:rsid w:val="00A557A6"/>
    <w:rsid w:val="00A573D3"/>
    <w:rsid w:val="00A5770D"/>
    <w:rsid w:val="00A6044E"/>
    <w:rsid w:val="00A60885"/>
    <w:rsid w:val="00A61CB6"/>
    <w:rsid w:val="00A62549"/>
    <w:rsid w:val="00A62E62"/>
    <w:rsid w:val="00A63051"/>
    <w:rsid w:val="00A637FA"/>
    <w:rsid w:val="00A65213"/>
    <w:rsid w:val="00A6532E"/>
    <w:rsid w:val="00A66099"/>
    <w:rsid w:val="00A6636C"/>
    <w:rsid w:val="00A66C0C"/>
    <w:rsid w:val="00A6778F"/>
    <w:rsid w:val="00A67CFA"/>
    <w:rsid w:val="00A70190"/>
    <w:rsid w:val="00A70633"/>
    <w:rsid w:val="00A7121E"/>
    <w:rsid w:val="00A718EF"/>
    <w:rsid w:val="00A71B33"/>
    <w:rsid w:val="00A72634"/>
    <w:rsid w:val="00A7438A"/>
    <w:rsid w:val="00A75888"/>
    <w:rsid w:val="00A75FEE"/>
    <w:rsid w:val="00A76062"/>
    <w:rsid w:val="00A77742"/>
    <w:rsid w:val="00A81287"/>
    <w:rsid w:val="00A8181B"/>
    <w:rsid w:val="00A821B8"/>
    <w:rsid w:val="00A82D76"/>
    <w:rsid w:val="00A82EE6"/>
    <w:rsid w:val="00A8309B"/>
    <w:rsid w:val="00A83D82"/>
    <w:rsid w:val="00A85445"/>
    <w:rsid w:val="00A85F9B"/>
    <w:rsid w:val="00A85FA2"/>
    <w:rsid w:val="00A90430"/>
    <w:rsid w:val="00A917DF"/>
    <w:rsid w:val="00A9345E"/>
    <w:rsid w:val="00A93C55"/>
    <w:rsid w:val="00A94A31"/>
    <w:rsid w:val="00A94E87"/>
    <w:rsid w:val="00A967A2"/>
    <w:rsid w:val="00A968E4"/>
    <w:rsid w:val="00A96900"/>
    <w:rsid w:val="00A97326"/>
    <w:rsid w:val="00A97466"/>
    <w:rsid w:val="00A974A8"/>
    <w:rsid w:val="00A977EF"/>
    <w:rsid w:val="00AA09AA"/>
    <w:rsid w:val="00AA1221"/>
    <w:rsid w:val="00AA13D1"/>
    <w:rsid w:val="00AA386E"/>
    <w:rsid w:val="00AA392E"/>
    <w:rsid w:val="00AA5D66"/>
    <w:rsid w:val="00AA5D8B"/>
    <w:rsid w:val="00AB0191"/>
    <w:rsid w:val="00AB0C55"/>
    <w:rsid w:val="00AB10B1"/>
    <w:rsid w:val="00AB1521"/>
    <w:rsid w:val="00AB16E4"/>
    <w:rsid w:val="00AB2141"/>
    <w:rsid w:val="00AB3285"/>
    <w:rsid w:val="00AB41E6"/>
    <w:rsid w:val="00AB5FA5"/>
    <w:rsid w:val="00AB6BA2"/>
    <w:rsid w:val="00AB724F"/>
    <w:rsid w:val="00AB7E2F"/>
    <w:rsid w:val="00AC1065"/>
    <w:rsid w:val="00AC1EFA"/>
    <w:rsid w:val="00AC3D30"/>
    <w:rsid w:val="00AC4001"/>
    <w:rsid w:val="00AC4954"/>
    <w:rsid w:val="00AC52E5"/>
    <w:rsid w:val="00AC54B5"/>
    <w:rsid w:val="00AC575F"/>
    <w:rsid w:val="00AC57DC"/>
    <w:rsid w:val="00AC63CD"/>
    <w:rsid w:val="00AC7513"/>
    <w:rsid w:val="00AD01C7"/>
    <w:rsid w:val="00AD0C64"/>
    <w:rsid w:val="00AD2755"/>
    <w:rsid w:val="00AD31DA"/>
    <w:rsid w:val="00AD3577"/>
    <w:rsid w:val="00AD40FC"/>
    <w:rsid w:val="00AD5841"/>
    <w:rsid w:val="00AD5877"/>
    <w:rsid w:val="00AD6C46"/>
    <w:rsid w:val="00AD6F5C"/>
    <w:rsid w:val="00AD7929"/>
    <w:rsid w:val="00AE06B8"/>
    <w:rsid w:val="00AE0F23"/>
    <w:rsid w:val="00AE181B"/>
    <w:rsid w:val="00AE216D"/>
    <w:rsid w:val="00AE25D3"/>
    <w:rsid w:val="00AE358E"/>
    <w:rsid w:val="00AE3F4A"/>
    <w:rsid w:val="00AE4596"/>
    <w:rsid w:val="00AE4AD0"/>
    <w:rsid w:val="00AE6204"/>
    <w:rsid w:val="00AE64B3"/>
    <w:rsid w:val="00AE6BA6"/>
    <w:rsid w:val="00AF1286"/>
    <w:rsid w:val="00AF2670"/>
    <w:rsid w:val="00AF342B"/>
    <w:rsid w:val="00AF3E03"/>
    <w:rsid w:val="00AF44C7"/>
    <w:rsid w:val="00AF5018"/>
    <w:rsid w:val="00AF53A8"/>
    <w:rsid w:val="00AF6157"/>
    <w:rsid w:val="00AF7DCE"/>
    <w:rsid w:val="00B00804"/>
    <w:rsid w:val="00B02F7C"/>
    <w:rsid w:val="00B03F86"/>
    <w:rsid w:val="00B04832"/>
    <w:rsid w:val="00B05DDB"/>
    <w:rsid w:val="00B06372"/>
    <w:rsid w:val="00B0692F"/>
    <w:rsid w:val="00B06981"/>
    <w:rsid w:val="00B116A2"/>
    <w:rsid w:val="00B121BD"/>
    <w:rsid w:val="00B125DA"/>
    <w:rsid w:val="00B12B1C"/>
    <w:rsid w:val="00B1315E"/>
    <w:rsid w:val="00B146AC"/>
    <w:rsid w:val="00B14EDA"/>
    <w:rsid w:val="00B14F14"/>
    <w:rsid w:val="00B15725"/>
    <w:rsid w:val="00B15E13"/>
    <w:rsid w:val="00B17122"/>
    <w:rsid w:val="00B17147"/>
    <w:rsid w:val="00B173FF"/>
    <w:rsid w:val="00B22AC1"/>
    <w:rsid w:val="00B245B4"/>
    <w:rsid w:val="00B258DE"/>
    <w:rsid w:val="00B263EE"/>
    <w:rsid w:val="00B26E72"/>
    <w:rsid w:val="00B27919"/>
    <w:rsid w:val="00B30D96"/>
    <w:rsid w:val="00B31C6F"/>
    <w:rsid w:val="00B31C94"/>
    <w:rsid w:val="00B32844"/>
    <w:rsid w:val="00B334AC"/>
    <w:rsid w:val="00B34A89"/>
    <w:rsid w:val="00B34AC8"/>
    <w:rsid w:val="00B37D96"/>
    <w:rsid w:val="00B4091A"/>
    <w:rsid w:val="00B40ABF"/>
    <w:rsid w:val="00B41E2A"/>
    <w:rsid w:val="00B46555"/>
    <w:rsid w:val="00B4755F"/>
    <w:rsid w:val="00B50506"/>
    <w:rsid w:val="00B50A49"/>
    <w:rsid w:val="00B520C7"/>
    <w:rsid w:val="00B53DB5"/>
    <w:rsid w:val="00B5488D"/>
    <w:rsid w:val="00B566BC"/>
    <w:rsid w:val="00B56791"/>
    <w:rsid w:val="00B56B25"/>
    <w:rsid w:val="00B56C73"/>
    <w:rsid w:val="00B60267"/>
    <w:rsid w:val="00B61025"/>
    <w:rsid w:val="00B63E34"/>
    <w:rsid w:val="00B6689C"/>
    <w:rsid w:val="00B675CD"/>
    <w:rsid w:val="00B67C24"/>
    <w:rsid w:val="00B70D99"/>
    <w:rsid w:val="00B72498"/>
    <w:rsid w:val="00B726C2"/>
    <w:rsid w:val="00B73389"/>
    <w:rsid w:val="00B74499"/>
    <w:rsid w:val="00B75217"/>
    <w:rsid w:val="00B75351"/>
    <w:rsid w:val="00B753AA"/>
    <w:rsid w:val="00B77344"/>
    <w:rsid w:val="00B779F8"/>
    <w:rsid w:val="00B809A7"/>
    <w:rsid w:val="00B809CD"/>
    <w:rsid w:val="00B80B58"/>
    <w:rsid w:val="00B81286"/>
    <w:rsid w:val="00B8164B"/>
    <w:rsid w:val="00B83597"/>
    <w:rsid w:val="00B844F9"/>
    <w:rsid w:val="00B846C7"/>
    <w:rsid w:val="00B85FC2"/>
    <w:rsid w:val="00B862F0"/>
    <w:rsid w:val="00B879ED"/>
    <w:rsid w:val="00B87F38"/>
    <w:rsid w:val="00B909DD"/>
    <w:rsid w:val="00B90CB8"/>
    <w:rsid w:val="00B91C7F"/>
    <w:rsid w:val="00B9318B"/>
    <w:rsid w:val="00B936B8"/>
    <w:rsid w:val="00B93703"/>
    <w:rsid w:val="00B94525"/>
    <w:rsid w:val="00B9515C"/>
    <w:rsid w:val="00B9553C"/>
    <w:rsid w:val="00B97507"/>
    <w:rsid w:val="00B9756E"/>
    <w:rsid w:val="00BA1674"/>
    <w:rsid w:val="00BA2689"/>
    <w:rsid w:val="00BA26F2"/>
    <w:rsid w:val="00BA2D8E"/>
    <w:rsid w:val="00BA4823"/>
    <w:rsid w:val="00BA620A"/>
    <w:rsid w:val="00BA6C28"/>
    <w:rsid w:val="00BA784A"/>
    <w:rsid w:val="00BA7A41"/>
    <w:rsid w:val="00BB1002"/>
    <w:rsid w:val="00BB15AB"/>
    <w:rsid w:val="00BB1DF7"/>
    <w:rsid w:val="00BB2087"/>
    <w:rsid w:val="00BB312A"/>
    <w:rsid w:val="00BB3C68"/>
    <w:rsid w:val="00BB4272"/>
    <w:rsid w:val="00BB5876"/>
    <w:rsid w:val="00BB69F3"/>
    <w:rsid w:val="00BB7794"/>
    <w:rsid w:val="00BB796D"/>
    <w:rsid w:val="00BC0402"/>
    <w:rsid w:val="00BC1376"/>
    <w:rsid w:val="00BC21AD"/>
    <w:rsid w:val="00BC256A"/>
    <w:rsid w:val="00BC3074"/>
    <w:rsid w:val="00BC30A7"/>
    <w:rsid w:val="00BC3EBE"/>
    <w:rsid w:val="00BC471C"/>
    <w:rsid w:val="00BC5321"/>
    <w:rsid w:val="00BC59F7"/>
    <w:rsid w:val="00BC6329"/>
    <w:rsid w:val="00BC6724"/>
    <w:rsid w:val="00BC7A48"/>
    <w:rsid w:val="00BD0D9B"/>
    <w:rsid w:val="00BD11ED"/>
    <w:rsid w:val="00BD15F9"/>
    <w:rsid w:val="00BD2A8E"/>
    <w:rsid w:val="00BD2AB3"/>
    <w:rsid w:val="00BD5B84"/>
    <w:rsid w:val="00BD5DF6"/>
    <w:rsid w:val="00BD6A4E"/>
    <w:rsid w:val="00BD7013"/>
    <w:rsid w:val="00BD7E28"/>
    <w:rsid w:val="00BE0068"/>
    <w:rsid w:val="00BE0D2F"/>
    <w:rsid w:val="00BE12EA"/>
    <w:rsid w:val="00BE2FBB"/>
    <w:rsid w:val="00BE4CFF"/>
    <w:rsid w:val="00BE5821"/>
    <w:rsid w:val="00BE588A"/>
    <w:rsid w:val="00BE68E4"/>
    <w:rsid w:val="00BF016D"/>
    <w:rsid w:val="00BF07FE"/>
    <w:rsid w:val="00BF08BC"/>
    <w:rsid w:val="00BF0AF3"/>
    <w:rsid w:val="00BF1F9F"/>
    <w:rsid w:val="00BF1FF9"/>
    <w:rsid w:val="00BF2D52"/>
    <w:rsid w:val="00BF5607"/>
    <w:rsid w:val="00BF6E17"/>
    <w:rsid w:val="00BF7288"/>
    <w:rsid w:val="00C00568"/>
    <w:rsid w:val="00C013E3"/>
    <w:rsid w:val="00C03475"/>
    <w:rsid w:val="00C03B2B"/>
    <w:rsid w:val="00C0462D"/>
    <w:rsid w:val="00C04F08"/>
    <w:rsid w:val="00C05E0B"/>
    <w:rsid w:val="00C061DA"/>
    <w:rsid w:val="00C068D7"/>
    <w:rsid w:val="00C07401"/>
    <w:rsid w:val="00C07402"/>
    <w:rsid w:val="00C07653"/>
    <w:rsid w:val="00C078B2"/>
    <w:rsid w:val="00C10039"/>
    <w:rsid w:val="00C1008F"/>
    <w:rsid w:val="00C1029F"/>
    <w:rsid w:val="00C10DE9"/>
    <w:rsid w:val="00C10FFD"/>
    <w:rsid w:val="00C1282D"/>
    <w:rsid w:val="00C1306B"/>
    <w:rsid w:val="00C130BE"/>
    <w:rsid w:val="00C134E2"/>
    <w:rsid w:val="00C13FF4"/>
    <w:rsid w:val="00C161E2"/>
    <w:rsid w:val="00C16451"/>
    <w:rsid w:val="00C16995"/>
    <w:rsid w:val="00C17882"/>
    <w:rsid w:val="00C2116C"/>
    <w:rsid w:val="00C21375"/>
    <w:rsid w:val="00C23D56"/>
    <w:rsid w:val="00C246E8"/>
    <w:rsid w:val="00C25FB7"/>
    <w:rsid w:val="00C27E46"/>
    <w:rsid w:val="00C30803"/>
    <w:rsid w:val="00C308A8"/>
    <w:rsid w:val="00C31C8A"/>
    <w:rsid w:val="00C32382"/>
    <w:rsid w:val="00C32D27"/>
    <w:rsid w:val="00C33505"/>
    <w:rsid w:val="00C36FCD"/>
    <w:rsid w:val="00C37937"/>
    <w:rsid w:val="00C4044A"/>
    <w:rsid w:val="00C404D8"/>
    <w:rsid w:val="00C407A7"/>
    <w:rsid w:val="00C4094A"/>
    <w:rsid w:val="00C4295A"/>
    <w:rsid w:val="00C42A97"/>
    <w:rsid w:val="00C43D10"/>
    <w:rsid w:val="00C442BA"/>
    <w:rsid w:val="00C44C0A"/>
    <w:rsid w:val="00C45834"/>
    <w:rsid w:val="00C45D4A"/>
    <w:rsid w:val="00C461A9"/>
    <w:rsid w:val="00C4714D"/>
    <w:rsid w:val="00C47598"/>
    <w:rsid w:val="00C504D7"/>
    <w:rsid w:val="00C53007"/>
    <w:rsid w:val="00C5305E"/>
    <w:rsid w:val="00C54489"/>
    <w:rsid w:val="00C54AD2"/>
    <w:rsid w:val="00C563CE"/>
    <w:rsid w:val="00C5644B"/>
    <w:rsid w:val="00C566AD"/>
    <w:rsid w:val="00C573F8"/>
    <w:rsid w:val="00C60693"/>
    <w:rsid w:val="00C60B02"/>
    <w:rsid w:val="00C6114C"/>
    <w:rsid w:val="00C618B3"/>
    <w:rsid w:val="00C627E9"/>
    <w:rsid w:val="00C640B9"/>
    <w:rsid w:val="00C64461"/>
    <w:rsid w:val="00C64915"/>
    <w:rsid w:val="00C6496B"/>
    <w:rsid w:val="00C65BE3"/>
    <w:rsid w:val="00C661B9"/>
    <w:rsid w:val="00C6699E"/>
    <w:rsid w:val="00C701B8"/>
    <w:rsid w:val="00C70B46"/>
    <w:rsid w:val="00C70BAA"/>
    <w:rsid w:val="00C72D96"/>
    <w:rsid w:val="00C746F3"/>
    <w:rsid w:val="00C775F1"/>
    <w:rsid w:val="00C77D7E"/>
    <w:rsid w:val="00C80D95"/>
    <w:rsid w:val="00C81AE6"/>
    <w:rsid w:val="00C81BA5"/>
    <w:rsid w:val="00C81D78"/>
    <w:rsid w:val="00C82E7E"/>
    <w:rsid w:val="00C85D3C"/>
    <w:rsid w:val="00C86821"/>
    <w:rsid w:val="00C8749B"/>
    <w:rsid w:val="00C87CA0"/>
    <w:rsid w:val="00C90B98"/>
    <w:rsid w:val="00C91A5A"/>
    <w:rsid w:val="00C965B0"/>
    <w:rsid w:val="00CA0C3C"/>
    <w:rsid w:val="00CA1184"/>
    <w:rsid w:val="00CA1718"/>
    <w:rsid w:val="00CA29CB"/>
    <w:rsid w:val="00CA41CF"/>
    <w:rsid w:val="00CA4410"/>
    <w:rsid w:val="00CA46FE"/>
    <w:rsid w:val="00CA4F8B"/>
    <w:rsid w:val="00CA6435"/>
    <w:rsid w:val="00CA644E"/>
    <w:rsid w:val="00CA6B68"/>
    <w:rsid w:val="00CA7C5F"/>
    <w:rsid w:val="00CB17AA"/>
    <w:rsid w:val="00CB2769"/>
    <w:rsid w:val="00CB4184"/>
    <w:rsid w:val="00CB43A2"/>
    <w:rsid w:val="00CB4D7E"/>
    <w:rsid w:val="00CB6B54"/>
    <w:rsid w:val="00CC0560"/>
    <w:rsid w:val="00CC1B54"/>
    <w:rsid w:val="00CC1DF3"/>
    <w:rsid w:val="00CC1F82"/>
    <w:rsid w:val="00CC398A"/>
    <w:rsid w:val="00CC3DD5"/>
    <w:rsid w:val="00CC6585"/>
    <w:rsid w:val="00CC6ED9"/>
    <w:rsid w:val="00CD15B7"/>
    <w:rsid w:val="00CD1FEA"/>
    <w:rsid w:val="00CD2D66"/>
    <w:rsid w:val="00CD3AF0"/>
    <w:rsid w:val="00CD4042"/>
    <w:rsid w:val="00CD51D8"/>
    <w:rsid w:val="00CD5C46"/>
    <w:rsid w:val="00CD6138"/>
    <w:rsid w:val="00CD6B20"/>
    <w:rsid w:val="00CD6F54"/>
    <w:rsid w:val="00CE0577"/>
    <w:rsid w:val="00CE107B"/>
    <w:rsid w:val="00CE30BD"/>
    <w:rsid w:val="00CE3BE3"/>
    <w:rsid w:val="00CE3D99"/>
    <w:rsid w:val="00CE4B69"/>
    <w:rsid w:val="00CE5688"/>
    <w:rsid w:val="00CE5CF8"/>
    <w:rsid w:val="00CE6A19"/>
    <w:rsid w:val="00CE6E06"/>
    <w:rsid w:val="00CE763C"/>
    <w:rsid w:val="00CE7696"/>
    <w:rsid w:val="00CF1156"/>
    <w:rsid w:val="00CF11D5"/>
    <w:rsid w:val="00CF1DB3"/>
    <w:rsid w:val="00CF2168"/>
    <w:rsid w:val="00CF2B70"/>
    <w:rsid w:val="00CF2DF3"/>
    <w:rsid w:val="00CF354A"/>
    <w:rsid w:val="00CF5463"/>
    <w:rsid w:val="00CF5E6F"/>
    <w:rsid w:val="00D000D7"/>
    <w:rsid w:val="00D004A7"/>
    <w:rsid w:val="00D00B78"/>
    <w:rsid w:val="00D0237A"/>
    <w:rsid w:val="00D023BE"/>
    <w:rsid w:val="00D026A9"/>
    <w:rsid w:val="00D044C3"/>
    <w:rsid w:val="00D05C3C"/>
    <w:rsid w:val="00D05D89"/>
    <w:rsid w:val="00D069B5"/>
    <w:rsid w:val="00D07816"/>
    <w:rsid w:val="00D07DA1"/>
    <w:rsid w:val="00D07E7D"/>
    <w:rsid w:val="00D10AC1"/>
    <w:rsid w:val="00D11A1E"/>
    <w:rsid w:val="00D11F3C"/>
    <w:rsid w:val="00D12649"/>
    <w:rsid w:val="00D13D36"/>
    <w:rsid w:val="00D14026"/>
    <w:rsid w:val="00D14CEF"/>
    <w:rsid w:val="00D15AF5"/>
    <w:rsid w:val="00D16723"/>
    <w:rsid w:val="00D1728F"/>
    <w:rsid w:val="00D206CE"/>
    <w:rsid w:val="00D21333"/>
    <w:rsid w:val="00D216ED"/>
    <w:rsid w:val="00D21749"/>
    <w:rsid w:val="00D21914"/>
    <w:rsid w:val="00D21FB0"/>
    <w:rsid w:val="00D228CD"/>
    <w:rsid w:val="00D23097"/>
    <w:rsid w:val="00D25106"/>
    <w:rsid w:val="00D26B61"/>
    <w:rsid w:val="00D27023"/>
    <w:rsid w:val="00D27545"/>
    <w:rsid w:val="00D30898"/>
    <w:rsid w:val="00D3279A"/>
    <w:rsid w:val="00D32865"/>
    <w:rsid w:val="00D341DE"/>
    <w:rsid w:val="00D34987"/>
    <w:rsid w:val="00D3519E"/>
    <w:rsid w:val="00D35777"/>
    <w:rsid w:val="00D3601D"/>
    <w:rsid w:val="00D36D4D"/>
    <w:rsid w:val="00D379C4"/>
    <w:rsid w:val="00D37E40"/>
    <w:rsid w:val="00D40010"/>
    <w:rsid w:val="00D40C15"/>
    <w:rsid w:val="00D424DB"/>
    <w:rsid w:val="00D429FE"/>
    <w:rsid w:val="00D42B8D"/>
    <w:rsid w:val="00D42E9F"/>
    <w:rsid w:val="00D438A4"/>
    <w:rsid w:val="00D43D13"/>
    <w:rsid w:val="00D451B9"/>
    <w:rsid w:val="00D47E9B"/>
    <w:rsid w:val="00D50119"/>
    <w:rsid w:val="00D51C7E"/>
    <w:rsid w:val="00D53A31"/>
    <w:rsid w:val="00D53F71"/>
    <w:rsid w:val="00D5473A"/>
    <w:rsid w:val="00D55C42"/>
    <w:rsid w:val="00D55D4B"/>
    <w:rsid w:val="00D562A6"/>
    <w:rsid w:val="00D56625"/>
    <w:rsid w:val="00D57502"/>
    <w:rsid w:val="00D600E9"/>
    <w:rsid w:val="00D602B5"/>
    <w:rsid w:val="00D6100C"/>
    <w:rsid w:val="00D6131F"/>
    <w:rsid w:val="00D63655"/>
    <w:rsid w:val="00D64E6A"/>
    <w:rsid w:val="00D6564E"/>
    <w:rsid w:val="00D666FA"/>
    <w:rsid w:val="00D674E4"/>
    <w:rsid w:val="00D67749"/>
    <w:rsid w:val="00D677C0"/>
    <w:rsid w:val="00D679BF"/>
    <w:rsid w:val="00D7026B"/>
    <w:rsid w:val="00D7138B"/>
    <w:rsid w:val="00D71612"/>
    <w:rsid w:val="00D71FBB"/>
    <w:rsid w:val="00D720E5"/>
    <w:rsid w:val="00D72120"/>
    <w:rsid w:val="00D7231C"/>
    <w:rsid w:val="00D74850"/>
    <w:rsid w:val="00D75608"/>
    <w:rsid w:val="00D75A85"/>
    <w:rsid w:val="00D760FE"/>
    <w:rsid w:val="00D76CBA"/>
    <w:rsid w:val="00D77155"/>
    <w:rsid w:val="00D776E6"/>
    <w:rsid w:val="00D77C51"/>
    <w:rsid w:val="00D804CA"/>
    <w:rsid w:val="00D80621"/>
    <w:rsid w:val="00D821AA"/>
    <w:rsid w:val="00D827B1"/>
    <w:rsid w:val="00D83C62"/>
    <w:rsid w:val="00D867F7"/>
    <w:rsid w:val="00D90086"/>
    <w:rsid w:val="00D91D0D"/>
    <w:rsid w:val="00D91D6E"/>
    <w:rsid w:val="00D929C5"/>
    <w:rsid w:val="00D93B2D"/>
    <w:rsid w:val="00D9452F"/>
    <w:rsid w:val="00D94CCC"/>
    <w:rsid w:val="00D95AEA"/>
    <w:rsid w:val="00D97158"/>
    <w:rsid w:val="00D97443"/>
    <w:rsid w:val="00D977CF"/>
    <w:rsid w:val="00D97A8B"/>
    <w:rsid w:val="00D97E6C"/>
    <w:rsid w:val="00DA1324"/>
    <w:rsid w:val="00DA1A8C"/>
    <w:rsid w:val="00DA1AAE"/>
    <w:rsid w:val="00DA25A7"/>
    <w:rsid w:val="00DA4CB5"/>
    <w:rsid w:val="00DA500D"/>
    <w:rsid w:val="00DA769F"/>
    <w:rsid w:val="00DA7C6F"/>
    <w:rsid w:val="00DB0851"/>
    <w:rsid w:val="00DB1626"/>
    <w:rsid w:val="00DB1DC8"/>
    <w:rsid w:val="00DB2A52"/>
    <w:rsid w:val="00DB3C52"/>
    <w:rsid w:val="00DB46C5"/>
    <w:rsid w:val="00DB584B"/>
    <w:rsid w:val="00DB6377"/>
    <w:rsid w:val="00DB64D3"/>
    <w:rsid w:val="00DB6BCA"/>
    <w:rsid w:val="00DB7BB3"/>
    <w:rsid w:val="00DB7DD7"/>
    <w:rsid w:val="00DC38E5"/>
    <w:rsid w:val="00DC5E8C"/>
    <w:rsid w:val="00DC6DA3"/>
    <w:rsid w:val="00DD03D8"/>
    <w:rsid w:val="00DD1082"/>
    <w:rsid w:val="00DD134D"/>
    <w:rsid w:val="00DD3649"/>
    <w:rsid w:val="00DD4614"/>
    <w:rsid w:val="00DD49B4"/>
    <w:rsid w:val="00DD4E6E"/>
    <w:rsid w:val="00DD617E"/>
    <w:rsid w:val="00DE0110"/>
    <w:rsid w:val="00DE1593"/>
    <w:rsid w:val="00DE2645"/>
    <w:rsid w:val="00DE2867"/>
    <w:rsid w:val="00DE2D1D"/>
    <w:rsid w:val="00DE2F08"/>
    <w:rsid w:val="00DE3014"/>
    <w:rsid w:val="00DE35D9"/>
    <w:rsid w:val="00DE38D7"/>
    <w:rsid w:val="00DE40AF"/>
    <w:rsid w:val="00DE43A4"/>
    <w:rsid w:val="00DE448B"/>
    <w:rsid w:val="00DE44FC"/>
    <w:rsid w:val="00DE4974"/>
    <w:rsid w:val="00DE6A09"/>
    <w:rsid w:val="00DE7965"/>
    <w:rsid w:val="00DE7A88"/>
    <w:rsid w:val="00DE7ED9"/>
    <w:rsid w:val="00DF1350"/>
    <w:rsid w:val="00DF14C0"/>
    <w:rsid w:val="00DF1980"/>
    <w:rsid w:val="00DF20EF"/>
    <w:rsid w:val="00DF472D"/>
    <w:rsid w:val="00DF4B2E"/>
    <w:rsid w:val="00E00144"/>
    <w:rsid w:val="00E002A2"/>
    <w:rsid w:val="00E01B1B"/>
    <w:rsid w:val="00E01B4C"/>
    <w:rsid w:val="00E01B7F"/>
    <w:rsid w:val="00E01E22"/>
    <w:rsid w:val="00E02AD7"/>
    <w:rsid w:val="00E03AE6"/>
    <w:rsid w:val="00E03BE6"/>
    <w:rsid w:val="00E042E1"/>
    <w:rsid w:val="00E04E2E"/>
    <w:rsid w:val="00E0567C"/>
    <w:rsid w:val="00E05DF9"/>
    <w:rsid w:val="00E06400"/>
    <w:rsid w:val="00E10856"/>
    <w:rsid w:val="00E108FF"/>
    <w:rsid w:val="00E1119E"/>
    <w:rsid w:val="00E1183E"/>
    <w:rsid w:val="00E1267A"/>
    <w:rsid w:val="00E131A7"/>
    <w:rsid w:val="00E15B05"/>
    <w:rsid w:val="00E15E2A"/>
    <w:rsid w:val="00E16094"/>
    <w:rsid w:val="00E170D5"/>
    <w:rsid w:val="00E173B6"/>
    <w:rsid w:val="00E176DA"/>
    <w:rsid w:val="00E21650"/>
    <w:rsid w:val="00E216FE"/>
    <w:rsid w:val="00E21BF2"/>
    <w:rsid w:val="00E22122"/>
    <w:rsid w:val="00E2236F"/>
    <w:rsid w:val="00E23E72"/>
    <w:rsid w:val="00E241AC"/>
    <w:rsid w:val="00E244F1"/>
    <w:rsid w:val="00E24B34"/>
    <w:rsid w:val="00E258F1"/>
    <w:rsid w:val="00E265E2"/>
    <w:rsid w:val="00E26A02"/>
    <w:rsid w:val="00E27348"/>
    <w:rsid w:val="00E279F1"/>
    <w:rsid w:val="00E27B58"/>
    <w:rsid w:val="00E27CE1"/>
    <w:rsid w:val="00E30ADA"/>
    <w:rsid w:val="00E31DDD"/>
    <w:rsid w:val="00E32B07"/>
    <w:rsid w:val="00E32FD9"/>
    <w:rsid w:val="00E33045"/>
    <w:rsid w:val="00E336AA"/>
    <w:rsid w:val="00E33F23"/>
    <w:rsid w:val="00E34095"/>
    <w:rsid w:val="00E35F81"/>
    <w:rsid w:val="00E36DAC"/>
    <w:rsid w:val="00E370B0"/>
    <w:rsid w:val="00E37518"/>
    <w:rsid w:val="00E3775C"/>
    <w:rsid w:val="00E37B00"/>
    <w:rsid w:val="00E40B8D"/>
    <w:rsid w:val="00E40EDA"/>
    <w:rsid w:val="00E41328"/>
    <w:rsid w:val="00E41C1D"/>
    <w:rsid w:val="00E42052"/>
    <w:rsid w:val="00E42619"/>
    <w:rsid w:val="00E43132"/>
    <w:rsid w:val="00E453A6"/>
    <w:rsid w:val="00E459EB"/>
    <w:rsid w:val="00E46DD4"/>
    <w:rsid w:val="00E46E4F"/>
    <w:rsid w:val="00E47181"/>
    <w:rsid w:val="00E51845"/>
    <w:rsid w:val="00E5259C"/>
    <w:rsid w:val="00E52A0F"/>
    <w:rsid w:val="00E5391E"/>
    <w:rsid w:val="00E539DD"/>
    <w:rsid w:val="00E53E51"/>
    <w:rsid w:val="00E5413C"/>
    <w:rsid w:val="00E54646"/>
    <w:rsid w:val="00E55AC4"/>
    <w:rsid w:val="00E56648"/>
    <w:rsid w:val="00E61279"/>
    <w:rsid w:val="00E614DA"/>
    <w:rsid w:val="00E617C6"/>
    <w:rsid w:val="00E61A27"/>
    <w:rsid w:val="00E61AF3"/>
    <w:rsid w:val="00E61D5C"/>
    <w:rsid w:val="00E62963"/>
    <w:rsid w:val="00E636D7"/>
    <w:rsid w:val="00E641E9"/>
    <w:rsid w:val="00E64619"/>
    <w:rsid w:val="00E646DE"/>
    <w:rsid w:val="00E64CBF"/>
    <w:rsid w:val="00E65539"/>
    <w:rsid w:val="00E6653A"/>
    <w:rsid w:val="00E6736E"/>
    <w:rsid w:val="00E677EF"/>
    <w:rsid w:val="00E70823"/>
    <w:rsid w:val="00E709BA"/>
    <w:rsid w:val="00E71773"/>
    <w:rsid w:val="00E7185E"/>
    <w:rsid w:val="00E71F57"/>
    <w:rsid w:val="00E73BF7"/>
    <w:rsid w:val="00E751EA"/>
    <w:rsid w:val="00E75212"/>
    <w:rsid w:val="00E7610C"/>
    <w:rsid w:val="00E76CD5"/>
    <w:rsid w:val="00E7708A"/>
    <w:rsid w:val="00E813CA"/>
    <w:rsid w:val="00E81556"/>
    <w:rsid w:val="00E815F9"/>
    <w:rsid w:val="00E822A2"/>
    <w:rsid w:val="00E8244C"/>
    <w:rsid w:val="00E82D99"/>
    <w:rsid w:val="00E84A6E"/>
    <w:rsid w:val="00E852EA"/>
    <w:rsid w:val="00E85C73"/>
    <w:rsid w:val="00E85EEF"/>
    <w:rsid w:val="00E86733"/>
    <w:rsid w:val="00E87AB0"/>
    <w:rsid w:val="00E90251"/>
    <w:rsid w:val="00E90908"/>
    <w:rsid w:val="00E9165F"/>
    <w:rsid w:val="00E91A20"/>
    <w:rsid w:val="00E91EF2"/>
    <w:rsid w:val="00E927FA"/>
    <w:rsid w:val="00E967A7"/>
    <w:rsid w:val="00E969BA"/>
    <w:rsid w:val="00EA1090"/>
    <w:rsid w:val="00EA4E6B"/>
    <w:rsid w:val="00EA5C59"/>
    <w:rsid w:val="00EA5F36"/>
    <w:rsid w:val="00EA7A8E"/>
    <w:rsid w:val="00EA7C2F"/>
    <w:rsid w:val="00EB0619"/>
    <w:rsid w:val="00EB2DF9"/>
    <w:rsid w:val="00EB446A"/>
    <w:rsid w:val="00EB46EF"/>
    <w:rsid w:val="00EB4924"/>
    <w:rsid w:val="00EB5FF9"/>
    <w:rsid w:val="00EB6073"/>
    <w:rsid w:val="00EB68A5"/>
    <w:rsid w:val="00EC115F"/>
    <w:rsid w:val="00EC15E5"/>
    <w:rsid w:val="00EC19A2"/>
    <w:rsid w:val="00EC2A4B"/>
    <w:rsid w:val="00EC2C2B"/>
    <w:rsid w:val="00EC3EAA"/>
    <w:rsid w:val="00EC3F96"/>
    <w:rsid w:val="00EC4D08"/>
    <w:rsid w:val="00EC55EC"/>
    <w:rsid w:val="00EC7040"/>
    <w:rsid w:val="00EC71FC"/>
    <w:rsid w:val="00EC72E7"/>
    <w:rsid w:val="00EC7F75"/>
    <w:rsid w:val="00EC7FBA"/>
    <w:rsid w:val="00ED0222"/>
    <w:rsid w:val="00ED02DA"/>
    <w:rsid w:val="00ED0562"/>
    <w:rsid w:val="00ED06E6"/>
    <w:rsid w:val="00ED073F"/>
    <w:rsid w:val="00ED07D6"/>
    <w:rsid w:val="00ED113E"/>
    <w:rsid w:val="00ED1741"/>
    <w:rsid w:val="00ED1C66"/>
    <w:rsid w:val="00ED1F8A"/>
    <w:rsid w:val="00ED3271"/>
    <w:rsid w:val="00ED3636"/>
    <w:rsid w:val="00ED3E24"/>
    <w:rsid w:val="00ED444B"/>
    <w:rsid w:val="00ED5415"/>
    <w:rsid w:val="00ED5DFC"/>
    <w:rsid w:val="00ED6CE6"/>
    <w:rsid w:val="00ED73A2"/>
    <w:rsid w:val="00EE0ACF"/>
    <w:rsid w:val="00EE0F8F"/>
    <w:rsid w:val="00EE0FA1"/>
    <w:rsid w:val="00EE1E05"/>
    <w:rsid w:val="00EE3840"/>
    <w:rsid w:val="00EE6EE1"/>
    <w:rsid w:val="00EE792B"/>
    <w:rsid w:val="00EE799C"/>
    <w:rsid w:val="00EF0A38"/>
    <w:rsid w:val="00EF26FB"/>
    <w:rsid w:val="00EF3C02"/>
    <w:rsid w:val="00EF41AA"/>
    <w:rsid w:val="00EF49E9"/>
    <w:rsid w:val="00EF4BE5"/>
    <w:rsid w:val="00EF6388"/>
    <w:rsid w:val="00EF642B"/>
    <w:rsid w:val="00EF7EF0"/>
    <w:rsid w:val="00F00B2B"/>
    <w:rsid w:val="00F0128E"/>
    <w:rsid w:val="00F01D0B"/>
    <w:rsid w:val="00F0385A"/>
    <w:rsid w:val="00F03BEF"/>
    <w:rsid w:val="00F048B7"/>
    <w:rsid w:val="00F0627E"/>
    <w:rsid w:val="00F06319"/>
    <w:rsid w:val="00F06E12"/>
    <w:rsid w:val="00F110B5"/>
    <w:rsid w:val="00F12072"/>
    <w:rsid w:val="00F123B7"/>
    <w:rsid w:val="00F12718"/>
    <w:rsid w:val="00F15B2B"/>
    <w:rsid w:val="00F15DE6"/>
    <w:rsid w:val="00F1650E"/>
    <w:rsid w:val="00F2018C"/>
    <w:rsid w:val="00F2036D"/>
    <w:rsid w:val="00F215B1"/>
    <w:rsid w:val="00F216D1"/>
    <w:rsid w:val="00F220C4"/>
    <w:rsid w:val="00F222AB"/>
    <w:rsid w:val="00F2359F"/>
    <w:rsid w:val="00F2378F"/>
    <w:rsid w:val="00F241D3"/>
    <w:rsid w:val="00F2470D"/>
    <w:rsid w:val="00F24D29"/>
    <w:rsid w:val="00F25ECE"/>
    <w:rsid w:val="00F270C7"/>
    <w:rsid w:val="00F276A1"/>
    <w:rsid w:val="00F27F76"/>
    <w:rsid w:val="00F330E8"/>
    <w:rsid w:val="00F337FA"/>
    <w:rsid w:val="00F3421F"/>
    <w:rsid w:val="00F34494"/>
    <w:rsid w:val="00F3450F"/>
    <w:rsid w:val="00F3516E"/>
    <w:rsid w:val="00F35DA1"/>
    <w:rsid w:val="00F36C92"/>
    <w:rsid w:val="00F405E1"/>
    <w:rsid w:val="00F4185A"/>
    <w:rsid w:val="00F4246B"/>
    <w:rsid w:val="00F4259E"/>
    <w:rsid w:val="00F43325"/>
    <w:rsid w:val="00F437BD"/>
    <w:rsid w:val="00F442B8"/>
    <w:rsid w:val="00F454CE"/>
    <w:rsid w:val="00F45DF2"/>
    <w:rsid w:val="00F46FE9"/>
    <w:rsid w:val="00F476D0"/>
    <w:rsid w:val="00F50F22"/>
    <w:rsid w:val="00F522AB"/>
    <w:rsid w:val="00F5347B"/>
    <w:rsid w:val="00F537F8"/>
    <w:rsid w:val="00F538CA"/>
    <w:rsid w:val="00F55845"/>
    <w:rsid w:val="00F55C93"/>
    <w:rsid w:val="00F55D36"/>
    <w:rsid w:val="00F55F64"/>
    <w:rsid w:val="00F56734"/>
    <w:rsid w:val="00F5728F"/>
    <w:rsid w:val="00F57DE0"/>
    <w:rsid w:val="00F57EC2"/>
    <w:rsid w:val="00F612B1"/>
    <w:rsid w:val="00F615A1"/>
    <w:rsid w:val="00F6286D"/>
    <w:rsid w:val="00F63753"/>
    <w:rsid w:val="00F6445C"/>
    <w:rsid w:val="00F65FF9"/>
    <w:rsid w:val="00F66B69"/>
    <w:rsid w:val="00F66F26"/>
    <w:rsid w:val="00F72130"/>
    <w:rsid w:val="00F73BA2"/>
    <w:rsid w:val="00F74BC1"/>
    <w:rsid w:val="00F74E38"/>
    <w:rsid w:val="00F766D7"/>
    <w:rsid w:val="00F76FB2"/>
    <w:rsid w:val="00F775F7"/>
    <w:rsid w:val="00F77CCE"/>
    <w:rsid w:val="00F80144"/>
    <w:rsid w:val="00F816B3"/>
    <w:rsid w:val="00F8170E"/>
    <w:rsid w:val="00F829C8"/>
    <w:rsid w:val="00F84691"/>
    <w:rsid w:val="00F84919"/>
    <w:rsid w:val="00F858E5"/>
    <w:rsid w:val="00F86A77"/>
    <w:rsid w:val="00F8777D"/>
    <w:rsid w:val="00F91100"/>
    <w:rsid w:val="00F91F41"/>
    <w:rsid w:val="00F91FC1"/>
    <w:rsid w:val="00F92104"/>
    <w:rsid w:val="00F92CE5"/>
    <w:rsid w:val="00F94524"/>
    <w:rsid w:val="00F9559A"/>
    <w:rsid w:val="00F95683"/>
    <w:rsid w:val="00F95EB3"/>
    <w:rsid w:val="00F95F4E"/>
    <w:rsid w:val="00F971F9"/>
    <w:rsid w:val="00F97A75"/>
    <w:rsid w:val="00FA0844"/>
    <w:rsid w:val="00FA1B61"/>
    <w:rsid w:val="00FA3262"/>
    <w:rsid w:val="00FA4CA3"/>
    <w:rsid w:val="00FA59E4"/>
    <w:rsid w:val="00FA5C3D"/>
    <w:rsid w:val="00FA68DF"/>
    <w:rsid w:val="00FA693D"/>
    <w:rsid w:val="00FB0604"/>
    <w:rsid w:val="00FB08A7"/>
    <w:rsid w:val="00FB0C15"/>
    <w:rsid w:val="00FB1427"/>
    <w:rsid w:val="00FB195E"/>
    <w:rsid w:val="00FB1BDF"/>
    <w:rsid w:val="00FB1DD1"/>
    <w:rsid w:val="00FB26C8"/>
    <w:rsid w:val="00FB2A00"/>
    <w:rsid w:val="00FB33F6"/>
    <w:rsid w:val="00FB373D"/>
    <w:rsid w:val="00FB6BC9"/>
    <w:rsid w:val="00FB70C4"/>
    <w:rsid w:val="00FB70F3"/>
    <w:rsid w:val="00FB7609"/>
    <w:rsid w:val="00FC05D4"/>
    <w:rsid w:val="00FC26D2"/>
    <w:rsid w:val="00FC3536"/>
    <w:rsid w:val="00FC3FB7"/>
    <w:rsid w:val="00FC5E1B"/>
    <w:rsid w:val="00FC7280"/>
    <w:rsid w:val="00FC77E1"/>
    <w:rsid w:val="00FC7D44"/>
    <w:rsid w:val="00FC7ECB"/>
    <w:rsid w:val="00FD08C0"/>
    <w:rsid w:val="00FD1702"/>
    <w:rsid w:val="00FD1897"/>
    <w:rsid w:val="00FD20BE"/>
    <w:rsid w:val="00FD279A"/>
    <w:rsid w:val="00FD2A2A"/>
    <w:rsid w:val="00FD3661"/>
    <w:rsid w:val="00FD4276"/>
    <w:rsid w:val="00FD4336"/>
    <w:rsid w:val="00FD434D"/>
    <w:rsid w:val="00FD5D54"/>
    <w:rsid w:val="00FE10EC"/>
    <w:rsid w:val="00FE1BF0"/>
    <w:rsid w:val="00FE78A5"/>
    <w:rsid w:val="00FF0124"/>
    <w:rsid w:val="00FF01B6"/>
    <w:rsid w:val="00FF03C1"/>
    <w:rsid w:val="00FF1981"/>
    <w:rsid w:val="00FF1C7F"/>
    <w:rsid w:val="00FF1F87"/>
    <w:rsid w:val="00FF2FBA"/>
    <w:rsid w:val="00FF31B3"/>
    <w:rsid w:val="00FF3B45"/>
    <w:rsid w:val="00FF3CCE"/>
    <w:rsid w:val="00FF4857"/>
    <w:rsid w:val="00FF4D28"/>
    <w:rsid w:val="00FF52BF"/>
    <w:rsid w:val="00FF5AF5"/>
    <w:rsid w:val="00FF6031"/>
    <w:rsid w:val="00FF65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ecimalSymbol w:val="."/>
  <w:listSeparator w:val=","/>
  <w14:docId w14:val="177A0CD4"/>
  <w15:docId w15:val="{30F0A8BD-104B-4008-BBA1-7AAC4C86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before="160" w:after="10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96" w:unhideWhenUsed="1"/>
    <w:lsdException w:name="toc 8" w:semiHidden="1" w:uiPriority="96"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unhideWhenUsed="1"/>
    <w:lsdException w:name="List Bullet" w:semiHidden="1" w:uiPriority="19" w:unhideWhenUsed="1" w:qFormat="1"/>
    <w:lsdException w:name="List Number" w:uiPriority="7" w:unhideWhenUsed="1" w:qFormat="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7"/>
    <w:lsdException w:name="List Number 3" w:semiHidden="1" w:uiPriority="7" w:unhideWhenUsed="1"/>
    <w:lsdException w:name="List Number 4" w:semiHidden="1" w:uiPriority="19" w:unhideWhenUsed="1"/>
    <w:lsdException w:name="List Number 5"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uiPriority="24" w:unhideWhenUsed="1" w:qFormat="1"/>
    <w:lsdException w:name="List Continue 2"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D00"/>
    <w:pPr>
      <w:keepLines/>
      <w:spacing w:line="276" w:lineRule="auto"/>
    </w:pPr>
    <w:rPr>
      <w:rFonts w:eastAsiaTheme="minorEastAsia"/>
      <w:spacing w:val="2"/>
      <w:lang w:eastAsia="en-AU"/>
    </w:rPr>
  </w:style>
  <w:style w:type="paragraph" w:styleId="Heading1">
    <w:name w:val="heading 1"/>
    <w:next w:val="Normal"/>
    <w:link w:val="Heading1Char"/>
    <w:qFormat/>
    <w:rsid w:val="00A162C2"/>
    <w:pPr>
      <w:keepNext/>
      <w:keepLines/>
      <w:spacing w:before="600" w:after="240" w:line="276" w:lineRule="auto"/>
      <w:outlineLvl w:val="0"/>
    </w:pPr>
    <w:rPr>
      <w:rFonts w:asciiTheme="majorHAnsi" w:eastAsiaTheme="majorEastAsia" w:hAnsiTheme="majorHAnsi" w:cstheme="majorBidi"/>
      <w:b/>
      <w:bCs/>
      <w:color w:val="53565A" w:themeColor="text2"/>
      <w:spacing w:val="-1"/>
      <w:sz w:val="36"/>
      <w:szCs w:val="28"/>
      <w:lang w:eastAsia="en-AU"/>
    </w:rPr>
  </w:style>
  <w:style w:type="paragraph" w:styleId="Heading2">
    <w:name w:val="heading 2"/>
    <w:basedOn w:val="Normal"/>
    <w:next w:val="Normal"/>
    <w:link w:val="Heading2Char"/>
    <w:qFormat/>
    <w:rsid w:val="00A162C2"/>
    <w:pPr>
      <w:keepNext/>
      <w:spacing w:before="280" w:after="240"/>
      <w:outlineLvl w:val="1"/>
    </w:pPr>
    <w:rPr>
      <w:rFonts w:asciiTheme="majorHAnsi" w:eastAsiaTheme="majorEastAsia" w:hAnsiTheme="majorHAnsi" w:cstheme="majorBidi"/>
      <w:b/>
      <w:bCs/>
      <w:color w:val="53565A" w:themeColor="text2"/>
      <w:sz w:val="28"/>
      <w:szCs w:val="26"/>
    </w:rPr>
  </w:style>
  <w:style w:type="paragraph" w:styleId="Heading3">
    <w:name w:val="heading 3"/>
    <w:basedOn w:val="Normal"/>
    <w:next w:val="Normal"/>
    <w:link w:val="Heading3Char"/>
    <w:qFormat/>
    <w:rsid w:val="00A162C2"/>
    <w:pPr>
      <w:keepNext/>
      <w:spacing w:before="240" w:after="120"/>
      <w:outlineLvl w:val="2"/>
    </w:pPr>
    <w:rPr>
      <w:rFonts w:asciiTheme="majorHAnsi" w:eastAsiaTheme="majorEastAsia" w:hAnsiTheme="majorHAnsi" w:cstheme="majorBidi"/>
      <w:b/>
      <w:bCs/>
      <w:color w:val="53565A" w:themeColor="text2"/>
      <w:sz w:val="22"/>
      <w:szCs w:val="22"/>
    </w:rPr>
  </w:style>
  <w:style w:type="paragraph" w:styleId="Heading4">
    <w:name w:val="heading 4"/>
    <w:basedOn w:val="Normal"/>
    <w:next w:val="Normal"/>
    <w:link w:val="Heading4Char"/>
    <w:qFormat/>
    <w:rsid w:val="00A162C2"/>
    <w:pPr>
      <w:keepNext/>
      <w:spacing w:before="200" w:after="0"/>
      <w:ind w:left="792"/>
      <w:outlineLvl w:val="3"/>
    </w:pPr>
    <w:rPr>
      <w:rFonts w:asciiTheme="majorHAnsi" w:eastAsiaTheme="majorEastAsia" w:hAnsiTheme="majorHAnsi" w:cstheme="majorBidi"/>
      <w:b/>
      <w:bCs/>
      <w:iCs/>
      <w:color w:val="53565A"/>
    </w:rPr>
  </w:style>
  <w:style w:type="paragraph" w:styleId="Heading5">
    <w:name w:val="heading 5"/>
    <w:basedOn w:val="Heading4"/>
    <w:next w:val="Normal"/>
    <w:link w:val="Heading5Char"/>
    <w:uiPriority w:val="9"/>
    <w:rsid w:val="00A162C2"/>
    <w:pPr>
      <w:numPr>
        <w:ilvl w:val="4"/>
      </w:numPr>
      <w:ind w:left="792"/>
      <w:outlineLvl w:val="4"/>
    </w:pPr>
    <w:rPr>
      <w:b w:val="0"/>
      <w:i/>
    </w:rPr>
  </w:style>
  <w:style w:type="paragraph" w:styleId="Heading6">
    <w:name w:val="heading 6"/>
    <w:basedOn w:val="Normal"/>
    <w:next w:val="Normal"/>
    <w:link w:val="Heading6Char"/>
    <w:uiPriority w:val="9"/>
    <w:semiHidden/>
    <w:unhideWhenUsed/>
    <w:rsid w:val="00A162C2"/>
    <w:pPr>
      <w:keepNext/>
      <w:numPr>
        <w:ilvl w:val="5"/>
        <w:numId w:val="19"/>
      </w:numPr>
      <w:spacing w:before="200"/>
      <w:outlineLvl w:val="5"/>
    </w:pPr>
    <w:rPr>
      <w:rFonts w:asciiTheme="majorHAnsi" w:eastAsiaTheme="majorEastAsia" w:hAnsiTheme="majorHAnsi" w:cstheme="majorBidi"/>
      <w:i/>
      <w:iCs/>
      <w:color w:val="702802" w:themeColor="accent1" w:themeShade="7F"/>
    </w:rPr>
  </w:style>
  <w:style w:type="paragraph" w:styleId="Heading7">
    <w:name w:val="heading 7"/>
    <w:basedOn w:val="Normal"/>
    <w:next w:val="Normal"/>
    <w:link w:val="Heading7Char"/>
    <w:uiPriority w:val="9"/>
    <w:semiHidden/>
    <w:unhideWhenUsed/>
    <w:rsid w:val="00A162C2"/>
    <w:pPr>
      <w:keepNext/>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A162C2"/>
    <w:pPr>
      <w:keepNext/>
      <w:numPr>
        <w:ilvl w:val="7"/>
        <w:numId w:val="1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A162C2"/>
    <w:pPr>
      <w:keepNext/>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2C2"/>
    <w:rPr>
      <w:rFonts w:asciiTheme="majorHAnsi" w:eastAsiaTheme="majorEastAsia" w:hAnsiTheme="majorHAnsi" w:cstheme="majorBidi"/>
      <w:b/>
      <w:bCs/>
      <w:color w:val="53565A" w:themeColor="text2"/>
      <w:spacing w:val="-1"/>
      <w:sz w:val="36"/>
      <w:szCs w:val="28"/>
      <w:lang w:eastAsia="en-AU"/>
    </w:rPr>
  </w:style>
  <w:style w:type="table" w:customStyle="1" w:styleId="GridTable1Light1">
    <w:name w:val="Grid Table 1 Light1"/>
    <w:basedOn w:val="TableNormal"/>
    <w:uiPriority w:val="46"/>
    <w:rsid w:val="00AA09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rsid w:val="00A162C2"/>
    <w:rPr>
      <w:rFonts w:asciiTheme="majorHAnsi" w:eastAsiaTheme="majorEastAsia" w:hAnsiTheme="majorHAnsi" w:cstheme="majorBidi"/>
      <w:b/>
      <w:bCs/>
      <w:color w:val="53565A" w:themeColor="text2"/>
      <w:spacing w:val="2"/>
      <w:sz w:val="22"/>
      <w:szCs w:val="22"/>
      <w:lang w:eastAsia="en-AU"/>
    </w:rPr>
  </w:style>
  <w:style w:type="character" w:customStyle="1" w:styleId="Heading2Char">
    <w:name w:val="Heading 2 Char"/>
    <w:basedOn w:val="DefaultParagraphFont"/>
    <w:link w:val="Heading2"/>
    <w:rsid w:val="00A162C2"/>
    <w:rPr>
      <w:rFonts w:asciiTheme="majorHAnsi" w:eastAsiaTheme="majorEastAsia" w:hAnsiTheme="majorHAnsi" w:cstheme="majorBidi"/>
      <w:b/>
      <w:bCs/>
      <w:color w:val="53565A" w:themeColor="text2"/>
      <w:spacing w:val="2"/>
      <w:sz w:val="28"/>
      <w:szCs w:val="26"/>
      <w:lang w:eastAsia="en-AU"/>
    </w:rPr>
  </w:style>
  <w:style w:type="character" w:customStyle="1" w:styleId="Heading4Char">
    <w:name w:val="Heading 4 Char"/>
    <w:basedOn w:val="DefaultParagraphFont"/>
    <w:link w:val="Heading4"/>
    <w:rsid w:val="00A162C2"/>
    <w:rPr>
      <w:rFonts w:asciiTheme="majorHAnsi" w:eastAsiaTheme="majorEastAsia" w:hAnsiTheme="majorHAnsi" w:cstheme="majorBidi"/>
      <w:b/>
      <w:bCs/>
      <w:iCs/>
      <w:color w:val="53565A"/>
      <w:spacing w:val="2"/>
      <w:lang w:eastAsia="en-AU"/>
    </w:rPr>
  </w:style>
  <w:style w:type="paragraph" w:customStyle="1" w:styleId="Source">
    <w:name w:val="Source"/>
    <w:basedOn w:val="Normal"/>
    <w:next w:val="Note"/>
    <w:uiPriority w:val="51"/>
    <w:semiHidden/>
    <w:qFormat/>
    <w:rsid w:val="00A162C2"/>
    <w:pPr>
      <w:spacing w:before="20" w:after="60"/>
    </w:pPr>
    <w:rPr>
      <w:rFonts w:asciiTheme="majorHAnsi" w:hAnsiTheme="majorHAnsi"/>
      <w:i/>
      <w:spacing w:val="-2"/>
      <w:sz w:val="14"/>
    </w:rPr>
  </w:style>
  <w:style w:type="paragraph" w:customStyle="1" w:styleId="Note">
    <w:name w:val="Note"/>
    <w:basedOn w:val="Normal"/>
    <w:link w:val="NoteChar"/>
    <w:uiPriority w:val="52"/>
    <w:semiHidden/>
    <w:qFormat/>
    <w:rsid w:val="00A162C2"/>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A162C2"/>
    <w:pPr>
      <w:pBdr>
        <w:top w:val="single" w:sz="8" w:space="3" w:color="E35205" w:themeColor="accent1"/>
        <w:left w:val="single" w:sz="8" w:space="5" w:color="E35205" w:themeColor="accent1"/>
        <w:bottom w:val="single" w:sz="8" w:space="3" w:color="E35205" w:themeColor="accent1"/>
        <w:right w:val="single" w:sz="8" w:space="5" w:color="E35205" w:themeColor="accent1"/>
      </w:pBdr>
      <w:shd w:val="clear" w:color="auto" w:fill="FDEACC" w:themeFill="accent6"/>
    </w:pPr>
  </w:style>
  <w:style w:type="table" w:styleId="TableGrid">
    <w:name w:val="Table Grid"/>
    <w:basedOn w:val="TableNormal"/>
    <w:uiPriority w:val="59"/>
    <w:rsid w:val="00AA09AA"/>
    <w:pPr>
      <w:spacing w:before="20" w:after="20" w:line="240" w:lineRule="auto"/>
    </w:pPr>
    <w:rPr>
      <w:spacing w:val="2"/>
      <w:sz w:val="17"/>
      <w:szCs w:val="21"/>
    </w:rPr>
    <w:tblPr>
      <w:tblStyleColBandSize w:val="1"/>
      <w:tblBorders>
        <w:bottom w:val="single" w:sz="12" w:space="0" w:color="E35205" w:themeColor="accent1"/>
        <w:insideH w:val="single" w:sz="6" w:space="0" w:color="A5A59D" w:themeColor="background2" w:themeShade="BF"/>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E35205" w:themeFill="accent1"/>
        <w:vAlign w:val="bottom"/>
      </w:tcPr>
    </w:tblStylePr>
    <w:tblStylePr w:type="lastRow">
      <w:rPr>
        <w:b/>
      </w:rPr>
      <w:tblPr/>
      <w:tcPr>
        <w:tcBorders>
          <w:top w:val="single" w:sz="6" w:space="0" w:color="E35205" w:themeColor="accent1"/>
          <w:left w:val="nil"/>
          <w:bottom w:val="single" w:sz="12" w:space="0" w:color="E35205"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Shading-Accent1">
    <w:name w:val="Light Shading Accent 1"/>
    <w:basedOn w:val="TableNormal"/>
    <w:uiPriority w:val="60"/>
    <w:rsid w:val="00A162C2"/>
    <w:rPr>
      <w:color w:val="A93D03" w:themeColor="accent1" w:themeShade="BF"/>
    </w:rPr>
    <w:tblPr>
      <w:tblStyleRowBandSize w:val="1"/>
      <w:tblStyleColBandSize w:val="1"/>
      <w:tblBorders>
        <w:top w:val="single" w:sz="8" w:space="0" w:color="E35205" w:themeColor="accent1"/>
        <w:bottom w:val="single" w:sz="8" w:space="0" w:color="E35205" w:themeColor="accent1"/>
      </w:tblBorders>
    </w:tblPr>
    <w:tblStylePr w:type="firstRow">
      <w:pPr>
        <w:spacing w:before="0" w:after="0" w:line="240" w:lineRule="auto"/>
      </w:pPr>
      <w:rPr>
        <w:b/>
        <w:bCs/>
      </w:rPr>
      <w:tblPr/>
      <w:tcPr>
        <w:tcBorders>
          <w:top w:val="single" w:sz="8" w:space="0" w:color="E35205" w:themeColor="accent1"/>
          <w:left w:val="nil"/>
          <w:bottom w:val="single" w:sz="8" w:space="0" w:color="E35205" w:themeColor="accent1"/>
          <w:right w:val="nil"/>
          <w:insideH w:val="nil"/>
          <w:insideV w:val="nil"/>
        </w:tcBorders>
      </w:tcPr>
    </w:tblStylePr>
    <w:tblStylePr w:type="lastRow">
      <w:pPr>
        <w:spacing w:before="0" w:after="0" w:line="240" w:lineRule="auto"/>
      </w:pPr>
      <w:rPr>
        <w:b/>
        <w:bCs/>
      </w:rPr>
      <w:tblPr/>
      <w:tcPr>
        <w:tcBorders>
          <w:top w:val="single" w:sz="8" w:space="0" w:color="E35205" w:themeColor="accent1"/>
          <w:left w:val="nil"/>
          <w:bottom w:val="single" w:sz="8" w:space="0" w:color="E3520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2BB" w:themeFill="accent1" w:themeFillTint="3F"/>
      </w:tcPr>
    </w:tblStylePr>
    <w:tblStylePr w:type="band1Horz">
      <w:tblPr/>
      <w:tcPr>
        <w:tcBorders>
          <w:left w:val="nil"/>
          <w:right w:val="nil"/>
          <w:insideH w:val="nil"/>
          <w:insideV w:val="nil"/>
        </w:tcBorders>
        <w:shd w:val="clear" w:color="auto" w:fill="FDD2BB" w:themeFill="accent1" w:themeFillTint="3F"/>
      </w:tcPr>
    </w:tblStylePr>
  </w:style>
  <w:style w:type="table" w:styleId="LightShading">
    <w:name w:val="Light Shading"/>
    <w:basedOn w:val="TableNormal"/>
    <w:uiPriority w:val="60"/>
    <w:rsid w:val="00A162C2"/>
    <w:pPr>
      <w:spacing w:before="0" w:after="0" w:line="240" w:lineRule="auto"/>
    </w:pPr>
    <w:rPr>
      <w:rFonts w:eastAsiaTheme="minorEastAsia"/>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A162C2"/>
    <w:rPr>
      <w:color w:val="E76D2E" w:themeColor="accent4" w:themeShade="BF"/>
    </w:rPr>
    <w:tblPr>
      <w:tblStyleRowBandSize w:val="1"/>
      <w:tblStyleColBandSize w:val="1"/>
      <w:tblBorders>
        <w:top w:val="single" w:sz="8" w:space="0" w:color="F1A882" w:themeColor="accent4"/>
        <w:bottom w:val="single" w:sz="8" w:space="0" w:color="F1A882" w:themeColor="accent4"/>
      </w:tblBorders>
    </w:tblPr>
    <w:tblStylePr w:type="firstRow">
      <w:pPr>
        <w:spacing w:before="0" w:after="0" w:line="240" w:lineRule="auto"/>
      </w:pPr>
      <w:rPr>
        <w:b/>
        <w:bCs/>
      </w:rPr>
      <w:tblPr/>
      <w:tcPr>
        <w:tcBorders>
          <w:top w:val="single" w:sz="8" w:space="0" w:color="F1A882" w:themeColor="accent4"/>
          <w:left w:val="nil"/>
          <w:bottom w:val="single" w:sz="8" w:space="0" w:color="F1A882" w:themeColor="accent4"/>
          <w:right w:val="nil"/>
          <w:insideH w:val="nil"/>
          <w:insideV w:val="nil"/>
        </w:tcBorders>
      </w:tcPr>
    </w:tblStylePr>
    <w:tblStylePr w:type="lastRow">
      <w:pPr>
        <w:spacing w:before="0" w:after="0" w:line="240" w:lineRule="auto"/>
      </w:pPr>
      <w:rPr>
        <w:b/>
        <w:bCs/>
      </w:rPr>
      <w:tblPr/>
      <w:tcPr>
        <w:tcBorders>
          <w:top w:val="single" w:sz="8" w:space="0" w:color="F1A882" w:themeColor="accent4"/>
          <w:left w:val="nil"/>
          <w:bottom w:val="single" w:sz="8" w:space="0" w:color="F1A88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DF" w:themeFill="accent4" w:themeFillTint="3F"/>
      </w:tcPr>
    </w:tblStylePr>
    <w:tblStylePr w:type="band1Horz">
      <w:tblPr/>
      <w:tcPr>
        <w:tcBorders>
          <w:left w:val="nil"/>
          <w:right w:val="nil"/>
          <w:insideH w:val="nil"/>
          <w:insideV w:val="nil"/>
        </w:tcBorders>
        <w:shd w:val="clear" w:color="auto" w:fill="FBE9DF" w:themeFill="accent4" w:themeFillTint="3F"/>
      </w:tcPr>
    </w:tblStylePr>
  </w:style>
  <w:style w:type="paragraph" w:customStyle="1" w:styleId="DecimalAligned">
    <w:name w:val="Decimal Aligned"/>
    <w:basedOn w:val="Normal"/>
    <w:uiPriority w:val="40"/>
    <w:semiHidden/>
    <w:rsid w:val="00A162C2"/>
    <w:pPr>
      <w:tabs>
        <w:tab w:val="decimal" w:pos="360"/>
      </w:tabs>
      <w:spacing w:after="200"/>
    </w:pPr>
    <w:rPr>
      <w:lang w:val="en-US" w:eastAsia="ja-JP"/>
    </w:rPr>
  </w:style>
  <w:style w:type="paragraph" w:styleId="FootnoteText">
    <w:name w:val="footnote text"/>
    <w:basedOn w:val="Normal"/>
    <w:link w:val="FootnoteTextChar"/>
    <w:uiPriority w:val="99"/>
    <w:rsid w:val="00A162C2"/>
    <w:pPr>
      <w:spacing w:before="0" w:after="0" w:line="240" w:lineRule="auto"/>
    </w:pPr>
    <w:rPr>
      <w:sz w:val="17"/>
    </w:rPr>
  </w:style>
  <w:style w:type="character" w:customStyle="1" w:styleId="FootnoteTextChar">
    <w:name w:val="Footnote Text Char"/>
    <w:basedOn w:val="DefaultParagraphFont"/>
    <w:link w:val="FootnoteText"/>
    <w:uiPriority w:val="99"/>
    <w:rsid w:val="00A162C2"/>
    <w:rPr>
      <w:rFonts w:eastAsiaTheme="minorEastAsia"/>
      <w:spacing w:val="2"/>
      <w:sz w:val="17"/>
      <w:lang w:eastAsia="en-AU"/>
    </w:rPr>
  </w:style>
  <w:style w:type="character" w:styleId="SubtleEmphasis">
    <w:name w:val="Subtle Emphasis"/>
    <w:basedOn w:val="DefaultParagraphFont"/>
    <w:uiPriority w:val="98"/>
    <w:semiHidden/>
    <w:rsid w:val="00A162C2"/>
    <w:rPr>
      <w:i/>
      <w:iCs/>
      <w:color w:val="7F7F7F" w:themeColor="text1" w:themeTint="80"/>
    </w:rPr>
  </w:style>
  <w:style w:type="table" w:styleId="MediumShading2-Accent5">
    <w:name w:val="Medium Shading 2 Accent 5"/>
    <w:basedOn w:val="TableNormal"/>
    <w:uiPriority w:val="64"/>
    <w:rsid w:val="00A162C2"/>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C799"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C799" w:themeFill="accent5"/>
      </w:tcPr>
    </w:tblStylePr>
    <w:tblStylePr w:type="lastCol">
      <w:rPr>
        <w:b/>
        <w:bCs/>
        <w:color w:val="FFFFFF" w:themeColor="background1"/>
      </w:rPr>
      <w:tblPr/>
      <w:tcPr>
        <w:tcBorders>
          <w:left w:val="nil"/>
          <w:right w:val="nil"/>
          <w:insideH w:val="nil"/>
          <w:insideV w:val="nil"/>
        </w:tcBorders>
        <w:shd w:val="clear" w:color="auto" w:fill="F5C79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rsid w:val="00A1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C2"/>
    <w:rPr>
      <w:rFonts w:eastAsiaTheme="minorEastAsia"/>
      <w:spacing w:val="2"/>
      <w:lang w:eastAsia="en-AU"/>
    </w:rPr>
  </w:style>
  <w:style w:type="numbering" w:styleId="111111">
    <w:name w:val="Outline List 2"/>
    <w:basedOn w:val="NoList"/>
    <w:uiPriority w:val="99"/>
    <w:semiHidden/>
    <w:unhideWhenUsed/>
    <w:rsid w:val="00A162C2"/>
    <w:pPr>
      <w:numPr>
        <w:numId w:val="14"/>
      </w:numPr>
    </w:pPr>
  </w:style>
  <w:style w:type="character" w:customStyle="1" w:styleId="FooteroddChar">
    <w:name w:val="Footer (odd) Char"/>
    <w:basedOn w:val="DefaultParagraphFont"/>
    <w:link w:val="Footerodd"/>
    <w:uiPriority w:val="84"/>
    <w:rsid w:val="00A162C2"/>
    <w:rPr>
      <w:rFonts w:asciiTheme="majorHAnsi" w:eastAsiaTheme="minorEastAsia" w:hAnsiTheme="majorHAnsi"/>
      <w:noProof/>
      <w:spacing w:val="2"/>
      <w:sz w:val="18"/>
      <w:szCs w:val="18"/>
      <w:lang w:eastAsia="en-AU"/>
    </w:rPr>
  </w:style>
  <w:style w:type="paragraph" w:customStyle="1" w:styleId="Footerodd">
    <w:name w:val="Footer (odd)"/>
    <w:basedOn w:val="Footer"/>
    <w:link w:val="FooteroddChar"/>
    <w:uiPriority w:val="84"/>
    <w:rsid w:val="00A162C2"/>
    <w:pPr>
      <w:tabs>
        <w:tab w:val="clear" w:pos="9026"/>
        <w:tab w:val="right" w:pos="9084"/>
      </w:tabs>
    </w:pPr>
    <w:rPr>
      <w:rFonts w:asciiTheme="majorHAnsi" w:hAnsiTheme="majorHAnsi"/>
    </w:rPr>
  </w:style>
  <w:style w:type="paragraph" w:customStyle="1" w:styleId="NoteDash">
    <w:name w:val="Note Dash"/>
    <w:basedOn w:val="Note"/>
    <w:next w:val="Note"/>
    <w:uiPriority w:val="53"/>
    <w:semiHidden/>
    <w:rsid w:val="00A162C2"/>
    <w:pPr>
      <w:numPr>
        <w:numId w:val="24"/>
      </w:numPr>
    </w:pPr>
  </w:style>
  <w:style w:type="character" w:customStyle="1" w:styleId="NoteChar">
    <w:name w:val="Note Char"/>
    <w:basedOn w:val="DefaultParagraphFont"/>
    <w:link w:val="Note"/>
    <w:uiPriority w:val="52"/>
    <w:semiHidden/>
    <w:rsid w:val="00A162C2"/>
    <w:rPr>
      <w:rFonts w:asciiTheme="majorHAnsi" w:eastAsiaTheme="minorEastAsia" w:hAnsiTheme="majorHAnsi"/>
      <w:i/>
      <w:spacing w:val="-2"/>
      <w:sz w:val="14"/>
      <w:lang w:eastAsia="en-AU"/>
    </w:rPr>
  </w:style>
  <w:style w:type="paragraph" w:styleId="TOC1">
    <w:name w:val="toc 1"/>
    <w:basedOn w:val="Normal"/>
    <w:next w:val="Normal"/>
    <w:uiPriority w:val="39"/>
    <w:rsid w:val="00C44C0A"/>
    <w:pPr>
      <w:tabs>
        <w:tab w:val="left" w:pos="432"/>
        <w:tab w:val="right" w:pos="8496"/>
      </w:tabs>
      <w:ind w:right="432"/>
    </w:pPr>
    <w:rPr>
      <w:b/>
      <w:noProof/>
      <w:sz w:val="22"/>
      <w:szCs w:val="24"/>
    </w:rPr>
  </w:style>
  <w:style w:type="numbering" w:customStyle="1" w:styleId="Bullet">
    <w:name w:val="Bullet"/>
    <w:uiPriority w:val="99"/>
    <w:rsid w:val="00A162C2"/>
    <w:pPr>
      <w:numPr>
        <w:numId w:val="17"/>
      </w:numPr>
    </w:pPr>
  </w:style>
  <w:style w:type="character" w:customStyle="1" w:styleId="Heading5Char">
    <w:name w:val="Heading 5 Char"/>
    <w:basedOn w:val="DefaultParagraphFont"/>
    <w:link w:val="Heading5"/>
    <w:uiPriority w:val="9"/>
    <w:rsid w:val="00A162C2"/>
    <w:rPr>
      <w:rFonts w:asciiTheme="majorHAnsi" w:eastAsiaTheme="majorEastAsia" w:hAnsiTheme="majorHAnsi" w:cstheme="majorBidi"/>
      <w:bCs/>
      <w:i/>
      <w:iCs/>
      <w:color w:val="53565A"/>
      <w:spacing w:val="2"/>
      <w:lang w:eastAsia="en-AU"/>
    </w:rPr>
  </w:style>
  <w:style w:type="paragraph" w:styleId="List">
    <w:name w:val="List"/>
    <w:basedOn w:val="Normal"/>
    <w:uiPriority w:val="29"/>
    <w:rsid w:val="00A162C2"/>
    <w:pPr>
      <w:tabs>
        <w:tab w:val="left" w:pos="284"/>
        <w:tab w:val="left" w:pos="567"/>
        <w:tab w:val="left" w:pos="851"/>
      </w:tabs>
    </w:pPr>
  </w:style>
  <w:style w:type="paragraph" w:styleId="Footer">
    <w:name w:val="footer"/>
    <w:basedOn w:val="Normal"/>
    <w:link w:val="FooterChar"/>
    <w:uiPriority w:val="24"/>
    <w:rsid w:val="00A162C2"/>
    <w:pPr>
      <w:tabs>
        <w:tab w:val="right" w:pos="9026"/>
      </w:tabs>
      <w:spacing w:before="0" w:after="0" w:line="240" w:lineRule="auto"/>
    </w:pPr>
    <w:rPr>
      <w:noProof/>
      <w:sz w:val="18"/>
      <w:szCs w:val="18"/>
    </w:rPr>
  </w:style>
  <w:style w:type="paragraph" w:styleId="TOC2">
    <w:name w:val="toc 2"/>
    <w:next w:val="Normal"/>
    <w:uiPriority w:val="39"/>
    <w:rsid w:val="00A162C2"/>
    <w:pPr>
      <w:tabs>
        <w:tab w:val="left" w:pos="1080"/>
        <w:tab w:val="right" w:leader="dot" w:pos="8496"/>
      </w:tabs>
      <w:spacing w:before="0" w:line="276" w:lineRule="auto"/>
      <w:ind w:left="446" w:right="432"/>
      <w:contextualSpacing/>
    </w:pPr>
    <w:rPr>
      <w:rFonts w:eastAsiaTheme="minorEastAsia"/>
      <w:noProof/>
      <w:spacing w:val="2"/>
      <w:lang w:eastAsia="en-AU"/>
    </w:rPr>
  </w:style>
  <w:style w:type="character" w:styleId="PageNumber">
    <w:name w:val="page number"/>
    <w:uiPriority w:val="49"/>
    <w:semiHidden/>
    <w:rsid w:val="00A162C2"/>
    <w:rPr>
      <w:rFonts w:asciiTheme="minorHAnsi" w:hAnsiTheme="minorHAnsi"/>
      <w:b w:val="0"/>
      <w:color w:val="000000" w:themeColor="text1"/>
    </w:rPr>
  </w:style>
  <w:style w:type="paragraph" w:styleId="TOC3">
    <w:name w:val="toc 3"/>
    <w:basedOn w:val="Normal"/>
    <w:next w:val="Normal"/>
    <w:uiPriority w:val="39"/>
    <w:rsid w:val="009A61A0"/>
    <w:pPr>
      <w:tabs>
        <w:tab w:val="left" w:pos="1800"/>
        <w:tab w:val="right" w:leader="dot" w:pos="8460"/>
      </w:tabs>
      <w:spacing w:before="0"/>
      <w:ind w:left="1080" w:right="432"/>
      <w:contextualSpacing/>
    </w:pPr>
    <w:rPr>
      <w:noProof/>
      <w:sz w:val="18"/>
      <w:szCs w:val="18"/>
    </w:rPr>
  </w:style>
  <w:style w:type="paragraph" w:styleId="TOC4">
    <w:name w:val="toc 4"/>
    <w:basedOn w:val="TOC1"/>
    <w:next w:val="Normal"/>
    <w:uiPriority w:val="39"/>
    <w:rsid w:val="00A162C2"/>
    <w:pPr>
      <w:ind w:left="450" w:hanging="450"/>
    </w:pPr>
    <w:rPr>
      <w:lang w:eastAsia="en-US"/>
    </w:rPr>
  </w:style>
  <w:style w:type="character" w:styleId="Hyperlink">
    <w:name w:val="Hyperlink"/>
    <w:basedOn w:val="DefaultParagraphFont"/>
    <w:uiPriority w:val="99"/>
    <w:rsid w:val="00A162C2"/>
    <w:rPr>
      <w:color w:val="E57200" w:themeColor="accent2"/>
      <w:u w:val="none"/>
    </w:rPr>
  </w:style>
  <w:style w:type="paragraph" w:styleId="BalloonText">
    <w:name w:val="Balloon Text"/>
    <w:basedOn w:val="Normal"/>
    <w:link w:val="BalloonTextChar"/>
    <w:uiPriority w:val="99"/>
    <w:semiHidden/>
    <w:unhideWhenUsed/>
    <w:rsid w:val="00A162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2C2"/>
    <w:rPr>
      <w:rFonts w:ascii="Segoe UI" w:eastAsiaTheme="minorEastAsia" w:hAnsi="Segoe UI" w:cs="Segoe UI"/>
      <w:spacing w:val="2"/>
      <w:sz w:val="18"/>
      <w:szCs w:val="18"/>
      <w:lang w:eastAsia="en-AU"/>
    </w:rPr>
  </w:style>
  <w:style w:type="paragraph" w:customStyle="1" w:styleId="HighlightBoxHeading">
    <w:name w:val="Highlight Box Heading"/>
    <w:basedOn w:val="HighlightBoxText"/>
    <w:next w:val="HighlightBoxText"/>
    <w:uiPriority w:val="59"/>
    <w:qFormat/>
    <w:rsid w:val="00A162C2"/>
    <w:pPr>
      <w:keepNext/>
    </w:pPr>
    <w:rPr>
      <w:rFonts w:asciiTheme="majorHAnsi" w:hAnsiTheme="majorHAnsi"/>
      <w:b/>
    </w:rPr>
  </w:style>
  <w:style w:type="paragraph" w:customStyle="1" w:styleId="HighlightBoxBullet">
    <w:name w:val="Highlight Box Bullet"/>
    <w:basedOn w:val="Normal"/>
    <w:uiPriority w:val="61"/>
    <w:qFormat/>
    <w:rsid w:val="00A162C2"/>
    <w:pPr>
      <w:pBdr>
        <w:top w:val="single" w:sz="8" w:space="3" w:color="E35205" w:themeColor="accent1"/>
        <w:left w:val="single" w:sz="8" w:space="5" w:color="E35205" w:themeColor="accent1"/>
        <w:bottom w:val="single" w:sz="8" w:space="3" w:color="E35205" w:themeColor="accent1"/>
        <w:right w:val="single" w:sz="8" w:space="5" w:color="E35205" w:themeColor="accent1"/>
      </w:pBdr>
      <w:shd w:val="clear" w:color="auto" w:fill="FDEACC" w:themeFill="accent6"/>
      <w:spacing w:before="60"/>
      <w:ind w:left="284" w:hanging="284"/>
    </w:pPr>
  </w:style>
  <w:style w:type="character" w:customStyle="1" w:styleId="Heading6Char">
    <w:name w:val="Heading 6 Char"/>
    <w:basedOn w:val="DefaultParagraphFont"/>
    <w:link w:val="Heading6"/>
    <w:uiPriority w:val="9"/>
    <w:semiHidden/>
    <w:rsid w:val="00A162C2"/>
    <w:rPr>
      <w:rFonts w:asciiTheme="majorHAnsi" w:eastAsiaTheme="majorEastAsia" w:hAnsiTheme="majorHAnsi" w:cstheme="majorBidi"/>
      <w:i/>
      <w:iCs/>
      <w:color w:val="702802" w:themeColor="accent1" w:themeShade="7F"/>
      <w:spacing w:val="2"/>
      <w:lang w:eastAsia="en-AU"/>
    </w:rPr>
  </w:style>
  <w:style w:type="character" w:customStyle="1" w:styleId="Heading7Char">
    <w:name w:val="Heading 7 Char"/>
    <w:basedOn w:val="DefaultParagraphFont"/>
    <w:link w:val="Heading7"/>
    <w:uiPriority w:val="9"/>
    <w:semiHidden/>
    <w:rsid w:val="00A162C2"/>
    <w:rPr>
      <w:rFonts w:asciiTheme="majorHAnsi" w:eastAsiaTheme="majorEastAsia" w:hAnsiTheme="majorHAnsi" w:cstheme="majorBidi"/>
      <w:i/>
      <w:iCs/>
      <w:color w:val="404040" w:themeColor="text1" w:themeTint="BF"/>
      <w:spacing w:val="2"/>
      <w:lang w:eastAsia="en-AU"/>
    </w:rPr>
  </w:style>
  <w:style w:type="character" w:customStyle="1" w:styleId="Heading8Char">
    <w:name w:val="Heading 8 Char"/>
    <w:basedOn w:val="DefaultParagraphFont"/>
    <w:link w:val="Heading8"/>
    <w:uiPriority w:val="9"/>
    <w:semiHidden/>
    <w:rsid w:val="00A162C2"/>
    <w:rPr>
      <w:rFonts w:asciiTheme="majorHAnsi" w:eastAsiaTheme="majorEastAsia" w:hAnsiTheme="majorHAnsi" w:cstheme="majorBidi"/>
      <w:color w:val="404040" w:themeColor="text1" w:themeTint="BF"/>
      <w:spacing w:val="2"/>
      <w:lang w:eastAsia="en-AU"/>
    </w:rPr>
  </w:style>
  <w:style w:type="character" w:customStyle="1" w:styleId="Heading9Char">
    <w:name w:val="Heading 9 Char"/>
    <w:basedOn w:val="DefaultParagraphFont"/>
    <w:link w:val="Heading9"/>
    <w:uiPriority w:val="9"/>
    <w:semiHidden/>
    <w:rsid w:val="00A162C2"/>
    <w:rPr>
      <w:rFonts w:asciiTheme="majorHAnsi" w:eastAsiaTheme="majorEastAsia" w:hAnsiTheme="majorHAnsi" w:cstheme="majorBidi"/>
      <w:i/>
      <w:iCs/>
      <w:color w:val="404040" w:themeColor="text1" w:themeTint="BF"/>
      <w:spacing w:val="2"/>
      <w:lang w:eastAsia="en-AU"/>
    </w:rPr>
  </w:style>
  <w:style w:type="paragraph" w:customStyle="1" w:styleId="TableHeading">
    <w:name w:val="Table Heading"/>
    <w:basedOn w:val="Normal"/>
    <w:next w:val="Normal"/>
    <w:uiPriority w:val="49"/>
    <w:semiHidden/>
    <w:qFormat/>
    <w:rsid w:val="00A162C2"/>
    <w:pPr>
      <w:keepNext/>
      <w:tabs>
        <w:tab w:val="left" w:pos="1134"/>
        <w:tab w:val="right" w:pos="9639"/>
        <w:tab w:val="right" w:pos="14742"/>
      </w:tabs>
      <w:spacing w:before="240" w:after="120"/>
      <w:ind w:left="1134" w:hanging="1134"/>
    </w:pPr>
    <w:rPr>
      <w:rFonts w:asciiTheme="majorHAnsi" w:hAnsiTheme="majorHAnsi"/>
      <w:b/>
    </w:rPr>
  </w:style>
  <w:style w:type="table" w:styleId="LightShading-Accent2">
    <w:name w:val="Light Shading Accent 2"/>
    <w:basedOn w:val="TableNormal"/>
    <w:uiPriority w:val="60"/>
    <w:rsid w:val="00A162C2"/>
    <w:rPr>
      <w:color w:val="AB5400" w:themeColor="accent2" w:themeShade="BF"/>
    </w:rPr>
    <w:tblPr>
      <w:tblStyleRowBandSize w:val="1"/>
      <w:tblStyleColBandSize w:val="1"/>
      <w:tblBorders>
        <w:top w:val="single" w:sz="8" w:space="0" w:color="E57200" w:themeColor="accent2"/>
        <w:bottom w:val="single" w:sz="8" w:space="0" w:color="E57200" w:themeColor="accent2"/>
      </w:tblBorders>
    </w:tblPr>
    <w:tblStylePr w:type="firstRow">
      <w:pPr>
        <w:spacing w:before="0" w:after="0" w:line="240" w:lineRule="auto"/>
      </w:pPr>
      <w:rPr>
        <w:b/>
        <w:bCs/>
      </w:rPr>
      <w:tblPr/>
      <w:tcPr>
        <w:tcBorders>
          <w:top w:val="single" w:sz="8" w:space="0" w:color="E57200" w:themeColor="accent2"/>
          <w:left w:val="nil"/>
          <w:bottom w:val="single" w:sz="8" w:space="0" w:color="E57200" w:themeColor="accent2"/>
          <w:right w:val="nil"/>
          <w:insideH w:val="nil"/>
          <w:insideV w:val="nil"/>
        </w:tcBorders>
      </w:tcPr>
    </w:tblStylePr>
    <w:tblStylePr w:type="lastRow">
      <w:pPr>
        <w:spacing w:before="0" w:after="0" w:line="240" w:lineRule="auto"/>
      </w:pPr>
      <w:rPr>
        <w:b/>
        <w:bCs/>
      </w:rPr>
      <w:tblPr/>
      <w:tcPr>
        <w:tcBorders>
          <w:top w:val="single" w:sz="8" w:space="0" w:color="E57200" w:themeColor="accent2"/>
          <w:left w:val="nil"/>
          <w:bottom w:val="single" w:sz="8" w:space="0" w:color="E572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B9" w:themeFill="accent2" w:themeFillTint="3F"/>
      </w:tcPr>
    </w:tblStylePr>
    <w:tblStylePr w:type="band1Horz">
      <w:tblPr/>
      <w:tcPr>
        <w:tcBorders>
          <w:left w:val="nil"/>
          <w:right w:val="nil"/>
          <w:insideH w:val="nil"/>
          <w:insideV w:val="nil"/>
        </w:tcBorders>
        <w:shd w:val="clear" w:color="auto" w:fill="FFDBB9" w:themeFill="accent2" w:themeFillTint="3F"/>
      </w:tcPr>
    </w:tblStylePr>
  </w:style>
  <w:style w:type="numbering" w:customStyle="1" w:styleId="Number">
    <w:name w:val="Number"/>
    <w:uiPriority w:val="99"/>
    <w:rsid w:val="00A162C2"/>
    <w:pPr>
      <w:numPr>
        <w:numId w:val="27"/>
      </w:numPr>
    </w:pPr>
  </w:style>
  <w:style w:type="table" w:styleId="LightList">
    <w:name w:val="Light List"/>
    <w:basedOn w:val="TableNormal"/>
    <w:uiPriority w:val="61"/>
    <w:rsid w:val="00A162C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rsid w:val="00B56C73"/>
    <w:pPr>
      <w:tabs>
        <w:tab w:val="left" w:pos="567"/>
        <w:tab w:val="right" w:leader="dot" w:pos="3629"/>
      </w:tabs>
      <w:ind w:left="567" w:right="340" w:hanging="567"/>
    </w:pPr>
    <w:rPr>
      <w:spacing w:val="-2"/>
    </w:rPr>
  </w:style>
  <w:style w:type="paragraph" w:customStyle="1" w:styleId="Footereven">
    <w:name w:val="Footer (even)"/>
    <w:basedOn w:val="Footerodd"/>
    <w:link w:val="FooterevenChar"/>
    <w:uiPriority w:val="84"/>
    <w:rsid w:val="00A162C2"/>
  </w:style>
  <w:style w:type="table" w:customStyle="1" w:styleId="DTFTable">
    <w:name w:val="DTF Table"/>
    <w:basedOn w:val="TableNormal"/>
    <w:uiPriority w:val="99"/>
    <w:rsid w:val="00A162C2"/>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E35205" w:themeColor="accent1"/>
          <w:right w:val="nil"/>
          <w:insideH w:val="nil"/>
          <w:insideV w:val="nil"/>
          <w:tl2br w:val="nil"/>
          <w:tr2bl w:val="nil"/>
        </w:tcBorders>
      </w:tcPr>
    </w:tblStylePr>
    <w:tblStylePr w:type="band2Horz">
      <w:tblPr/>
      <w:tcPr>
        <w:shd w:val="clear" w:color="auto" w:fill="FFFFFF" w:themeFill="background1"/>
      </w:tcPr>
    </w:tblStylePr>
  </w:style>
  <w:style w:type="paragraph" w:styleId="ListNumber4">
    <w:name w:val="List Number 4"/>
    <w:basedOn w:val="Normal"/>
    <w:uiPriority w:val="19"/>
    <w:semiHidden/>
    <w:unhideWhenUsed/>
    <w:rsid w:val="00A162C2"/>
    <w:pPr>
      <w:numPr>
        <w:ilvl w:val="3"/>
        <w:numId w:val="4"/>
      </w:numPr>
      <w:contextualSpacing/>
    </w:pPr>
  </w:style>
  <w:style w:type="paragraph" w:styleId="ListNumber5">
    <w:name w:val="List Number 5"/>
    <w:basedOn w:val="Normal"/>
    <w:uiPriority w:val="19"/>
    <w:semiHidden/>
    <w:unhideWhenUsed/>
    <w:rsid w:val="00A162C2"/>
    <w:pPr>
      <w:numPr>
        <w:ilvl w:val="4"/>
        <w:numId w:val="4"/>
      </w:numPr>
      <w:contextualSpacing/>
    </w:pPr>
  </w:style>
  <w:style w:type="paragraph" w:styleId="ListContinue3">
    <w:name w:val="List Continue 3"/>
    <w:basedOn w:val="Normal"/>
    <w:uiPriority w:val="24"/>
    <w:semiHidden/>
    <w:unhideWhenUsed/>
    <w:rsid w:val="00A162C2"/>
    <w:pPr>
      <w:spacing w:before="60"/>
      <w:ind w:left="1191"/>
    </w:pPr>
  </w:style>
  <w:style w:type="numbering" w:customStyle="1" w:styleId="NumberedHeadings">
    <w:name w:val="Numbered Headings"/>
    <w:uiPriority w:val="99"/>
    <w:rsid w:val="00A162C2"/>
    <w:pPr>
      <w:numPr>
        <w:numId w:val="28"/>
      </w:numPr>
    </w:pPr>
  </w:style>
  <w:style w:type="paragraph" w:styleId="ListBullet4">
    <w:name w:val="List Bullet 4"/>
    <w:basedOn w:val="Normal"/>
    <w:uiPriority w:val="19"/>
    <w:semiHidden/>
    <w:unhideWhenUsed/>
    <w:rsid w:val="00A162C2"/>
    <w:pPr>
      <w:numPr>
        <w:numId w:val="22"/>
      </w:numPr>
      <w:contextualSpacing/>
    </w:pPr>
  </w:style>
  <w:style w:type="paragraph" w:styleId="ListBullet5">
    <w:name w:val="List Bullet 5"/>
    <w:basedOn w:val="Normal"/>
    <w:uiPriority w:val="19"/>
    <w:semiHidden/>
    <w:unhideWhenUsed/>
    <w:rsid w:val="00A162C2"/>
    <w:pPr>
      <w:numPr>
        <w:numId w:val="23"/>
      </w:numPr>
      <w:contextualSpacing/>
    </w:pPr>
  </w:style>
  <w:style w:type="paragraph" w:styleId="ListContinue4">
    <w:name w:val="List Continue 4"/>
    <w:basedOn w:val="Normal"/>
    <w:uiPriority w:val="24"/>
    <w:semiHidden/>
    <w:unhideWhenUsed/>
    <w:rsid w:val="00A162C2"/>
    <w:pPr>
      <w:spacing w:after="120"/>
      <w:ind w:left="1132"/>
      <w:contextualSpacing/>
    </w:pPr>
  </w:style>
  <w:style w:type="paragraph" w:styleId="ListContinue5">
    <w:name w:val="List Continue 5"/>
    <w:basedOn w:val="Normal"/>
    <w:uiPriority w:val="24"/>
    <w:semiHidden/>
    <w:unhideWhenUsed/>
    <w:rsid w:val="00A162C2"/>
    <w:pPr>
      <w:spacing w:after="120"/>
      <w:ind w:left="1415"/>
      <w:contextualSpacing/>
    </w:pPr>
  </w:style>
  <w:style w:type="character" w:customStyle="1" w:styleId="FooterChar">
    <w:name w:val="Footer Char"/>
    <w:basedOn w:val="DefaultParagraphFont"/>
    <w:link w:val="Footer"/>
    <w:uiPriority w:val="24"/>
    <w:rsid w:val="00A162C2"/>
    <w:rPr>
      <w:rFonts w:eastAsiaTheme="minorEastAsia"/>
      <w:noProof/>
      <w:spacing w:val="2"/>
      <w:sz w:val="18"/>
      <w:szCs w:val="18"/>
      <w:lang w:eastAsia="en-AU"/>
    </w:rPr>
  </w:style>
  <w:style w:type="paragraph" w:styleId="TOC7">
    <w:name w:val="toc 7"/>
    <w:basedOn w:val="Normal"/>
    <w:next w:val="Normal"/>
    <w:autoRedefine/>
    <w:uiPriority w:val="96"/>
    <w:rsid w:val="00A162C2"/>
    <w:pPr>
      <w:ind w:left="1320"/>
    </w:pPr>
  </w:style>
  <w:style w:type="numbering" w:styleId="1ai">
    <w:name w:val="Outline List 1"/>
    <w:basedOn w:val="NoList"/>
    <w:uiPriority w:val="99"/>
    <w:semiHidden/>
    <w:unhideWhenUsed/>
    <w:rsid w:val="00A162C2"/>
    <w:pPr>
      <w:numPr>
        <w:numId w:val="15"/>
      </w:numPr>
    </w:pPr>
  </w:style>
  <w:style w:type="numbering" w:styleId="ArticleSection">
    <w:name w:val="Outline List 3"/>
    <w:basedOn w:val="NoList"/>
    <w:uiPriority w:val="99"/>
    <w:semiHidden/>
    <w:unhideWhenUsed/>
    <w:rsid w:val="00A162C2"/>
    <w:pPr>
      <w:numPr>
        <w:numId w:val="16"/>
      </w:numPr>
    </w:pPr>
  </w:style>
  <w:style w:type="paragraph" w:styleId="Bibliography">
    <w:name w:val="Bibliography"/>
    <w:basedOn w:val="Normal"/>
    <w:next w:val="Normal"/>
    <w:uiPriority w:val="37"/>
    <w:semiHidden/>
    <w:unhideWhenUsed/>
    <w:rsid w:val="00A162C2"/>
  </w:style>
  <w:style w:type="paragraph" w:styleId="BlockText">
    <w:name w:val="Block Text"/>
    <w:basedOn w:val="Normal"/>
    <w:uiPriority w:val="99"/>
    <w:semiHidden/>
    <w:unhideWhenUsed/>
    <w:rsid w:val="00A162C2"/>
    <w:pPr>
      <w:pBdr>
        <w:top w:val="single" w:sz="2" w:space="10" w:color="E35205" w:themeColor="accent1" w:shadow="1"/>
        <w:left w:val="single" w:sz="2" w:space="10" w:color="E35205" w:themeColor="accent1" w:shadow="1"/>
        <w:bottom w:val="single" w:sz="2" w:space="10" w:color="E35205" w:themeColor="accent1" w:shadow="1"/>
        <w:right w:val="single" w:sz="2" w:space="10" w:color="E35205" w:themeColor="accent1" w:shadow="1"/>
      </w:pBdr>
      <w:ind w:left="1152" w:right="1152"/>
    </w:pPr>
    <w:rPr>
      <w:i/>
      <w:iCs/>
      <w:color w:val="E35205" w:themeColor="accent1"/>
    </w:rPr>
  </w:style>
  <w:style w:type="paragraph" w:styleId="BodyText">
    <w:name w:val="Body Text"/>
    <w:basedOn w:val="Normal"/>
    <w:link w:val="BodyTextChar"/>
    <w:uiPriority w:val="49"/>
    <w:semiHidden/>
    <w:rsid w:val="00A162C2"/>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A162C2"/>
    <w:rPr>
      <w:rFonts w:ascii="Calibri" w:eastAsia="Times New Roman" w:hAnsi="Calibri" w:cs="Calibri"/>
      <w:sz w:val="22"/>
      <w:szCs w:val="22"/>
      <w:lang w:eastAsia="en-AU"/>
    </w:rPr>
  </w:style>
  <w:style w:type="paragraph" w:styleId="BodyText2">
    <w:name w:val="Body Text 2"/>
    <w:basedOn w:val="Normal"/>
    <w:link w:val="BodyText2Char"/>
    <w:uiPriority w:val="99"/>
    <w:semiHidden/>
    <w:unhideWhenUsed/>
    <w:rsid w:val="00A162C2"/>
    <w:pPr>
      <w:spacing w:after="120" w:line="480" w:lineRule="auto"/>
    </w:pPr>
  </w:style>
  <w:style w:type="character" w:customStyle="1" w:styleId="BodyText2Char">
    <w:name w:val="Body Text 2 Char"/>
    <w:basedOn w:val="DefaultParagraphFont"/>
    <w:link w:val="BodyText2"/>
    <w:uiPriority w:val="99"/>
    <w:semiHidden/>
    <w:rsid w:val="00A162C2"/>
    <w:rPr>
      <w:rFonts w:eastAsiaTheme="minorEastAsia"/>
      <w:spacing w:val="2"/>
      <w:lang w:eastAsia="en-AU"/>
    </w:rPr>
  </w:style>
  <w:style w:type="paragraph" w:styleId="BodyText3">
    <w:name w:val="Body Text 3"/>
    <w:basedOn w:val="Normal"/>
    <w:link w:val="BodyText3Char"/>
    <w:uiPriority w:val="99"/>
    <w:semiHidden/>
    <w:unhideWhenUsed/>
    <w:rsid w:val="00A162C2"/>
    <w:pPr>
      <w:spacing w:after="120"/>
    </w:pPr>
    <w:rPr>
      <w:sz w:val="16"/>
      <w:szCs w:val="16"/>
    </w:rPr>
  </w:style>
  <w:style w:type="character" w:customStyle="1" w:styleId="BodyText3Char">
    <w:name w:val="Body Text 3 Char"/>
    <w:basedOn w:val="DefaultParagraphFont"/>
    <w:link w:val="BodyText3"/>
    <w:uiPriority w:val="99"/>
    <w:semiHidden/>
    <w:rsid w:val="00A162C2"/>
    <w:rPr>
      <w:rFonts w:eastAsiaTheme="minorEastAsia"/>
      <w:spacing w:val="2"/>
      <w:sz w:val="16"/>
      <w:szCs w:val="16"/>
      <w:lang w:eastAsia="en-AU"/>
    </w:rPr>
  </w:style>
  <w:style w:type="paragraph" w:styleId="BodyTextFirstIndent">
    <w:name w:val="Body Text First Indent"/>
    <w:basedOn w:val="BodyText"/>
    <w:link w:val="BodyTextFirstIndentChar"/>
    <w:uiPriority w:val="99"/>
    <w:semiHidden/>
    <w:unhideWhenUsed/>
    <w:rsid w:val="00A162C2"/>
    <w:pPr>
      <w:spacing w:after="0"/>
      <w:ind w:firstLine="360"/>
    </w:pPr>
  </w:style>
  <w:style w:type="character" w:customStyle="1" w:styleId="BodyTextFirstIndentChar">
    <w:name w:val="Body Text First Indent Char"/>
    <w:basedOn w:val="BodyTextChar"/>
    <w:link w:val="BodyTextFirstIndent"/>
    <w:uiPriority w:val="99"/>
    <w:semiHidden/>
    <w:rsid w:val="00A162C2"/>
    <w:rPr>
      <w:rFonts w:ascii="Calibri" w:eastAsia="Times New Roman" w:hAnsi="Calibri" w:cs="Calibri"/>
      <w:sz w:val="22"/>
      <w:szCs w:val="22"/>
      <w:lang w:eastAsia="en-AU"/>
    </w:rPr>
  </w:style>
  <w:style w:type="paragraph" w:styleId="BodyTextIndent">
    <w:name w:val="Body Text Indent"/>
    <w:basedOn w:val="Normal"/>
    <w:link w:val="BodyTextIndentChar"/>
    <w:uiPriority w:val="99"/>
    <w:semiHidden/>
    <w:unhideWhenUsed/>
    <w:rsid w:val="00A162C2"/>
    <w:pPr>
      <w:spacing w:after="120"/>
      <w:ind w:left="283"/>
    </w:pPr>
  </w:style>
  <w:style w:type="character" w:customStyle="1" w:styleId="BodyTextIndentChar">
    <w:name w:val="Body Text Indent Char"/>
    <w:basedOn w:val="DefaultParagraphFont"/>
    <w:link w:val="BodyTextIndent"/>
    <w:uiPriority w:val="99"/>
    <w:semiHidden/>
    <w:rsid w:val="00A162C2"/>
    <w:rPr>
      <w:rFonts w:eastAsiaTheme="minorEastAsia"/>
      <w:spacing w:val="2"/>
      <w:lang w:eastAsia="en-AU"/>
    </w:rPr>
  </w:style>
  <w:style w:type="paragraph" w:styleId="BodyTextFirstIndent2">
    <w:name w:val="Body Text First Indent 2"/>
    <w:basedOn w:val="BodyTextIndent"/>
    <w:link w:val="BodyTextFirstIndent2Char"/>
    <w:uiPriority w:val="99"/>
    <w:semiHidden/>
    <w:unhideWhenUsed/>
    <w:rsid w:val="00A162C2"/>
    <w:pPr>
      <w:spacing w:after="0"/>
      <w:ind w:left="360" w:firstLine="360"/>
    </w:pPr>
  </w:style>
  <w:style w:type="character" w:customStyle="1" w:styleId="BodyTextFirstIndent2Char">
    <w:name w:val="Body Text First Indent 2 Char"/>
    <w:basedOn w:val="BodyTextIndentChar"/>
    <w:link w:val="BodyTextFirstIndent2"/>
    <w:uiPriority w:val="99"/>
    <w:semiHidden/>
    <w:rsid w:val="00A162C2"/>
    <w:rPr>
      <w:rFonts w:eastAsiaTheme="minorEastAsia"/>
      <w:spacing w:val="2"/>
      <w:lang w:eastAsia="en-AU"/>
    </w:rPr>
  </w:style>
  <w:style w:type="paragraph" w:styleId="BodyTextIndent2">
    <w:name w:val="Body Text Indent 2"/>
    <w:basedOn w:val="Normal"/>
    <w:link w:val="BodyTextIndent2Char"/>
    <w:uiPriority w:val="99"/>
    <w:semiHidden/>
    <w:unhideWhenUsed/>
    <w:rsid w:val="00A162C2"/>
    <w:pPr>
      <w:spacing w:after="120" w:line="480" w:lineRule="auto"/>
      <w:ind w:left="283"/>
    </w:pPr>
  </w:style>
  <w:style w:type="character" w:customStyle="1" w:styleId="BodyTextIndent2Char">
    <w:name w:val="Body Text Indent 2 Char"/>
    <w:basedOn w:val="DefaultParagraphFont"/>
    <w:link w:val="BodyTextIndent2"/>
    <w:uiPriority w:val="99"/>
    <w:semiHidden/>
    <w:rsid w:val="00A162C2"/>
    <w:rPr>
      <w:rFonts w:eastAsiaTheme="minorEastAsia"/>
      <w:spacing w:val="2"/>
      <w:lang w:eastAsia="en-AU"/>
    </w:rPr>
  </w:style>
  <w:style w:type="paragraph" w:styleId="BodyTextIndent3">
    <w:name w:val="Body Text Indent 3"/>
    <w:basedOn w:val="Normal"/>
    <w:link w:val="BodyTextIndent3Char"/>
    <w:uiPriority w:val="99"/>
    <w:semiHidden/>
    <w:unhideWhenUsed/>
    <w:rsid w:val="00A162C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162C2"/>
    <w:rPr>
      <w:rFonts w:eastAsiaTheme="minorEastAsia"/>
      <w:spacing w:val="2"/>
      <w:sz w:val="16"/>
      <w:szCs w:val="16"/>
      <w:lang w:eastAsia="en-AU"/>
    </w:rPr>
  </w:style>
  <w:style w:type="character" w:styleId="BookTitle">
    <w:name w:val="Book Title"/>
    <w:basedOn w:val="DefaultParagraphFont"/>
    <w:uiPriority w:val="33"/>
    <w:semiHidden/>
    <w:rsid w:val="00A162C2"/>
    <w:rPr>
      <w:b/>
      <w:bCs/>
      <w:smallCaps/>
      <w:spacing w:val="5"/>
    </w:rPr>
  </w:style>
  <w:style w:type="paragraph" w:styleId="Caption">
    <w:name w:val="caption"/>
    <w:basedOn w:val="Normal"/>
    <w:next w:val="Normal"/>
    <w:uiPriority w:val="35"/>
    <w:rsid w:val="00440874"/>
    <w:pPr>
      <w:keepNext/>
      <w:spacing w:before="200" w:after="60" w:line="240" w:lineRule="auto"/>
    </w:pPr>
    <w:rPr>
      <w:b/>
      <w:bCs/>
      <w:color w:val="383834" w:themeColor="background2" w:themeShade="40"/>
      <w:sz w:val="18"/>
      <w:szCs w:val="18"/>
    </w:rPr>
  </w:style>
  <w:style w:type="paragraph" w:styleId="Closing">
    <w:name w:val="Closing"/>
    <w:basedOn w:val="Normal"/>
    <w:link w:val="ClosingChar"/>
    <w:uiPriority w:val="99"/>
    <w:semiHidden/>
    <w:unhideWhenUsed/>
    <w:rsid w:val="00A162C2"/>
    <w:pPr>
      <w:spacing w:before="0"/>
      <w:ind w:left="4252"/>
    </w:pPr>
  </w:style>
  <w:style w:type="character" w:customStyle="1" w:styleId="ClosingChar">
    <w:name w:val="Closing Char"/>
    <w:basedOn w:val="DefaultParagraphFont"/>
    <w:link w:val="Closing"/>
    <w:uiPriority w:val="99"/>
    <w:semiHidden/>
    <w:rsid w:val="00A162C2"/>
    <w:rPr>
      <w:rFonts w:eastAsiaTheme="minorEastAsia"/>
      <w:spacing w:val="2"/>
      <w:lang w:eastAsia="en-AU"/>
    </w:rPr>
  </w:style>
  <w:style w:type="table" w:styleId="ColorfulGrid">
    <w:name w:val="Colorful Grid"/>
    <w:basedOn w:val="TableNormal"/>
    <w:uiPriority w:val="73"/>
    <w:rsid w:val="00A162C2"/>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162C2"/>
    <w:pPr>
      <w:spacing w:before="0"/>
    </w:pPr>
    <w:rPr>
      <w:color w:val="000000" w:themeColor="text1"/>
    </w:rPr>
    <w:tblPr>
      <w:tblStyleRowBandSize w:val="1"/>
      <w:tblStyleColBandSize w:val="1"/>
      <w:tblBorders>
        <w:insideH w:val="single" w:sz="4" w:space="0" w:color="FFFFFF" w:themeColor="background1"/>
      </w:tblBorders>
    </w:tblPr>
    <w:tcPr>
      <w:shd w:val="clear" w:color="auto" w:fill="FDDAC8" w:themeFill="accent1" w:themeFillTint="33"/>
    </w:tcPr>
    <w:tblStylePr w:type="firstRow">
      <w:rPr>
        <w:b/>
        <w:bCs/>
      </w:rPr>
      <w:tblPr/>
      <w:tcPr>
        <w:shd w:val="clear" w:color="auto" w:fill="FCB692" w:themeFill="accent1" w:themeFillTint="66"/>
      </w:tcPr>
    </w:tblStylePr>
    <w:tblStylePr w:type="lastRow">
      <w:rPr>
        <w:b/>
        <w:bCs/>
        <w:color w:val="000000" w:themeColor="text1"/>
      </w:rPr>
      <w:tblPr/>
      <w:tcPr>
        <w:shd w:val="clear" w:color="auto" w:fill="FCB692" w:themeFill="accent1" w:themeFillTint="66"/>
      </w:tcPr>
    </w:tblStylePr>
    <w:tblStylePr w:type="firstCol">
      <w:rPr>
        <w:color w:val="FFFFFF" w:themeColor="background1"/>
      </w:rPr>
      <w:tblPr/>
      <w:tcPr>
        <w:shd w:val="clear" w:color="auto" w:fill="A93D03" w:themeFill="accent1" w:themeFillShade="BF"/>
      </w:tcPr>
    </w:tblStylePr>
    <w:tblStylePr w:type="lastCol">
      <w:rPr>
        <w:color w:val="FFFFFF" w:themeColor="background1"/>
      </w:rPr>
      <w:tblPr/>
      <w:tcPr>
        <w:shd w:val="clear" w:color="auto" w:fill="A93D03" w:themeFill="accent1" w:themeFillShade="BF"/>
      </w:tcPr>
    </w:tblStylePr>
    <w:tblStylePr w:type="band1Vert">
      <w:tblPr/>
      <w:tcPr>
        <w:shd w:val="clear" w:color="auto" w:fill="FCA577" w:themeFill="accent1" w:themeFillTint="7F"/>
      </w:tcPr>
    </w:tblStylePr>
    <w:tblStylePr w:type="band1Horz">
      <w:tblPr/>
      <w:tcPr>
        <w:shd w:val="clear" w:color="auto" w:fill="FCA577" w:themeFill="accent1" w:themeFillTint="7F"/>
      </w:tcPr>
    </w:tblStylePr>
  </w:style>
  <w:style w:type="table" w:styleId="ColorfulGrid-Accent2">
    <w:name w:val="Colorful Grid Accent 2"/>
    <w:basedOn w:val="TableNormal"/>
    <w:uiPriority w:val="73"/>
    <w:rsid w:val="00A162C2"/>
    <w:pPr>
      <w:spacing w:before="0"/>
    </w:pPr>
    <w:rPr>
      <w:color w:val="000000" w:themeColor="text1"/>
    </w:rPr>
    <w:tblPr>
      <w:tblStyleRowBandSize w:val="1"/>
      <w:tblStyleColBandSize w:val="1"/>
      <w:tblBorders>
        <w:insideH w:val="single" w:sz="4" w:space="0" w:color="FFFFFF" w:themeColor="background1"/>
      </w:tblBorders>
    </w:tblPr>
    <w:tcPr>
      <w:shd w:val="clear" w:color="auto" w:fill="FFE2C6" w:themeFill="accent2" w:themeFillTint="33"/>
    </w:tcPr>
    <w:tblStylePr w:type="firstRow">
      <w:rPr>
        <w:b/>
        <w:bCs/>
      </w:rPr>
      <w:tblPr/>
      <w:tcPr>
        <w:shd w:val="clear" w:color="auto" w:fill="FFC68E" w:themeFill="accent2" w:themeFillTint="66"/>
      </w:tcPr>
    </w:tblStylePr>
    <w:tblStylePr w:type="lastRow">
      <w:rPr>
        <w:b/>
        <w:bCs/>
        <w:color w:val="000000" w:themeColor="text1"/>
      </w:rPr>
      <w:tblPr/>
      <w:tcPr>
        <w:shd w:val="clear" w:color="auto" w:fill="FFC68E" w:themeFill="accent2" w:themeFillTint="66"/>
      </w:tcPr>
    </w:tblStylePr>
    <w:tblStylePr w:type="firstCol">
      <w:rPr>
        <w:color w:val="FFFFFF" w:themeColor="background1"/>
      </w:rPr>
      <w:tblPr/>
      <w:tcPr>
        <w:shd w:val="clear" w:color="auto" w:fill="AB5400" w:themeFill="accent2" w:themeFillShade="BF"/>
      </w:tcPr>
    </w:tblStylePr>
    <w:tblStylePr w:type="lastCol">
      <w:rPr>
        <w:color w:val="FFFFFF" w:themeColor="background1"/>
      </w:rPr>
      <w:tblPr/>
      <w:tcPr>
        <w:shd w:val="clear" w:color="auto" w:fill="AB5400" w:themeFill="accent2" w:themeFillShade="BF"/>
      </w:tcPr>
    </w:tblStylePr>
    <w:tblStylePr w:type="band1Vert">
      <w:tblPr/>
      <w:tcPr>
        <w:shd w:val="clear" w:color="auto" w:fill="FFB873" w:themeFill="accent2" w:themeFillTint="7F"/>
      </w:tcPr>
    </w:tblStylePr>
    <w:tblStylePr w:type="band1Horz">
      <w:tblPr/>
      <w:tcPr>
        <w:shd w:val="clear" w:color="auto" w:fill="FFB873" w:themeFill="accent2" w:themeFillTint="7F"/>
      </w:tcPr>
    </w:tblStylePr>
  </w:style>
  <w:style w:type="table" w:styleId="ColorfulGrid-Accent3">
    <w:name w:val="Colorful Grid Accent 3"/>
    <w:basedOn w:val="TableNormal"/>
    <w:uiPriority w:val="73"/>
    <w:rsid w:val="00A162C2"/>
    <w:pPr>
      <w:spacing w:before="0"/>
    </w:pPr>
    <w:rPr>
      <w:color w:val="000000" w:themeColor="text1"/>
    </w:rPr>
    <w:tblPr>
      <w:tblStyleRowBandSize w:val="1"/>
      <w:tblStyleColBandSize w:val="1"/>
      <w:tblBorders>
        <w:insideH w:val="single" w:sz="4" w:space="0" w:color="FFFFFF" w:themeColor="background1"/>
      </w:tblBorders>
    </w:tblPr>
    <w:tcPr>
      <w:shd w:val="clear" w:color="auto" w:fill="FFEAC9" w:themeFill="accent3" w:themeFillTint="33"/>
    </w:tcPr>
    <w:tblStylePr w:type="firstRow">
      <w:rPr>
        <w:b/>
        <w:bCs/>
      </w:rPr>
      <w:tblPr/>
      <w:tcPr>
        <w:shd w:val="clear" w:color="auto" w:fill="FFD594" w:themeFill="accent3" w:themeFillTint="66"/>
      </w:tcPr>
    </w:tblStylePr>
    <w:tblStylePr w:type="lastRow">
      <w:rPr>
        <w:b/>
        <w:bCs/>
        <w:color w:val="000000" w:themeColor="text1"/>
      </w:rPr>
      <w:tblPr/>
      <w:tcPr>
        <w:shd w:val="clear" w:color="auto" w:fill="FFD594" w:themeFill="accent3" w:themeFillTint="66"/>
      </w:tcPr>
    </w:tblStylePr>
    <w:tblStylePr w:type="firstCol">
      <w:rPr>
        <w:color w:val="FFFFFF" w:themeColor="background1"/>
      </w:rPr>
      <w:tblPr/>
      <w:tcPr>
        <w:shd w:val="clear" w:color="auto" w:fill="B66F00" w:themeFill="accent3" w:themeFillShade="BF"/>
      </w:tcPr>
    </w:tblStylePr>
    <w:tblStylePr w:type="lastCol">
      <w:rPr>
        <w:color w:val="FFFFFF" w:themeColor="background1"/>
      </w:rPr>
      <w:tblPr/>
      <w:tcPr>
        <w:shd w:val="clear" w:color="auto" w:fill="B66F00" w:themeFill="accent3" w:themeFillShade="BF"/>
      </w:tcPr>
    </w:tblStylePr>
    <w:tblStylePr w:type="band1Vert">
      <w:tblPr/>
      <w:tcPr>
        <w:shd w:val="clear" w:color="auto" w:fill="FFCB7A" w:themeFill="accent3" w:themeFillTint="7F"/>
      </w:tcPr>
    </w:tblStylePr>
    <w:tblStylePr w:type="band1Horz">
      <w:tblPr/>
      <w:tcPr>
        <w:shd w:val="clear" w:color="auto" w:fill="FFCB7A" w:themeFill="accent3" w:themeFillTint="7F"/>
      </w:tcPr>
    </w:tblStylePr>
  </w:style>
  <w:style w:type="table" w:styleId="ColorfulGrid-Accent4">
    <w:name w:val="Colorful Grid Accent 4"/>
    <w:basedOn w:val="TableNormal"/>
    <w:uiPriority w:val="73"/>
    <w:rsid w:val="00A162C2"/>
    <w:pPr>
      <w:spacing w:before="0"/>
    </w:pPr>
    <w:rPr>
      <w:color w:val="000000" w:themeColor="text1"/>
    </w:rPr>
    <w:tblPr>
      <w:tblStyleRowBandSize w:val="1"/>
      <w:tblStyleColBandSize w:val="1"/>
      <w:tblBorders>
        <w:insideH w:val="single" w:sz="4" w:space="0" w:color="FFFFFF" w:themeColor="background1"/>
      </w:tblBorders>
    </w:tblPr>
    <w:tcPr>
      <w:shd w:val="clear" w:color="auto" w:fill="FCEDE5" w:themeFill="accent4" w:themeFillTint="33"/>
    </w:tcPr>
    <w:tblStylePr w:type="firstRow">
      <w:rPr>
        <w:b/>
        <w:bCs/>
      </w:rPr>
      <w:tblPr/>
      <w:tcPr>
        <w:shd w:val="clear" w:color="auto" w:fill="F9DCCC" w:themeFill="accent4" w:themeFillTint="66"/>
      </w:tcPr>
    </w:tblStylePr>
    <w:tblStylePr w:type="lastRow">
      <w:rPr>
        <w:b/>
        <w:bCs/>
        <w:color w:val="000000" w:themeColor="text1"/>
      </w:rPr>
      <w:tblPr/>
      <w:tcPr>
        <w:shd w:val="clear" w:color="auto" w:fill="F9DCCC" w:themeFill="accent4" w:themeFillTint="66"/>
      </w:tcPr>
    </w:tblStylePr>
    <w:tblStylePr w:type="firstCol">
      <w:rPr>
        <w:color w:val="FFFFFF" w:themeColor="background1"/>
      </w:rPr>
      <w:tblPr/>
      <w:tcPr>
        <w:shd w:val="clear" w:color="auto" w:fill="E76D2E" w:themeFill="accent4" w:themeFillShade="BF"/>
      </w:tcPr>
    </w:tblStylePr>
    <w:tblStylePr w:type="lastCol">
      <w:rPr>
        <w:color w:val="FFFFFF" w:themeColor="background1"/>
      </w:rPr>
      <w:tblPr/>
      <w:tcPr>
        <w:shd w:val="clear" w:color="auto" w:fill="E76D2E" w:themeFill="accent4" w:themeFillShade="BF"/>
      </w:tcPr>
    </w:tblStylePr>
    <w:tblStylePr w:type="band1Vert">
      <w:tblPr/>
      <w:tcPr>
        <w:shd w:val="clear" w:color="auto" w:fill="F8D3C0" w:themeFill="accent4" w:themeFillTint="7F"/>
      </w:tcPr>
    </w:tblStylePr>
    <w:tblStylePr w:type="band1Horz">
      <w:tblPr/>
      <w:tcPr>
        <w:shd w:val="clear" w:color="auto" w:fill="F8D3C0" w:themeFill="accent4" w:themeFillTint="7F"/>
      </w:tcPr>
    </w:tblStylePr>
  </w:style>
  <w:style w:type="table" w:styleId="ColorfulGrid-Accent5">
    <w:name w:val="Colorful Grid Accent 5"/>
    <w:basedOn w:val="TableNormal"/>
    <w:uiPriority w:val="73"/>
    <w:rsid w:val="00A162C2"/>
    <w:pPr>
      <w:spacing w:before="0"/>
    </w:pPr>
    <w:rPr>
      <w:color w:val="000000" w:themeColor="text1"/>
    </w:rPr>
    <w:tblPr>
      <w:tblStyleRowBandSize w:val="1"/>
      <w:tblStyleColBandSize w:val="1"/>
      <w:tblBorders>
        <w:insideH w:val="single" w:sz="4" w:space="0" w:color="FFFFFF" w:themeColor="background1"/>
      </w:tblBorders>
    </w:tblPr>
    <w:tcPr>
      <w:shd w:val="clear" w:color="auto" w:fill="FDF3EA" w:themeFill="accent5" w:themeFillTint="33"/>
    </w:tcPr>
    <w:tblStylePr w:type="firstRow">
      <w:rPr>
        <w:b/>
        <w:bCs/>
      </w:rPr>
      <w:tblPr/>
      <w:tcPr>
        <w:shd w:val="clear" w:color="auto" w:fill="FBE8D6" w:themeFill="accent5" w:themeFillTint="66"/>
      </w:tcPr>
    </w:tblStylePr>
    <w:tblStylePr w:type="lastRow">
      <w:rPr>
        <w:b/>
        <w:bCs/>
        <w:color w:val="000000" w:themeColor="text1"/>
      </w:rPr>
      <w:tblPr/>
      <w:tcPr>
        <w:shd w:val="clear" w:color="auto" w:fill="FBE8D6" w:themeFill="accent5" w:themeFillTint="66"/>
      </w:tcPr>
    </w:tblStylePr>
    <w:tblStylePr w:type="firstCol">
      <w:rPr>
        <w:color w:val="FFFFFF" w:themeColor="background1"/>
      </w:rPr>
      <w:tblPr/>
      <w:tcPr>
        <w:shd w:val="clear" w:color="auto" w:fill="EC943D" w:themeFill="accent5" w:themeFillShade="BF"/>
      </w:tcPr>
    </w:tblStylePr>
    <w:tblStylePr w:type="lastCol">
      <w:rPr>
        <w:color w:val="FFFFFF" w:themeColor="background1"/>
      </w:rPr>
      <w:tblPr/>
      <w:tcPr>
        <w:shd w:val="clear" w:color="auto" w:fill="EC943D" w:themeFill="accent5" w:themeFillShade="BF"/>
      </w:tcPr>
    </w:tblStylePr>
    <w:tblStylePr w:type="band1Vert">
      <w:tblPr/>
      <w:tcPr>
        <w:shd w:val="clear" w:color="auto" w:fill="FAE2CC" w:themeFill="accent5" w:themeFillTint="7F"/>
      </w:tcPr>
    </w:tblStylePr>
    <w:tblStylePr w:type="band1Horz">
      <w:tblPr/>
      <w:tcPr>
        <w:shd w:val="clear" w:color="auto" w:fill="FAE2CC" w:themeFill="accent5" w:themeFillTint="7F"/>
      </w:tcPr>
    </w:tblStylePr>
  </w:style>
  <w:style w:type="table" w:styleId="ColorfulGrid-Accent6">
    <w:name w:val="Colorful Grid Accent 6"/>
    <w:basedOn w:val="TableNormal"/>
    <w:uiPriority w:val="73"/>
    <w:rsid w:val="00A162C2"/>
    <w:pPr>
      <w:spacing w:before="0"/>
    </w:pPr>
    <w:rPr>
      <w:color w:val="000000" w:themeColor="text1"/>
    </w:rPr>
    <w:tblPr>
      <w:tblStyleRowBandSize w:val="1"/>
      <w:tblStyleColBandSize w:val="1"/>
      <w:tblBorders>
        <w:insideH w:val="single" w:sz="4" w:space="0" w:color="FFFFFF" w:themeColor="background1"/>
      </w:tblBorders>
    </w:tblPr>
    <w:tcPr>
      <w:shd w:val="clear" w:color="auto" w:fill="FEFAF4" w:themeFill="accent6" w:themeFillTint="33"/>
    </w:tcPr>
    <w:tblStylePr w:type="firstRow">
      <w:rPr>
        <w:b/>
        <w:bCs/>
      </w:rPr>
      <w:tblPr/>
      <w:tcPr>
        <w:shd w:val="clear" w:color="auto" w:fill="FEF6EA" w:themeFill="accent6" w:themeFillTint="66"/>
      </w:tcPr>
    </w:tblStylePr>
    <w:tblStylePr w:type="lastRow">
      <w:rPr>
        <w:b/>
        <w:bCs/>
        <w:color w:val="000000" w:themeColor="text1"/>
      </w:rPr>
      <w:tblPr/>
      <w:tcPr>
        <w:shd w:val="clear" w:color="auto" w:fill="FEF6EA" w:themeFill="accent6" w:themeFillTint="66"/>
      </w:tcPr>
    </w:tblStylePr>
    <w:tblStylePr w:type="firstCol">
      <w:rPr>
        <w:color w:val="FFFFFF" w:themeColor="background1"/>
      </w:rPr>
      <w:tblPr/>
      <w:tcPr>
        <w:shd w:val="clear" w:color="auto" w:fill="F8BC5D" w:themeFill="accent6" w:themeFillShade="BF"/>
      </w:tcPr>
    </w:tblStylePr>
    <w:tblStylePr w:type="lastCol">
      <w:rPr>
        <w:color w:val="FFFFFF" w:themeColor="background1"/>
      </w:rPr>
      <w:tblPr/>
      <w:tcPr>
        <w:shd w:val="clear" w:color="auto" w:fill="F8BC5D" w:themeFill="accent6" w:themeFillShade="BF"/>
      </w:tcPr>
    </w:tblStylePr>
    <w:tblStylePr w:type="band1Vert">
      <w:tblPr/>
      <w:tcPr>
        <w:shd w:val="clear" w:color="auto" w:fill="FEF4E5" w:themeFill="accent6" w:themeFillTint="7F"/>
      </w:tcPr>
    </w:tblStylePr>
    <w:tblStylePr w:type="band1Horz">
      <w:tblPr/>
      <w:tcPr>
        <w:shd w:val="clear" w:color="auto" w:fill="FEF4E5" w:themeFill="accent6" w:themeFillTint="7F"/>
      </w:tcPr>
    </w:tblStylePr>
  </w:style>
  <w:style w:type="table" w:styleId="ColorfulList">
    <w:name w:val="Colorful List"/>
    <w:basedOn w:val="TableNormal"/>
    <w:uiPriority w:val="72"/>
    <w:rsid w:val="00A162C2"/>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5A00" w:themeFill="accent2" w:themeFillShade="CC"/>
      </w:tcPr>
    </w:tblStylePr>
    <w:tblStylePr w:type="lastRow">
      <w:rPr>
        <w:b/>
        <w:bCs/>
        <w:color w:val="B75A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162C2"/>
    <w:pPr>
      <w:spacing w:before="0"/>
    </w:pPr>
    <w:rPr>
      <w:color w:val="000000" w:themeColor="text1"/>
    </w:rPr>
    <w:tblPr>
      <w:tblStyleRowBandSize w:val="1"/>
      <w:tblStyleColBandSize w:val="1"/>
    </w:tblPr>
    <w:tcPr>
      <w:shd w:val="clear" w:color="auto" w:fill="FEEDE4" w:themeFill="accent1" w:themeFillTint="19"/>
    </w:tcPr>
    <w:tblStylePr w:type="firstRow">
      <w:rPr>
        <w:b/>
        <w:bCs/>
        <w:color w:val="FFFFFF" w:themeColor="background1"/>
      </w:rPr>
      <w:tblPr/>
      <w:tcPr>
        <w:tcBorders>
          <w:bottom w:val="single" w:sz="12" w:space="0" w:color="FFFFFF" w:themeColor="background1"/>
        </w:tcBorders>
        <w:shd w:val="clear" w:color="auto" w:fill="B75A00" w:themeFill="accent2" w:themeFillShade="CC"/>
      </w:tcPr>
    </w:tblStylePr>
    <w:tblStylePr w:type="lastRow">
      <w:rPr>
        <w:b/>
        <w:bCs/>
        <w:color w:val="B75A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2BB" w:themeFill="accent1" w:themeFillTint="3F"/>
      </w:tcPr>
    </w:tblStylePr>
    <w:tblStylePr w:type="band1Horz">
      <w:tblPr/>
      <w:tcPr>
        <w:shd w:val="clear" w:color="auto" w:fill="FDDAC8" w:themeFill="accent1" w:themeFillTint="33"/>
      </w:tcPr>
    </w:tblStylePr>
  </w:style>
  <w:style w:type="table" w:styleId="ColorfulList-Accent2">
    <w:name w:val="Colorful List Accent 2"/>
    <w:basedOn w:val="TableNormal"/>
    <w:uiPriority w:val="72"/>
    <w:rsid w:val="00A162C2"/>
    <w:pPr>
      <w:spacing w:before="0"/>
    </w:pPr>
    <w:rPr>
      <w:color w:val="000000" w:themeColor="text1"/>
    </w:rPr>
    <w:tblPr>
      <w:tblStyleRowBandSize w:val="1"/>
      <w:tblStyleColBandSize w:val="1"/>
    </w:tblPr>
    <w:tcPr>
      <w:shd w:val="clear" w:color="auto" w:fill="FFF1E3" w:themeFill="accent2" w:themeFillTint="19"/>
    </w:tcPr>
    <w:tblStylePr w:type="firstRow">
      <w:rPr>
        <w:b/>
        <w:bCs/>
        <w:color w:val="FFFFFF" w:themeColor="background1"/>
      </w:rPr>
      <w:tblPr/>
      <w:tcPr>
        <w:tcBorders>
          <w:bottom w:val="single" w:sz="12" w:space="0" w:color="FFFFFF" w:themeColor="background1"/>
        </w:tcBorders>
        <w:shd w:val="clear" w:color="auto" w:fill="B75A00" w:themeFill="accent2" w:themeFillShade="CC"/>
      </w:tcPr>
    </w:tblStylePr>
    <w:tblStylePr w:type="lastRow">
      <w:rPr>
        <w:b/>
        <w:bCs/>
        <w:color w:val="B75A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B9" w:themeFill="accent2" w:themeFillTint="3F"/>
      </w:tcPr>
    </w:tblStylePr>
    <w:tblStylePr w:type="band1Horz">
      <w:tblPr/>
      <w:tcPr>
        <w:shd w:val="clear" w:color="auto" w:fill="FFE2C6" w:themeFill="accent2" w:themeFillTint="33"/>
      </w:tcPr>
    </w:tblStylePr>
  </w:style>
  <w:style w:type="table" w:styleId="ColorfulList-Accent3">
    <w:name w:val="Colorful List Accent 3"/>
    <w:basedOn w:val="TableNormal"/>
    <w:uiPriority w:val="72"/>
    <w:rsid w:val="00A162C2"/>
    <w:pPr>
      <w:spacing w:before="0"/>
    </w:pPr>
    <w:rPr>
      <w:color w:val="000000" w:themeColor="text1"/>
    </w:rPr>
    <w:tblPr>
      <w:tblStyleRowBandSize w:val="1"/>
      <w:tblStyleColBandSize w:val="1"/>
    </w:tblPr>
    <w:tcPr>
      <w:shd w:val="clear" w:color="auto" w:fill="FFF4E4" w:themeFill="accent3" w:themeFillTint="19"/>
    </w:tcPr>
    <w:tblStylePr w:type="firstRow">
      <w:rPr>
        <w:b/>
        <w:bCs/>
        <w:color w:val="FFFFFF" w:themeColor="background1"/>
      </w:rPr>
      <w:tblPr/>
      <w:tcPr>
        <w:tcBorders>
          <w:bottom w:val="single" w:sz="12" w:space="0" w:color="FFFFFF" w:themeColor="background1"/>
        </w:tcBorders>
        <w:shd w:val="clear" w:color="auto" w:fill="E9793F" w:themeFill="accent4" w:themeFillShade="CC"/>
      </w:tcPr>
    </w:tblStylePr>
    <w:tblStylePr w:type="lastRow">
      <w:rPr>
        <w:b/>
        <w:bCs/>
        <w:color w:val="E979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BD" w:themeFill="accent3" w:themeFillTint="3F"/>
      </w:tcPr>
    </w:tblStylePr>
    <w:tblStylePr w:type="band1Horz">
      <w:tblPr/>
      <w:tcPr>
        <w:shd w:val="clear" w:color="auto" w:fill="FFEAC9" w:themeFill="accent3" w:themeFillTint="33"/>
      </w:tcPr>
    </w:tblStylePr>
  </w:style>
  <w:style w:type="table" w:styleId="ColorfulList-Accent4">
    <w:name w:val="Colorful List Accent 4"/>
    <w:basedOn w:val="TableNormal"/>
    <w:uiPriority w:val="72"/>
    <w:rsid w:val="00A162C2"/>
    <w:pPr>
      <w:spacing w:before="0"/>
    </w:pPr>
    <w:rPr>
      <w:color w:val="000000" w:themeColor="text1"/>
    </w:rPr>
    <w:tblPr>
      <w:tblStyleRowBandSize w:val="1"/>
      <w:tblStyleColBandSize w:val="1"/>
    </w:tblPr>
    <w:tcPr>
      <w:shd w:val="clear" w:color="auto" w:fill="FDF6F2" w:themeFill="accent4" w:themeFillTint="19"/>
    </w:tcPr>
    <w:tblStylePr w:type="firstRow">
      <w:rPr>
        <w:b/>
        <w:bCs/>
        <w:color w:val="FFFFFF" w:themeColor="background1"/>
      </w:rPr>
      <w:tblPr/>
      <w:tcPr>
        <w:tcBorders>
          <w:bottom w:val="single" w:sz="12" w:space="0" w:color="FFFFFF" w:themeColor="background1"/>
        </w:tcBorders>
        <w:shd w:val="clear" w:color="auto" w:fill="C37700" w:themeFill="accent3" w:themeFillShade="CC"/>
      </w:tcPr>
    </w:tblStylePr>
    <w:tblStylePr w:type="lastRow">
      <w:rPr>
        <w:b/>
        <w:bCs/>
        <w:color w:val="C377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DF" w:themeFill="accent4" w:themeFillTint="3F"/>
      </w:tcPr>
    </w:tblStylePr>
    <w:tblStylePr w:type="band1Horz">
      <w:tblPr/>
      <w:tcPr>
        <w:shd w:val="clear" w:color="auto" w:fill="FCEDE5" w:themeFill="accent4" w:themeFillTint="33"/>
      </w:tcPr>
    </w:tblStylePr>
  </w:style>
  <w:style w:type="table" w:styleId="ColorfulList-Accent5">
    <w:name w:val="Colorful List Accent 5"/>
    <w:basedOn w:val="TableNormal"/>
    <w:uiPriority w:val="72"/>
    <w:rsid w:val="00A162C2"/>
    <w:pPr>
      <w:spacing w:before="0"/>
    </w:pPr>
    <w:rPr>
      <w:color w:val="000000" w:themeColor="text1"/>
    </w:rPr>
    <w:tblPr>
      <w:tblStyleRowBandSize w:val="1"/>
      <w:tblStyleColBandSize w:val="1"/>
    </w:tblPr>
    <w:tcPr>
      <w:shd w:val="clear" w:color="auto" w:fill="FEF9F4" w:themeFill="accent5" w:themeFillTint="19"/>
    </w:tcPr>
    <w:tblStylePr w:type="firstRow">
      <w:rPr>
        <w:b/>
        <w:bCs/>
        <w:color w:val="FFFFFF" w:themeColor="background1"/>
      </w:rPr>
      <w:tblPr/>
      <w:tcPr>
        <w:tcBorders>
          <w:bottom w:val="single" w:sz="12" w:space="0" w:color="FFFFFF" w:themeColor="background1"/>
        </w:tcBorders>
        <w:shd w:val="clear" w:color="auto" w:fill="F9C573" w:themeFill="accent6" w:themeFillShade="CC"/>
      </w:tcPr>
    </w:tblStylePr>
    <w:tblStylePr w:type="lastRow">
      <w:rPr>
        <w:b/>
        <w:bCs/>
        <w:color w:val="F9C5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0E5" w:themeFill="accent5" w:themeFillTint="3F"/>
      </w:tcPr>
    </w:tblStylePr>
    <w:tblStylePr w:type="band1Horz">
      <w:tblPr/>
      <w:tcPr>
        <w:shd w:val="clear" w:color="auto" w:fill="FDF3EA" w:themeFill="accent5" w:themeFillTint="33"/>
      </w:tcPr>
    </w:tblStylePr>
  </w:style>
  <w:style w:type="table" w:styleId="ColorfulList-Accent6">
    <w:name w:val="Colorful List Accent 6"/>
    <w:basedOn w:val="TableNormal"/>
    <w:uiPriority w:val="72"/>
    <w:rsid w:val="00A162C2"/>
    <w:pPr>
      <w:spacing w:before="0"/>
    </w:pPr>
    <w:rPr>
      <w:color w:val="000000" w:themeColor="text1"/>
    </w:rPr>
    <w:tblPr>
      <w:tblStyleRowBandSize w:val="1"/>
      <w:tblStyleColBandSize w:val="1"/>
    </w:tblPr>
    <w:tcPr>
      <w:shd w:val="clear" w:color="auto" w:fill="FEFCF9" w:themeFill="accent6" w:themeFillTint="19"/>
    </w:tcPr>
    <w:tblStylePr w:type="firstRow">
      <w:rPr>
        <w:b/>
        <w:bCs/>
        <w:color w:val="FFFFFF" w:themeColor="background1"/>
      </w:rPr>
      <w:tblPr/>
      <w:tcPr>
        <w:tcBorders>
          <w:bottom w:val="single" w:sz="12" w:space="0" w:color="FFFFFF" w:themeColor="background1"/>
        </w:tcBorders>
        <w:shd w:val="clear" w:color="auto" w:fill="EE9E50" w:themeFill="accent5" w:themeFillShade="CC"/>
      </w:tcPr>
    </w:tblStylePr>
    <w:tblStylePr w:type="lastRow">
      <w:rPr>
        <w:b/>
        <w:bCs/>
        <w:color w:val="EE9E5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2" w:themeFill="accent6" w:themeFillTint="3F"/>
      </w:tcPr>
    </w:tblStylePr>
    <w:tblStylePr w:type="band1Horz">
      <w:tblPr/>
      <w:tcPr>
        <w:shd w:val="clear" w:color="auto" w:fill="FEFAF4" w:themeFill="accent6" w:themeFillTint="33"/>
      </w:tcPr>
    </w:tblStylePr>
  </w:style>
  <w:style w:type="table" w:styleId="ColorfulShading">
    <w:name w:val="Colorful Shading"/>
    <w:basedOn w:val="TableNormal"/>
    <w:uiPriority w:val="71"/>
    <w:rsid w:val="00A162C2"/>
    <w:pPr>
      <w:spacing w:before="0"/>
    </w:pPr>
    <w:rPr>
      <w:color w:val="000000" w:themeColor="text1"/>
    </w:rPr>
    <w:tblPr>
      <w:tblStyleRowBandSize w:val="1"/>
      <w:tblStyleColBandSize w:val="1"/>
      <w:tblBorders>
        <w:top w:val="single" w:sz="24" w:space="0" w:color="E572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72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162C2"/>
    <w:pPr>
      <w:spacing w:before="0"/>
    </w:pPr>
    <w:rPr>
      <w:color w:val="000000" w:themeColor="text1"/>
    </w:rPr>
    <w:tblPr>
      <w:tblStyleRowBandSize w:val="1"/>
      <w:tblStyleColBandSize w:val="1"/>
      <w:tblBorders>
        <w:top w:val="single" w:sz="24" w:space="0" w:color="E57200" w:themeColor="accent2"/>
        <w:left w:val="single" w:sz="4" w:space="0" w:color="E35205" w:themeColor="accent1"/>
        <w:bottom w:val="single" w:sz="4" w:space="0" w:color="E35205" w:themeColor="accent1"/>
        <w:right w:val="single" w:sz="4" w:space="0" w:color="E35205" w:themeColor="accent1"/>
        <w:insideH w:val="single" w:sz="4" w:space="0" w:color="FFFFFF" w:themeColor="background1"/>
        <w:insideV w:val="single" w:sz="4" w:space="0" w:color="FFFFFF" w:themeColor="background1"/>
      </w:tblBorders>
    </w:tblPr>
    <w:tcPr>
      <w:shd w:val="clear" w:color="auto" w:fill="FEEDE4" w:themeFill="accent1" w:themeFillTint="19"/>
    </w:tcPr>
    <w:tblStylePr w:type="firstRow">
      <w:rPr>
        <w:b/>
        <w:bCs/>
      </w:rPr>
      <w:tblPr/>
      <w:tcPr>
        <w:tcBorders>
          <w:top w:val="nil"/>
          <w:left w:val="nil"/>
          <w:bottom w:val="single" w:sz="24" w:space="0" w:color="E572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3003" w:themeFill="accent1" w:themeFillShade="99"/>
      </w:tcPr>
    </w:tblStylePr>
    <w:tblStylePr w:type="firstCol">
      <w:rPr>
        <w:color w:val="FFFFFF" w:themeColor="background1"/>
      </w:rPr>
      <w:tblPr/>
      <w:tcPr>
        <w:tcBorders>
          <w:top w:val="nil"/>
          <w:left w:val="nil"/>
          <w:bottom w:val="nil"/>
          <w:right w:val="nil"/>
          <w:insideH w:val="single" w:sz="4" w:space="0" w:color="883003" w:themeColor="accent1" w:themeShade="99"/>
          <w:insideV w:val="nil"/>
        </w:tcBorders>
        <w:shd w:val="clear" w:color="auto" w:fill="88300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83003" w:themeFill="accent1" w:themeFillShade="99"/>
      </w:tcPr>
    </w:tblStylePr>
    <w:tblStylePr w:type="band1Vert">
      <w:tblPr/>
      <w:tcPr>
        <w:shd w:val="clear" w:color="auto" w:fill="FCB692" w:themeFill="accent1" w:themeFillTint="66"/>
      </w:tcPr>
    </w:tblStylePr>
    <w:tblStylePr w:type="band1Horz">
      <w:tblPr/>
      <w:tcPr>
        <w:shd w:val="clear" w:color="auto" w:fill="FCA57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162C2"/>
    <w:pPr>
      <w:spacing w:before="0"/>
    </w:pPr>
    <w:rPr>
      <w:color w:val="000000" w:themeColor="text1"/>
    </w:rPr>
    <w:tblPr>
      <w:tblStyleRowBandSize w:val="1"/>
      <w:tblStyleColBandSize w:val="1"/>
      <w:tblBorders>
        <w:top w:val="single" w:sz="24" w:space="0" w:color="E57200" w:themeColor="accent2"/>
        <w:left w:val="single" w:sz="4" w:space="0" w:color="E57200" w:themeColor="accent2"/>
        <w:bottom w:val="single" w:sz="4" w:space="0" w:color="E57200" w:themeColor="accent2"/>
        <w:right w:val="single" w:sz="4" w:space="0" w:color="E57200" w:themeColor="accent2"/>
        <w:insideH w:val="single" w:sz="4" w:space="0" w:color="FFFFFF" w:themeColor="background1"/>
        <w:insideV w:val="single" w:sz="4" w:space="0" w:color="FFFFFF" w:themeColor="background1"/>
      </w:tblBorders>
    </w:tblPr>
    <w:tcPr>
      <w:shd w:val="clear" w:color="auto" w:fill="FFF1E3" w:themeFill="accent2" w:themeFillTint="19"/>
    </w:tcPr>
    <w:tblStylePr w:type="firstRow">
      <w:rPr>
        <w:b/>
        <w:bCs/>
      </w:rPr>
      <w:tblPr/>
      <w:tcPr>
        <w:tcBorders>
          <w:top w:val="nil"/>
          <w:left w:val="nil"/>
          <w:bottom w:val="single" w:sz="24" w:space="0" w:color="E572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4300" w:themeFill="accent2" w:themeFillShade="99"/>
      </w:tcPr>
    </w:tblStylePr>
    <w:tblStylePr w:type="firstCol">
      <w:rPr>
        <w:color w:val="FFFFFF" w:themeColor="background1"/>
      </w:rPr>
      <w:tblPr/>
      <w:tcPr>
        <w:tcBorders>
          <w:top w:val="nil"/>
          <w:left w:val="nil"/>
          <w:bottom w:val="nil"/>
          <w:right w:val="nil"/>
          <w:insideH w:val="single" w:sz="4" w:space="0" w:color="894300" w:themeColor="accent2" w:themeShade="99"/>
          <w:insideV w:val="nil"/>
        </w:tcBorders>
        <w:shd w:val="clear" w:color="auto" w:fill="8943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4300" w:themeFill="accent2" w:themeFillShade="99"/>
      </w:tcPr>
    </w:tblStylePr>
    <w:tblStylePr w:type="band1Vert">
      <w:tblPr/>
      <w:tcPr>
        <w:shd w:val="clear" w:color="auto" w:fill="FFC68E" w:themeFill="accent2" w:themeFillTint="66"/>
      </w:tcPr>
    </w:tblStylePr>
    <w:tblStylePr w:type="band1Horz">
      <w:tblPr/>
      <w:tcPr>
        <w:shd w:val="clear" w:color="auto" w:fill="FFB87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162C2"/>
    <w:pPr>
      <w:spacing w:before="0"/>
    </w:pPr>
    <w:rPr>
      <w:color w:val="000000" w:themeColor="text1"/>
    </w:rPr>
    <w:tblPr>
      <w:tblStyleRowBandSize w:val="1"/>
      <w:tblStyleColBandSize w:val="1"/>
      <w:tblBorders>
        <w:top w:val="single" w:sz="24" w:space="0" w:color="F1A882" w:themeColor="accent4"/>
        <w:left w:val="single" w:sz="4" w:space="0" w:color="F49600" w:themeColor="accent3"/>
        <w:bottom w:val="single" w:sz="4" w:space="0" w:color="F49600" w:themeColor="accent3"/>
        <w:right w:val="single" w:sz="4" w:space="0" w:color="F49600" w:themeColor="accent3"/>
        <w:insideH w:val="single" w:sz="4" w:space="0" w:color="FFFFFF" w:themeColor="background1"/>
        <w:insideV w:val="single" w:sz="4" w:space="0" w:color="FFFFFF" w:themeColor="background1"/>
      </w:tblBorders>
    </w:tblPr>
    <w:tcPr>
      <w:shd w:val="clear" w:color="auto" w:fill="FFF4E4" w:themeFill="accent3" w:themeFillTint="19"/>
    </w:tcPr>
    <w:tblStylePr w:type="firstRow">
      <w:rPr>
        <w:b/>
        <w:bCs/>
      </w:rPr>
      <w:tblPr/>
      <w:tcPr>
        <w:tcBorders>
          <w:top w:val="nil"/>
          <w:left w:val="nil"/>
          <w:bottom w:val="single" w:sz="24" w:space="0" w:color="F1A88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5900" w:themeFill="accent3" w:themeFillShade="99"/>
      </w:tcPr>
    </w:tblStylePr>
    <w:tblStylePr w:type="firstCol">
      <w:rPr>
        <w:color w:val="FFFFFF" w:themeColor="background1"/>
      </w:rPr>
      <w:tblPr/>
      <w:tcPr>
        <w:tcBorders>
          <w:top w:val="nil"/>
          <w:left w:val="nil"/>
          <w:bottom w:val="nil"/>
          <w:right w:val="nil"/>
          <w:insideH w:val="single" w:sz="4" w:space="0" w:color="925900" w:themeColor="accent3" w:themeShade="99"/>
          <w:insideV w:val="nil"/>
        </w:tcBorders>
        <w:shd w:val="clear" w:color="auto" w:fill="9259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5900" w:themeFill="accent3" w:themeFillShade="99"/>
      </w:tcPr>
    </w:tblStylePr>
    <w:tblStylePr w:type="band1Vert">
      <w:tblPr/>
      <w:tcPr>
        <w:shd w:val="clear" w:color="auto" w:fill="FFD594" w:themeFill="accent3" w:themeFillTint="66"/>
      </w:tcPr>
    </w:tblStylePr>
    <w:tblStylePr w:type="band1Horz">
      <w:tblPr/>
      <w:tcPr>
        <w:shd w:val="clear" w:color="auto" w:fill="FFCB7A" w:themeFill="accent3" w:themeFillTint="7F"/>
      </w:tcPr>
    </w:tblStylePr>
  </w:style>
  <w:style w:type="table" w:styleId="ColorfulShading-Accent4">
    <w:name w:val="Colorful Shading Accent 4"/>
    <w:basedOn w:val="TableNormal"/>
    <w:uiPriority w:val="71"/>
    <w:rsid w:val="00A162C2"/>
    <w:pPr>
      <w:spacing w:before="0"/>
    </w:pPr>
    <w:rPr>
      <w:color w:val="000000" w:themeColor="text1"/>
    </w:rPr>
    <w:tblPr>
      <w:tblStyleRowBandSize w:val="1"/>
      <w:tblStyleColBandSize w:val="1"/>
      <w:tblBorders>
        <w:top w:val="single" w:sz="24" w:space="0" w:color="F49600" w:themeColor="accent3"/>
        <w:left w:val="single" w:sz="4" w:space="0" w:color="F1A882" w:themeColor="accent4"/>
        <w:bottom w:val="single" w:sz="4" w:space="0" w:color="F1A882" w:themeColor="accent4"/>
        <w:right w:val="single" w:sz="4" w:space="0" w:color="F1A882" w:themeColor="accent4"/>
        <w:insideH w:val="single" w:sz="4" w:space="0" w:color="FFFFFF" w:themeColor="background1"/>
        <w:insideV w:val="single" w:sz="4" w:space="0" w:color="FFFFFF" w:themeColor="background1"/>
      </w:tblBorders>
    </w:tblPr>
    <w:tcPr>
      <w:shd w:val="clear" w:color="auto" w:fill="FDF6F2" w:themeFill="accent4" w:themeFillTint="19"/>
    </w:tcPr>
    <w:tblStylePr w:type="firstRow">
      <w:rPr>
        <w:b/>
        <w:bCs/>
      </w:rPr>
      <w:tblPr/>
      <w:tcPr>
        <w:tcBorders>
          <w:top w:val="nil"/>
          <w:left w:val="nil"/>
          <w:bottom w:val="single" w:sz="24" w:space="0" w:color="F496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75316" w:themeFill="accent4" w:themeFillShade="99"/>
      </w:tcPr>
    </w:tblStylePr>
    <w:tblStylePr w:type="firstCol">
      <w:rPr>
        <w:color w:val="FFFFFF" w:themeColor="background1"/>
      </w:rPr>
      <w:tblPr/>
      <w:tcPr>
        <w:tcBorders>
          <w:top w:val="nil"/>
          <w:left w:val="nil"/>
          <w:bottom w:val="nil"/>
          <w:right w:val="nil"/>
          <w:insideH w:val="single" w:sz="4" w:space="0" w:color="C75316" w:themeColor="accent4" w:themeShade="99"/>
          <w:insideV w:val="nil"/>
        </w:tcBorders>
        <w:shd w:val="clear" w:color="auto" w:fill="C753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75316" w:themeFill="accent4" w:themeFillShade="99"/>
      </w:tcPr>
    </w:tblStylePr>
    <w:tblStylePr w:type="band1Vert">
      <w:tblPr/>
      <w:tcPr>
        <w:shd w:val="clear" w:color="auto" w:fill="F9DCCC" w:themeFill="accent4" w:themeFillTint="66"/>
      </w:tcPr>
    </w:tblStylePr>
    <w:tblStylePr w:type="band1Horz">
      <w:tblPr/>
      <w:tcPr>
        <w:shd w:val="clear" w:color="auto" w:fill="F8D3C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162C2"/>
    <w:pPr>
      <w:spacing w:before="0"/>
    </w:pPr>
    <w:rPr>
      <w:color w:val="000000" w:themeColor="text1"/>
    </w:rPr>
    <w:tblPr>
      <w:tblStyleRowBandSize w:val="1"/>
      <w:tblStyleColBandSize w:val="1"/>
      <w:tblBorders>
        <w:top w:val="single" w:sz="24" w:space="0" w:color="FDEACC" w:themeColor="accent6"/>
        <w:left w:val="single" w:sz="4" w:space="0" w:color="F5C799" w:themeColor="accent5"/>
        <w:bottom w:val="single" w:sz="4" w:space="0" w:color="F5C799" w:themeColor="accent5"/>
        <w:right w:val="single" w:sz="4" w:space="0" w:color="F5C799" w:themeColor="accent5"/>
        <w:insideH w:val="single" w:sz="4" w:space="0" w:color="FFFFFF" w:themeColor="background1"/>
        <w:insideV w:val="single" w:sz="4" w:space="0" w:color="FFFFFF" w:themeColor="background1"/>
      </w:tblBorders>
    </w:tblPr>
    <w:tcPr>
      <w:shd w:val="clear" w:color="auto" w:fill="FEF9F4" w:themeFill="accent5" w:themeFillTint="19"/>
    </w:tcPr>
    <w:tblStylePr w:type="firstRow">
      <w:rPr>
        <w:b/>
        <w:bCs/>
      </w:rPr>
      <w:tblPr/>
      <w:tcPr>
        <w:tcBorders>
          <w:top w:val="nil"/>
          <w:left w:val="nil"/>
          <w:bottom w:val="single" w:sz="24" w:space="0" w:color="FDEAC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97615" w:themeFill="accent5" w:themeFillShade="99"/>
      </w:tcPr>
    </w:tblStylePr>
    <w:tblStylePr w:type="firstCol">
      <w:rPr>
        <w:color w:val="FFFFFF" w:themeColor="background1"/>
      </w:rPr>
      <w:tblPr/>
      <w:tcPr>
        <w:tcBorders>
          <w:top w:val="nil"/>
          <w:left w:val="nil"/>
          <w:bottom w:val="nil"/>
          <w:right w:val="nil"/>
          <w:insideH w:val="single" w:sz="4" w:space="0" w:color="D97615" w:themeColor="accent5" w:themeShade="99"/>
          <w:insideV w:val="nil"/>
        </w:tcBorders>
        <w:shd w:val="clear" w:color="auto" w:fill="D976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D97615" w:themeFill="accent5" w:themeFillShade="99"/>
      </w:tcPr>
    </w:tblStylePr>
    <w:tblStylePr w:type="band1Vert">
      <w:tblPr/>
      <w:tcPr>
        <w:shd w:val="clear" w:color="auto" w:fill="FBE8D6" w:themeFill="accent5" w:themeFillTint="66"/>
      </w:tcPr>
    </w:tblStylePr>
    <w:tblStylePr w:type="band1Horz">
      <w:tblPr/>
      <w:tcPr>
        <w:shd w:val="clear" w:color="auto" w:fill="FAE2C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162C2"/>
    <w:pPr>
      <w:spacing w:before="0"/>
    </w:pPr>
    <w:rPr>
      <w:color w:val="000000" w:themeColor="text1"/>
    </w:rPr>
    <w:tblPr>
      <w:tblStyleRowBandSize w:val="1"/>
      <w:tblStyleColBandSize w:val="1"/>
      <w:tblBorders>
        <w:top w:val="single" w:sz="24" w:space="0" w:color="F5C799" w:themeColor="accent5"/>
        <w:left w:val="single" w:sz="4" w:space="0" w:color="FDEACC" w:themeColor="accent6"/>
        <w:bottom w:val="single" w:sz="4" w:space="0" w:color="FDEACC" w:themeColor="accent6"/>
        <w:right w:val="single" w:sz="4" w:space="0" w:color="FDEACC" w:themeColor="accent6"/>
        <w:insideH w:val="single" w:sz="4" w:space="0" w:color="FFFFFF" w:themeColor="background1"/>
        <w:insideV w:val="single" w:sz="4" w:space="0" w:color="FFFFFF" w:themeColor="background1"/>
      </w:tblBorders>
    </w:tblPr>
    <w:tcPr>
      <w:shd w:val="clear" w:color="auto" w:fill="FEFCF9" w:themeFill="accent6" w:themeFillTint="19"/>
    </w:tcPr>
    <w:tblStylePr w:type="firstRow">
      <w:rPr>
        <w:b/>
        <w:bCs/>
      </w:rPr>
      <w:tblPr/>
      <w:tcPr>
        <w:tcBorders>
          <w:top w:val="nil"/>
          <w:left w:val="nil"/>
          <w:bottom w:val="single" w:sz="24" w:space="0" w:color="F5C79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6A11B" w:themeFill="accent6" w:themeFillShade="99"/>
      </w:tcPr>
    </w:tblStylePr>
    <w:tblStylePr w:type="firstCol">
      <w:rPr>
        <w:color w:val="FFFFFF" w:themeColor="background1"/>
      </w:rPr>
      <w:tblPr/>
      <w:tcPr>
        <w:tcBorders>
          <w:top w:val="nil"/>
          <w:left w:val="nil"/>
          <w:bottom w:val="nil"/>
          <w:right w:val="nil"/>
          <w:insideH w:val="single" w:sz="4" w:space="0" w:color="F6A11B" w:themeColor="accent6" w:themeShade="99"/>
          <w:insideV w:val="nil"/>
        </w:tcBorders>
        <w:shd w:val="clear" w:color="auto" w:fill="F6A1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6A11B" w:themeFill="accent6" w:themeFillShade="99"/>
      </w:tcPr>
    </w:tblStylePr>
    <w:tblStylePr w:type="band1Vert">
      <w:tblPr/>
      <w:tcPr>
        <w:shd w:val="clear" w:color="auto" w:fill="FEF6EA" w:themeFill="accent6" w:themeFillTint="66"/>
      </w:tcPr>
    </w:tblStylePr>
    <w:tblStylePr w:type="band1Horz">
      <w:tblPr/>
      <w:tcPr>
        <w:shd w:val="clear" w:color="auto" w:fill="FEF4E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162C2"/>
    <w:rPr>
      <w:sz w:val="16"/>
      <w:szCs w:val="16"/>
    </w:rPr>
  </w:style>
  <w:style w:type="paragraph" w:styleId="CommentText">
    <w:name w:val="annotation text"/>
    <w:basedOn w:val="Normal"/>
    <w:link w:val="CommentTextChar"/>
    <w:uiPriority w:val="99"/>
    <w:semiHidden/>
    <w:unhideWhenUsed/>
    <w:rsid w:val="00A162C2"/>
  </w:style>
  <w:style w:type="character" w:customStyle="1" w:styleId="CommentTextChar">
    <w:name w:val="Comment Text Char"/>
    <w:basedOn w:val="DefaultParagraphFont"/>
    <w:link w:val="CommentText"/>
    <w:uiPriority w:val="99"/>
    <w:semiHidden/>
    <w:rsid w:val="00A162C2"/>
    <w:rPr>
      <w:rFonts w:eastAsiaTheme="minorEastAsia"/>
      <w:spacing w:val="2"/>
      <w:lang w:eastAsia="en-AU"/>
    </w:rPr>
  </w:style>
  <w:style w:type="paragraph" w:styleId="CommentSubject">
    <w:name w:val="annotation subject"/>
    <w:basedOn w:val="CommentText"/>
    <w:next w:val="CommentText"/>
    <w:link w:val="CommentSubjectChar"/>
    <w:uiPriority w:val="99"/>
    <w:semiHidden/>
    <w:unhideWhenUsed/>
    <w:rsid w:val="00A162C2"/>
    <w:rPr>
      <w:b/>
      <w:bCs/>
    </w:rPr>
  </w:style>
  <w:style w:type="character" w:customStyle="1" w:styleId="CommentSubjectChar">
    <w:name w:val="Comment Subject Char"/>
    <w:basedOn w:val="CommentTextChar"/>
    <w:link w:val="CommentSubject"/>
    <w:uiPriority w:val="99"/>
    <w:semiHidden/>
    <w:rsid w:val="00A162C2"/>
    <w:rPr>
      <w:rFonts w:eastAsiaTheme="minorEastAsia"/>
      <w:b/>
      <w:bCs/>
      <w:spacing w:val="2"/>
      <w:lang w:eastAsia="en-AU"/>
    </w:rPr>
  </w:style>
  <w:style w:type="table" w:styleId="DarkList">
    <w:name w:val="Dark List"/>
    <w:basedOn w:val="TableNormal"/>
    <w:uiPriority w:val="70"/>
    <w:rsid w:val="00A162C2"/>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162C2"/>
    <w:pPr>
      <w:spacing w:before="0"/>
    </w:pPr>
    <w:rPr>
      <w:color w:val="FFFFFF" w:themeColor="background1"/>
    </w:rPr>
    <w:tblPr>
      <w:tblStyleRowBandSize w:val="1"/>
      <w:tblStyleColBandSize w:val="1"/>
    </w:tblPr>
    <w:tcPr>
      <w:shd w:val="clear" w:color="auto" w:fill="E3520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80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93D0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93D03" w:themeFill="accent1" w:themeFillShade="BF"/>
      </w:tcPr>
    </w:tblStylePr>
    <w:tblStylePr w:type="band1Vert">
      <w:tblPr/>
      <w:tcPr>
        <w:tcBorders>
          <w:top w:val="nil"/>
          <w:left w:val="nil"/>
          <w:bottom w:val="nil"/>
          <w:right w:val="nil"/>
          <w:insideH w:val="nil"/>
          <w:insideV w:val="nil"/>
        </w:tcBorders>
        <w:shd w:val="clear" w:color="auto" w:fill="A93D03" w:themeFill="accent1" w:themeFillShade="BF"/>
      </w:tcPr>
    </w:tblStylePr>
    <w:tblStylePr w:type="band1Horz">
      <w:tblPr/>
      <w:tcPr>
        <w:tcBorders>
          <w:top w:val="nil"/>
          <w:left w:val="nil"/>
          <w:bottom w:val="nil"/>
          <w:right w:val="nil"/>
          <w:insideH w:val="nil"/>
          <w:insideV w:val="nil"/>
        </w:tcBorders>
        <w:shd w:val="clear" w:color="auto" w:fill="A93D03" w:themeFill="accent1" w:themeFillShade="BF"/>
      </w:tcPr>
    </w:tblStylePr>
  </w:style>
  <w:style w:type="table" w:styleId="DarkList-Accent2">
    <w:name w:val="Dark List Accent 2"/>
    <w:basedOn w:val="TableNormal"/>
    <w:uiPriority w:val="70"/>
    <w:rsid w:val="00A162C2"/>
    <w:pPr>
      <w:spacing w:before="0"/>
    </w:pPr>
    <w:rPr>
      <w:color w:val="FFFFFF" w:themeColor="background1"/>
    </w:rPr>
    <w:tblPr>
      <w:tblStyleRowBandSize w:val="1"/>
      <w:tblStyleColBandSize w:val="1"/>
    </w:tblPr>
    <w:tcPr>
      <w:shd w:val="clear" w:color="auto" w:fill="E572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38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54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5400" w:themeFill="accent2" w:themeFillShade="BF"/>
      </w:tcPr>
    </w:tblStylePr>
    <w:tblStylePr w:type="band1Vert">
      <w:tblPr/>
      <w:tcPr>
        <w:tcBorders>
          <w:top w:val="nil"/>
          <w:left w:val="nil"/>
          <w:bottom w:val="nil"/>
          <w:right w:val="nil"/>
          <w:insideH w:val="nil"/>
          <w:insideV w:val="nil"/>
        </w:tcBorders>
        <w:shd w:val="clear" w:color="auto" w:fill="AB5400" w:themeFill="accent2" w:themeFillShade="BF"/>
      </w:tcPr>
    </w:tblStylePr>
    <w:tblStylePr w:type="band1Horz">
      <w:tblPr/>
      <w:tcPr>
        <w:tcBorders>
          <w:top w:val="nil"/>
          <w:left w:val="nil"/>
          <w:bottom w:val="nil"/>
          <w:right w:val="nil"/>
          <w:insideH w:val="nil"/>
          <w:insideV w:val="nil"/>
        </w:tcBorders>
        <w:shd w:val="clear" w:color="auto" w:fill="AB5400" w:themeFill="accent2" w:themeFillShade="BF"/>
      </w:tcPr>
    </w:tblStylePr>
  </w:style>
  <w:style w:type="table" w:styleId="DarkList-Accent3">
    <w:name w:val="Dark List Accent 3"/>
    <w:basedOn w:val="TableNormal"/>
    <w:uiPriority w:val="70"/>
    <w:rsid w:val="00A162C2"/>
    <w:pPr>
      <w:spacing w:before="0"/>
    </w:pPr>
    <w:rPr>
      <w:color w:val="FFFFFF" w:themeColor="background1"/>
    </w:rPr>
    <w:tblPr>
      <w:tblStyleRowBandSize w:val="1"/>
      <w:tblStyleColBandSize w:val="1"/>
    </w:tblPr>
    <w:tcPr>
      <w:shd w:val="clear" w:color="auto" w:fill="F496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A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66F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66F00" w:themeFill="accent3" w:themeFillShade="BF"/>
      </w:tcPr>
    </w:tblStylePr>
    <w:tblStylePr w:type="band1Vert">
      <w:tblPr/>
      <w:tcPr>
        <w:tcBorders>
          <w:top w:val="nil"/>
          <w:left w:val="nil"/>
          <w:bottom w:val="nil"/>
          <w:right w:val="nil"/>
          <w:insideH w:val="nil"/>
          <w:insideV w:val="nil"/>
        </w:tcBorders>
        <w:shd w:val="clear" w:color="auto" w:fill="B66F00" w:themeFill="accent3" w:themeFillShade="BF"/>
      </w:tcPr>
    </w:tblStylePr>
    <w:tblStylePr w:type="band1Horz">
      <w:tblPr/>
      <w:tcPr>
        <w:tcBorders>
          <w:top w:val="nil"/>
          <w:left w:val="nil"/>
          <w:bottom w:val="nil"/>
          <w:right w:val="nil"/>
          <w:insideH w:val="nil"/>
          <w:insideV w:val="nil"/>
        </w:tcBorders>
        <w:shd w:val="clear" w:color="auto" w:fill="B66F00" w:themeFill="accent3" w:themeFillShade="BF"/>
      </w:tcPr>
    </w:tblStylePr>
  </w:style>
  <w:style w:type="table" w:styleId="DarkList-Accent4">
    <w:name w:val="Dark List Accent 4"/>
    <w:basedOn w:val="TableNormal"/>
    <w:uiPriority w:val="70"/>
    <w:rsid w:val="00A162C2"/>
    <w:pPr>
      <w:spacing w:before="0"/>
    </w:pPr>
    <w:rPr>
      <w:color w:val="FFFFFF" w:themeColor="background1"/>
    </w:rPr>
    <w:tblPr>
      <w:tblStyleRowBandSize w:val="1"/>
      <w:tblStyleColBandSize w:val="1"/>
    </w:tblPr>
    <w:tcPr>
      <w:shd w:val="clear" w:color="auto" w:fill="F1A88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644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76D2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76D2E" w:themeFill="accent4" w:themeFillShade="BF"/>
      </w:tcPr>
    </w:tblStylePr>
    <w:tblStylePr w:type="band1Vert">
      <w:tblPr/>
      <w:tcPr>
        <w:tcBorders>
          <w:top w:val="nil"/>
          <w:left w:val="nil"/>
          <w:bottom w:val="nil"/>
          <w:right w:val="nil"/>
          <w:insideH w:val="nil"/>
          <w:insideV w:val="nil"/>
        </w:tcBorders>
        <w:shd w:val="clear" w:color="auto" w:fill="E76D2E" w:themeFill="accent4" w:themeFillShade="BF"/>
      </w:tcPr>
    </w:tblStylePr>
    <w:tblStylePr w:type="band1Horz">
      <w:tblPr/>
      <w:tcPr>
        <w:tcBorders>
          <w:top w:val="nil"/>
          <w:left w:val="nil"/>
          <w:bottom w:val="nil"/>
          <w:right w:val="nil"/>
          <w:insideH w:val="nil"/>
          <w:insideV w:val="nil"/>
        </w:tcBorders>
        <w:shd w:val="clear" w:color="auto" w:fill="E76D2E" w:themeFill="accent4" w:themeFillShade="BF"/>
      </w:tcPr>
    </w:tblStylePr>
  </w:style>
  <w:style w:type="table" w:styleId="DarkList-Accent5">
    <w:name w:val="Dark List Accent 5"/>
    <w:basedOn w:val="TableNormal"/>
    <w:uiPriority w:val="70"/>
    <w:rsid w:val="00A162C2"/>
    <w:pPr>
      <w:spacing w:before="0"/>
    </w:pPr>
    <w:rPr>
      <w:color w:val="FFFFFF" w:themeColor="background1"/>
    </w:rPr>
    <w:tblPr>
      <w:tblStyleRowBandSize w:val="1"/>
      <w:tblStyleColBandSize w:val="1"/>
    </w:tblPr>
    <w:tcPr>
      <w:shd w:val="clear" w:color="auto" w:fill="F5C79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462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C94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C943D" w:themeFill="accent5" w:themeFillShade="BF"/>
      </w:tcPr>
    </w:tblStylePr>
    <w:tblStylePr w:type="band1Vert">
      <w:tblPr/>
      <w:tcPr>
        <w:tcBorders>
          <w:top w:val="nil"/>
          <w:left w:val="nil"/>
          <w:bottom w:val="nil"/>
          <w:right w:val="nil"/>
          <w:insideH w:val="nil"/>
          <w:insideV w:val="nil"/>
        </w:tcBorders>
        <w:shd w:val="clear" w:color="auto" w:fill="EC943D" w:themeFill="accent5" w:themeFillShade="BF"/>
      </w:tcPr>
    </w:tblStylePr>
    <w:tblStylePr w:type="band1Horz">
      <w:tblPr/>
      <w:tcPr>
        <w:tcBorders>
          <w:top w:val="nil"/>
          <w:left w:val="nil"/>
          <w:bottom w:val="nil"/>
          <w:right w:val="nil"/>
          <w:insideH w:val="nil"/>
          <w:insideV w:val="nil"/>
        </w:tcBorders>
        <w:shd w:val="clear" w:color="auto" w:fill="EC943D" w:themeFill="accent5" w:themeFillShade="BF"/>
      </w:tcPr>
    </w:tblStylePr>
  </w:style>
  <w:style w:type="table" w:styleId="DarkList-Accent6">
    <w:name w:val="Dark List Accent 6"/>
    <w:basedOn w:val="TableNormal"/>
    <w:uiPriority w:val="70"/>
    <w:rsid w:val="00A162C2"/>
    <w:pPr>
      <w:spacing w:before="0"/>
    </w:pPr>
    <w:rPr>
      <w:color w:val="FFFFFF" w:themeColor="background1"/>
    </w:rPr>
    <w:tblPr>
      <w:tblStyleRowBandSize w:val="1"/>
      <w:tblStyleColBandSize w:val="1"/>
    </w:tblPr>
    <w:tcPr>
      <w:shd w:val="clear" w:color="auto" w:fill="FDEAC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A890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8BC5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8BC5D" w:themeFill="accent6" w:themeFillShade="BF"/>
      </w:tcPr>
    </w:tblStylePr>
    <w:tblStylePr w:type="band1Vert">
      <w:tblPr/>
      <w:tcPr>
        <w:tcBorders>
          <w:top w:val="nil"/>
          <w:left w:val="nil"/>
          <w:bottom w:val="nil"/>
          <w:right w:val="nil"/>
          <w:insideH w:val="nil"/>
          <w:insideV w:val="nil"/>
        </w:tcBorders>
        <w:shd w:val="clear" w:color="auto" w:fill="F8BC5D" w:themeFill="accent6" w:themeFillShade="BF"/>
      </w:tcPr>
    </w:tblStylePr>
    <w:tblStylePr w:type="band1Horz">
      <w:tblPr/>
      <w:tcPr>
        <w:tcBorders>
          <w:top w:val="nil"/>
          <w:left w:val="nil"/>
          <w:bottom w:val="nil"/>
          <w:right w:val="nil"/>
          <w:insideH w:val="nil"/>
          <w:insideV w:val="nil"/>
        </w:tcBorders>
        <w:shd w:val="clear" w:color="auto" w:fill="F8BC5D" w:themeFill="accent6" w:themeFillShade="BF"/>
      </w:tcPr>
    </w:tblStylePr>
  </w:style>
  <w:style w:type="paragraph" w:styleId="Date">
    <w:name w:val="Date"/>
    <w:basedOn w:val="Normal"/>
    <w:next w:val="Normal"/>
    <w:link w:val="DateChar"/>
    <w:uiPriority w:val="99"/>
    <w:semiHidden/>
    <w:unhideWhenUsed/>
    <w:rsid w:val="00A162C2"/>
  </w:style>
  <w:style w:type="character" w:customStyle="1" w:styleId="DateChar">
    <w:name w:val="Date Char"/>
    <w:basedOn w:val="DefaultParagraphFont"/>
    <w:link w:val="Date"/>
    <w:uiPriority w:val="99"/>
    <w:semiHidden/>
    <w:rsid w:val="00A162C2"/>
    <w:rPr>
      <w:rFonts w:eastAsiaTheme="minorEastAsia"/>
      <w:spacing w:val="2"/>
      <w:lang w:eastAsia="en-AU"/>
    </w:rPr>
  </w:style>
  <w:style w:type="paragraph" w:styleId="DocumentMap">
    <w:name w:val="Document Map"/>
    <w:basedOn w:val="Normal"/>
    <w:link w:val="DocumentMapChar"/>
    <w:uiPriority w:val="99"/>
    <w:semiHidden/>
    <w:unhideWhenUsed/>
    <w:rsid w:val="00A162C2"/>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A162C2"/>
    <w:rPr>
      <w:rFonts w:ascii="Tahoma" w:eastAsiaTheme="minorEastAsia" w:hAnsi="Tahoma" w:cs="Tahoma"/>
      <w:spacing w:val="2"/>
      <w:sz w:val="16"/>
      <w:szCs w:val="16"/>
      <w:lang w:eastAsia="en-AU"/>
    </w:rPr>
  </w:style>
  <w:style w:type="paragraph" w:styleId="E-mailSignature">
    <w:name w:val="E-mail Signature"/>
    <w:basedOn w:val="Normal"/>
    <w:link w:val="E-mailSignatureChar"/>
    <w:uiPriority w:val="99"/>
    <w:semiHidden/>
    <w:unhideWhenUsed/>
    <w:rsid w:val="00A162C2"/>
    <w:pPr>
      <w:spacing w:before="0"/>
    </w:pPr>
  </w:style>
  <w:style w:type="character" w:customStyle="1" w:styleId="E-mailSignatureChar">
    <w:name w:val="E-mail Signature Char"/>
    <w:basedOn w:val="DefaultParagraphFont"/>
    <w:link w:val="E-mailSignature"/>
    <w:uiPriority w:val="99"/>
    <w:semiHidden/>
    <w:rsid w:val="00A162C2"/>
    <w:rPr>
      <w:rFonts w:eastAsiaTheme="minorEastAsia"/>
      <w:spacing w:val="2"/>
      <w:lang w:eastAsia="en-AU"/>
    </w:rPr>
  </w:style>
  <w:style w:type="character" w:styleId="Emphasis">
    <w:name w:val="Emphasis"/>
    <w:basedOn w:val="DefaultParagraphFont"/>
    <w:uiPriority w:val="98"/>
    <w:rsid w:val="00A162C2"/>
    <w:rPr>
      <w:b/>
      <w:i w:val="0"/>
      <w:iCs/>
      <w:color w:val="E57200" w:themeColor="accent2"/>
    </w:rPr>
  </w:style>
  <w:style w:type="character" w:styleId="EndnoteReference">
    <w:name w:val="endnote reference"/>
    <w:basedOn w:val="DefaultParagraphFont"/>
    <w:uiPriority w:val="99"/>
    <w:semiHidden/>
    <w:unhideWhenUsed/>
    <w:rsid w:val="00A162C2"/>
    <w:rPr>
      <w:vertAlign w:val="superscript"/>
    </w:rPr>
  </w:style>
  <w:style w:type="paragraph" w:styleId="EndnoteText">
    <w:name w:val="endnote text"/>
    <w:basedOn w:val="Normal"/>
    <w:link w:val="EndnoteTextChar"/>
    <w:uiPriority w:val="99"/>
    <w:semiHidden/>
    <w:unhideWhenUsed/>
    <w:rsid w:val="00A162C2"/>
    <w:pPr>
      <w:spacing w:before="0"/>
    </w:pPr>
  </w:style>
  <w:style w:type="character" w:customStyle="1" w:styleId="EndnoteTextChar">
    <w:name w:val="Endnote Text Char"/>
    <w:basedOn w:val="DefaultParagraphFont"/>
    <w:link w:val="EndnoteText"/>
    <w:uiPriority w:val="99"/>
    <w:semiHidden/>
    <w:rsid w:val="00A162C2"/>
    <w:rPr>
      <w:rFonts w:eastAsiaTheme="minorEastAsia"/>
      <w:spacing w:val="2"/>
      <w:lang w:eastAsia="en-AU"/>
    </w:rPr>
  </w:style>
  <w:style w:type="paragraph" w:styleId="EnvelopeAddress">
    <w:name w:val="envelope address"/>
    <w:basedOn w:val="Normal"/>
    <w:uiPriority w:val="99"/>
    <w:semiHidden/>
    <w:unhideWhenUsed/>
    <w:rsid w:val="00A162C2"/>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162C2"/>
    <w:pPr>
      <w:spacing w:before="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162C2"/>
    <w:rPr>
      <w:color w:val="800080" w:themeColor="followedHyperlink"/>
      <w:u w:val="single"/>
    </w:rPr>
  </w:style>
  <w:style w:type="character" w:styleId="FootnoteReference">
    <w:name w:val="footnote reference"/>
    <w:basedOn w:val="DefaultParagraphFont"/>
    <w:uiPriority w:val="99"/>
    <w:rsid w:val="00A162C2"/>
    <w:rPr>
      <w:rFonts w:asciiTheme="minorHAnsi" w:hAnsiTheme="minorHAnsi"/>
      <w:vertAlign w:val="superscript"/>
    </w:rPr>
  </w:style>
  <w:style w:type="character" w:styleId="HTMLAcronym">
    <w:name w:val="HTML Acronym"/>
    <w:basedOn w:val="DefaultParagraphFont"/>
    <w:uiPriority w:val="99"/>
    <w:semiHidden/>
    <w:unhideWhenUsed/>
    <w:rsid w:val="00A162C2"/>
  </w:style>
  <w:style w:type="paragraph" w:styleId="HTMLAddress">
    <w:name w:val="HTML Address"/>
    <w:basedOn w:val="Normal"/>
    <w:link w:val="HTMLAddressChar"/>
    <w:uiPriority w:val="99"/>
    <w:semiHidden/>
    <w:unhideWhenUsed/>
    <w:rsid w:val="00A162C2"/>
    <w:pPr>
      <w:spacing w:before="0"/>
    </w:pPr>
    <w:rPr>
      <w:i/>
      <w:iCs/>
    </w:rPr>
  </w:style>
  <w:style w:type="character" w:customStyle="1" w:styleId="HTMLAddressChar">
    <w:name w:val="HTML Address Char"/>
    <w:basedOn w:val="DefaultParagraphFont"/>
    <w:link w:val="HTMLAddress"/>
    <w:uiPriority w:val="99"/>
    <w:semiHidden/>
    <w:rsid w:val="00A162C2"/>
    <w:rPr>
      <w:rFonts w:eastAsiaTheme="minorEastAsia"/>
      <w:i/>
      <w:iCs/>
      <w:spacing w:val="2"/>
      <w:lang w:eastAsia="en-AU"/>
    </w:rPr>
  </w:style>
  <w:style w:type="character" w:styleId="HTMLCite">
    <w:name w:val="HTML Cite"/>
    <w:basedOn w:val="DefaultParagraphFont"/>
    <w:uiPriority w:val="99"/>
    <w:semiHidden/>
    <w:unhideWhenUsed/>
    <w:rsid w:val="00A162C2"/>
    <w:rPr>
      <w:i/>
      <w:iCs/>
    </w:rPr>
  </w:style>
  <w:style w:type="character" w:styleId="HTMLCode">
    <w:name w:val="HTML Code"/>
    <w:basedOn w:val="DefaultParagraphFont"/>
    <w:uiPriority w:val="99"/>
    <w:semiHidden/>
    <w:unhideWhenUsed/>
    <w:rsid w:val="00A162C2"/>
    <w:rPr>
      <w:rFonts w:ascii="Consolas" w:hAnsi="Consolas" w:cs="Consolas"/>
      <w:sz w:val="20"/>
      <w:szCs w:val="20"/>
    </w:rPr>
  </w:style>
  <w:style w:type="character" w:styleId="HTMLDefinition">
    <w:name w:val="HTML Definition"/>
    <w:basedOn w:val="DefaultParagraphFont"/>
    <w:uiPriority w:val="99"/>
    <w:semiHidden/>
    <w:unhideWhenUsed/>
    <w:rsid w:val="00A162C2"/>
    <w:rPr>
      <w:i/>
      <w:iCs/>
    </w:rPr>
  </w:style>
  <w:style w:type="character" w:styleId="HTMLKeyboard">
    <w:name w:val="HTML Keyboard"/>
    <w:basedOn w:val="DefaultParagraphFont"/>
    <w:uiPriority w:val="99"/>
    <w:semiHidden/>
    <w:unhideWhenUsed/>
    <w:rsid w:val="00A162C2"/>
    <w:rPr>
      <w:rFonts w:ascii="Consolas" w:hAnsi="Consolas" w:cs="Consolas"/>
      <w:sz w:val="20"/>
      <w:szCs w:val="20"/>
    </w:rPr>
  </w:style>
  <w:style w:type="paragraph" w:styleId="HTMLPreformatted">
    <w:name w:val="HTML Preformatted"/>
    <w:basedOn w:val="Normal"/>
    <w:link w:val="HTMLPreformattedChar"/>
    <w:uiPriority w:val="99"/>
    <w:semiHidden/>
    <w:unhideWhenUsed/>
    <w:rsid w:val="00A162C2"/>
    <w:pPr>
      <w:spacing w:before="0"/>
    </w:pPr>
    <w:rPr>
      <w:rFonts w:ascii="Consolas" w:hAnsi="Consolas" w:cs="Consolas"/>
    </w:rPr>
  </w:style>
  <w:style w:type="character" w:customStyle="1" w:styleId="HTMLPreformattedChar">
    <w:name w:val="HTML Preformatted Char"/>
    <w:basedOn w:val="DefaultParagraphFont"/>
    <w:link w:val="HTMLPreformatted"/>
    <w:uiPriority w:val="99"/>
    <w:semiHidden/>
    <w:rsid w:val="00A162C2"/>
    <w:rPr>
      <w:rFonts w:ascii="Consolas" w:eastAsiaTheme="minorEastAsia" w:hAnsi="Consolas" w:cs="Consolas"/>
      <w:spacing w:val="2"/>
      <w:lang w:eastAsia="en-AU"/>
    </w:rPr>
  </w:style>
  <w:style w:type="character" w:styleId="HTMLSample">
    <w:name w:val="HTML Sample"/>
    <w:basedOn w:val="DefaultParagraphFont"/>
    <w:uiPriority w:val="99"/>
    <w:semiHidden/>
    <w:unhideWhenUsed/>
    <w:rsid w:val="00A162C2"/>
    <w:rPr>
      <w:rFonts w:ascii="Consolas" w:hAnsi="Consolas" w:cs="Consolas"/>
      <w:sz w:val="24"/>
      <w:szCs w:val="24"/>
    </w:rPr>
  </w:style>
  <w:style w:type="character" w:styleId="HTMLTypewriter">
    <w:name w:val="HTML Typewriter"/>
    <w:basedOn w:val="DefaultParagraphFont"/>
    <w:uiPriority w:val="99"/>
    <w:semiHidden/>
    <w:unhideWhenUsed/>
    <w:rsid w:val="00A162C2"/>
    <w:rPr>
      <w:rFonts w:ascii="Consolas" w:hAnsi="Consolas" w:cs="Consolas"/>
      <w:sz w:val="20"/>
      <w:szCs w:val="20"/>
    </w:rPr>
  </w:style>
  <w:style w:type="character" w:styleId="HTMLVariable">
    <w:name w:val="HTML Variable"/>
    <w:basedOn w:val="DefaultParagraphFont"/>
    <w:uiPriority w:val="99"/>
    <w:semiHidden/>
    <w:unhideWhenUsed/>
    <w:rsid w:val="00A162C2"/>
    <w:rPr>
      <w:i/>
      <w:iCs/>
    </w:rPr>
  </w:style>
  <w:style w:type="paragraph" w:styleId="Index1">
    <w:name w:val="index 1"/>
    <w:basedOn w:val="Normal"/>
    <w:next w:val="Normal"/>
    <w:uiPriority w:val="99"/>
    <w:semiHidden/>
    <w:rsid w:val="00A162C2"/>
    <w:pPr>
      <w:spacing w:after="60" w:line="240" w:lineRule="auto"/>
    </w:pPr>
    <w:rPr>
      <w:sz w:val="16"/>
    </w:rPr>
  </w:style>
  <w:style w:type="paragraph" w:styleId="Index2">
    <w:name w:val="index 2"/>
    <w:basedOn w:val="Normal"/>
    <w:next w:val="Normal"/>
    <w:uiPriority w:val="99"/>
    <w:semiHidden/>
    <w:rsid w:val="00A162C2"/>
    <w:pPr>
      <w:spacing w:after="0" w:line="240" w:lineRule="auto"/>
      <w:ind w:left="216"/>
    </w:pPr>
    <w:rPr>
      <w:sz w:val="16"/>
      <w:szCs w:val="16"/>
    </w:rPr>
  </w:style>
  <w:style w:type="paragraph" w:styleId="Index3">
    <w:name w:val="index 3"/>
    <w:basedOn w:val="Normal"/>
    <w:next w:val="Normal"/>
    <w:autoRedefine/>
    <w:uiPriority w:val="99"/>
    <w:semiHidden/>
    <w:unhideWhenUsed/>
    <w:rsid w:val="00A162C2"/>
    <w:pPr>
      <w:spacing w:before="0"/>
      <w:ind w:left="660" w:hanging="220"/>
    </w:pPr>
  </w:style>
  <w:style w:type="paragraph" w:styleId="Index4">
    <w:name w:val="index 4"/>
    <w:basedOn w:val="Normal"/>
    <w:next w:val="Normal"/>
    <w:autoRedefine/>
    <w:uiPriority w:val="99"/>
    <w:semiHidden/>
    <w:unhideWhenUsed/>
    <w:rsid w:val="00A162C2"/>
    <w:pPr>
      <w:spacing w:before="0"/>
      <w:ind w:left="880" w:hanging="220"/>
    </w:pPr>
  </w:style>
  <w:style w:type="paragraph" w:styleId="Index5">
    <w:name w:val="index 5"/>
    <w:basedOn w:val="Normal"/>
    <w:next w:val="Normal"/>
    <w:autoRedefine/>
    <w:uiPriority w:val="99"/>
    <w:semiHidden/>
    <w:unhideWhenUsed/>
    <w:rsid w:val="00A162C2"/>
    <w:pPr>
      <w:spacing w:before="0"/>
      <w:ind w:left="1100" w:hanging="220"/>
    </w:pPr>
  </w:style>
  <w:style w:type="paragraph" w:styleId="Index6">
    <w:name w:val="index 6"/>
    <w:basedOn w:val="Normal"/>
    <w:next w:val="Normal"/>
    <w:autoRedefine/>
    <w:uiPriority w:val="99"/>
    <w:semiHidden/>
    <w:unhideWhenUsed/>
    <w:rsid w:val="00A162C2"/>
    <w:pPr>
      <w:spacing w:before="0"/>
      <w:ind w:left="1320" w:hanging="220"/>
    </w:pPr>
  </w:style>
  <w:style w:type="paragraph" w:styleId="Index7">
    <w:name w:val="index 7"/>
    <w:basedOn w:val="Normal"/>
    <w:next w:val="Normal"/>
    <w:autoRedefine/>
    <w:uiPriority w:val="99"/>
    <w:semiHidden/>
    <w:unhideWhenUsed/>
    <w:rsid w:val="00A162C2"/>
    <w:pPr>
      <w:spacing w:before="0"/>
      <w:ind w:left="1540" w:hanging="220"/>
    </w:pPr>
  </w:style>
  <w:style w:type="paragraph" w:styleId="Index8">
    <w:name w:val="index 8"/>
    <w:basedOn w:val="Normal"/>
    <w:next w:val="Normal"/>
    <w:autoRedefine/>
    <w:uiPriority w:val="99"/>
    <w:semiHidden/>
    <w:unhideWhenUsed/>
    <w:rsid w:val="00A162C2"/>
    <w:pPr>
      <w:spacing w:before="0"/>
      <w:ind w:left="1760" w:hanging="220"/>
    </w:pPr>
  </w:style>
  <w:style w:type="paragraph" w:styleId="Index9">
    <w:name w:val="index 9"/>
    <w:basedOn w:val="Normal"/>
    <w:next w:val="Normal"/>
    <w:autoRedefine/>
    <w:uiPriority w:val="99"/>
    <w:semiHidden/>
    <w:unhideWhenUsed/>
    <w:rsid w:val="00A162C2"/>
    <w:pPr>
      <w:spacing w:before="0"/>
      <w:ind w:left="1980" w:hanging="220"/>
    </w:pPr>
  </w:style>
  <w:style w:type="paragraph" w:styleId="IndexHeading">
    <w:name w:val="index heading"/>
    <w:basedOn w:val="Normal"/>
    <w:next w:val="Index1"/>
    <w:uiPriority w:val="99"/>
    <w:semiHidden/>
    <w:rsid w:val="00A162C2"/>
    <w:rPr>
      <w:rFonts w:asciiTheme="majorHAnsi" w:eastAsiaTheme="majorEastAsia" w:hAnsiTheme="majorHAnsi" w:cstheme="majorBidi"/>
      <w:b/>
      <w:bCs/>
    </w:rPr>
  </w:style>
  <w:style w:type="character" w:styleId="IntenseEmphasis">
    <w:name w:val="Intense Emphasis"/>
    <w:basedOn w:val="DefaultParagraphFont"/>
    <w:uiPriority w:val="98"/>
    <w:semiHidden/>
    <w:rsid w:val="00A162C2"/>
    <w:rPr>
      <w:b/>
      <w:bCs/>
      <w:i/>
      <w:iCs/>
      <w:color w:val="E35205" w:themeColor="accent1"/>
    </w:rPr>
  </w:style>
  <w:style w:type="paragraph" w:styleId="IntenseQuote">
    <w:name w:val="Intense Quote"/>
    <w:basedOn w:val="Normal"/>
    <w:next w:val="Normal"/>
    <w:link w:val="IntenseQuoteChar"/>
    <w:uiPriority w:val="30"/>
    <w:semiHidden/>
    <w:rsid w:val="00A162C2"/>
    <w:pPr>
      <w:pBdr>
        <w:bottom w:val="single" w:sz="4" w:space="4" w:color="E35205" w:themeColor="accent1"/>
      </w:pBdr>
      <w:spacing w:before="200" w:after="280"/>
      <w:ind w:left="936" w:right="936"/>
    </w:pPr>
    <w:rPr>
      <w:b/>
      <w:bCs/>
      <w:i/>
      <w:iCs/>
      <w:color w:val="E35205" w:themeColor="accent1"/>
    </w:rPr>
  </w:style>
  <w:style w:type="character" w:customStyle="1" w:styleId="IntenseQuoteChar">
    <w:name w:val="Intense Quote Char"/>
    <w:basedOn w:val="DefaultParagraphFont"/>
    <w:link w:val="IntenseQuote"/>
    <w:uiPriority w:val="30"/>
    <w:semiHidden/>
    <w:rsid w:val="00A162C2"/>
    <w:rPr>
      <w:rFonts w:eastAsiaTheme="minorEastAsia"/>
      <w:b/>
      <w:bCs/>
      <w:i/>
      <w:iCs/>
      <w:color w:val="E35205" w:themeColor="accent1"/>
      <w:spacing w:val="2"/>
      <w:lang w:eastAsia="en-AU"/>
    </w:rPr>
  </w:style>
  <w:style w:type="character" w:styleId="IntenseReference">
    <w:name w:val="Intense Reference"/>
    <w:basedOn w:val="DefaultParagraphFont"/>
    <w:uiPriority w:val="32"/>
    <w:semiHidden/>
    <w:rsid w:val="00A162C2"/>
    <w:rPr>
      <w:b/>
      <w:bCs/>
      <w:smallCaps/>
      <w:color w:val="E57200" w:themeColor="accent2"/>
      <w:spacing w:val="5"/>
      <w:u w:val="single"/>
    </w:rPr>
  </w:style>
  <w:style w:type="table" w:styleId="LightGrid">
    <w:name w:val="Light Grid"/>
    <w:basedOn w:val="TableNormal"/>
    <w:uiPriority w:val="62"/>
    <w:rsid w:val="00A162C2"/>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162C2"/>
    <w:pPr>
      <w:spacing w:before="0"/>
    </w:pPr>
    <w:tblPr>
      <w:tblStyleRowBandSize w:val="1"/>
      <w:tblStyleColBandSize w:val="1"/>
      <w:tblBorders>
        <w:top w:val="single" w:sz="8" w:space="0" w:color="E35205" w:themeColor="accent1"/>
        <w:left w:val="single" w:sz="8" w:space="0" w:color="E35205" w:themeColor="accent1"/>
        <w:bottom w:val="single" w:sz="8" w:space="0" w:color="E35205" w:themeColor="accent1"/>
        <w:right w:val="single" w:sz="8" w:space="0" w:color="E35205" w:themeColor="accent1"/>
        <w:insideH w:val="single" w:sz="8" w:space="0" w:color="E35205" w:themeColor="accent1"/>
        <w:insideV w:val="single" w:sz="8" w:space="0" w:color="E3520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205" w:themeColor="accent1"/>
          <w:left w:val="single" w:sz="8" w:space="0" w:color="E35205" w:themeColor="accent1"/>
          <w:bottom w:val="single" w:sz="18" w:space="0" w:color="E35205" w:themeColor="accent1"/>
          <w:right w:val="single" w:sz="8" w:space="0" w:color="E35205" w:themeColor="accent1"/>
          <w:insideH w:val="nil"/>
          <w:insideV w:val="single" w:sz="8" w:space="0" w:color="E3520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205" w:themeColor="accent1"/>
          <w:left w:val="single" w:sz="8" w:space="0" w:color="E35205" w:themeColor="accent1"/>
          <w:bottom w:val="single" w:sz="8" w:space="0" w:color="E35205" w:themeColor="accent1"/>
          <w:right w:val="single" w:sz="8" w:space="0" w:color="E35205" w:themeColor="accent1"/>
          <w:insideH w:val="nil"/>
          <w:insideV w:val="single" w:sz="8" w:space="0" w:color="E3520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205" w:themeColor="accent1"/>
          <w:left w:val="single" w:sz="8" w:space="0" w:color="E35205" w:themeColor="accent1"/>
          <w:bottom w:val="single" w:sz="8" w:space="0" w:color="E35205" w:themeColor="accent1"/>
          <w:right w:val="single" w:sz="8" w:space="0" w:color="E35205" w:themeColor="accent1"/>
        </w:tcBorders>
      </w:tcPr>
    </w:tblStylePr>
    <w:tblStylePr w:type="band1Vert">
      <w:tblPr/>
      <w:tcPr>
        <w:tcBorders>
          <w:top w:val="single" w:sz="8" w:space="0" w:color="E35205" w:themeColor="accent1"/>
          <w:left w:val="single" w:sz="8" w:space="0" w:color="E35205" w:themeColor="accent1"/>
          <w:bottom w:val="single" w:sz="8" w:space="0" w:color="E35205" w:themeColor="accent1"/>
          <w:right w:val="single" w:sz="8" w:space="0" w:color="E35205" w:themeColor="accent1"/>
        </w:tcBorders>
        <w:shd w:val="clear" w:color="auto" w:fill="FDD2BB" w:themeFill="accent1" w:themeFillTint="3F"/>
      </w:tcPr>
    </w:tblStylePr>
    <w:tblStylePr w:type="band1Horz">
      <w:tblPr/>
      <w:tcPr>
        <w:tcBorders>
          <w:top w:val="single" w:sz="8" w:space="0" w:color="E35205" w:themeColor="accent1"/>
          <w:left w:val="single" w:sz="8" w:space="0" w:color="E35205" w:themeColor="accent1"/>
          <w:bottom w:val="single" w:sz="8" w:space="0" w:color="E35205" w:themeColor="accent1"/>
          <w:right w:val="single" w:sz="8" w:space="0" w:color="E35205" w:themeColor="accent1"/>
          <w:insideV w:val="single" w:sz="8" w:space="0" w:color="E35205" w:themeColor="accent1"/>
        </w:tcBorders>
        <w:shd w:val="clear" w:color="auto" w:fill="FDD2BB" w:themeFill="accent1" w:themeFillTint="3F"/>
      </w:tcPr>
    </w:tblStylePr>
    <w:tblStylePr w:type="band2Horz">
      <w:tblPr/>
      <w:tcPr>
        <w:tcBorders>
          <w:top w:val="single" w:sz="8" w:space="0" w:color="E35205" w:themeColor="accent1"/>
          <w:left w:val="single" w:sz="8" w:space="0" w:color="E35205" w:themeColor="accent1"/>
          <w:bottom w:val="single" w:sz="8" w:space="0" w:color="E35205" w:themeColor="accent1"/>
          <w:right w:val="single" w:sz="8" w:space="0" w:color="E35205" w:themeColor="accent1"/>
          <w:insideV w:val="single" w:sz="8" w:space="0" w:color="E35205" w:themeColor="accent1"/>
        </w:tcBorders>
      </w:tcPr>
    </w:tblStylePr>
  </w:style>
  <w:style w:type="table" w:styleId="LightGrid-Accent2">
    <w:name w:val="Light Grid Accent 2"/>
    <w:basedOn w:val="TableNormal"/>
    <w:uiPriority w:val="62"/>
    <w:rsid w:val="00A162C2"/>
    <w:pPr>
      <w:spacing w:before="0"/>
    </w:pPr>
    <w:tblPr>
      <w:tblStyleRowBandSize w:val="1"/>
      <w:tblStyleColBandSize w:val="1"/>
      <w:tblBorders>
        <w:top w:val="single" w:sz="8" w:space="0" w:color="E57200" w:themeColor="accent2"/>
        <w:left w:val="single" w:sz="8" w:space="0" w:color="E57200" w:themeColor="accent2"/>
        <w:bottom w:val="single" w:sz="8" w:space="0" w:color="E57200" w:themeColor="accent2"/>
        <w:right w:val="single" w:sz="8" w:space="0" w:color="E57200" w:themeColor="accent2"/>
        <w:insideH w:val="single" w:sz="8" w:space="0" w:color="E57200" w:themeColor="accent2"/>
        <w:insideV w:val="single" w:sz="8" w:space="0" w:color="E572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7200" w:themeColor="accent2"/>
          <w:left w:val="single" w:sz="8" w:space="0" w:color="E57200" w:themeColor="accent2"/>
          <w:bottom w:val="single" w:sz="18" w:space="0" w:color="E57200" w:themeColor="accent2"/>
          <w:right w:val="single" w:sz="8" w:space="0" w:color="E57200" w:themeColor="accent2"/>
          <w:insideH w:val="nil"/>
          <w:insideV w:val="single" w:sz="8" w:space="0" w:color="E572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7200" w:themeColor="accent2"/>
          <w:left w:val="single" w:sz="8" w:space="0" w:color="E57200" w:themeColor="accent2"/>
          <w:bottom w:val="single" w:sz="8" w:space="0" w:color="E57200" w:themeColor="accent2"/>
          <w:right w:val="single" w:sz="8" w:space="0" w:color="E57200" w:themeColor="accent2"/>
          <w:insideH w:val="nil"/>
          <w:insideV w:val="single" w:sz="8" w:space="0" w:color="E572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7200" w:themeColor="accent2"/>
          <w:left w:val="single" w:sz="8" w:space="0" w:color="E57200" w:themeColor="accent2"/>
          <w:bottom w:val="single" w:sz="8" w:space="0" w:color="E57200" w:themeColor="accent2"/>
          <w:right w:val="single" w:sz="8" w:space="0" w:color="E57200" w:themeColor="accent2"/>
        </w:tcBorders>
      </w:tcPr>
    </w:tblStylePr>
    <w:tblStylePr w:type="band1Vert">
      <w:tblPr/>
      <w:tcPr>
        <w:tcBorders>
          <w:top w:val="single" w:sz="8" w:space="0" w:color="E57200" w:themeColor="accent2"/>
          <w:left w:val="single" w:sz="8" w:space="0" w:color="E57200" w:themeColor="accent2"/>
          <w:bottom w:val="single" w:sz="8" w:space="0" w:color="E57200" w:themeColor="accent2"/>
          <w:right w:val="single" w:sz="8" w:space="0" w:color="E57200" w:themeColor="accent2"/>
        </w:tcBorders>
        <w:shd w:val="clear" w:color="auto" w:fill="FFDBB9" w:themeFill="accent2" w:themeFillTint="3F"/>
      </w:tcPr>
    </w:tblStylePr>
    <w:tblStylePr w:type="band1Horz">
      <w:tblPr/>
      <w:tcPr>
        <w:tcBorders>
          <w:top w:val="single" w:sz="8" w:space="0" w:color="E57200" w:themeColor="accent2"/>
          <w:left w:val="single" w:sz="8" w:space="0" w:color="E57200" w:themeColor="accent2"/>
          <w:bottom w:val="single" w:sz="8" w:space="0" w:color="E57200" w:themeColor="accent2"/>
          <w:right w:val="single" w:sz="8" w:space="0" w:color="E57200" w:themeColor="accent2"/>
          <w:insideV w:val="single" w:sz="8" w:space="0" w:color="E57200" w:themeColor="accent2"/>
        </w:tcBorders>
        <w:shd w:val="clear" w:color="auto" w:fill="FFDBB9" w:themeFill="accent2" w:themeFillTint="3F"/>
      </w:tcPr>
    </w:tblStylePr>
    <w:tblStylePr w:type="band2Horz">
      <w:tblPr/>
      <w:tcPr>
        <w:tcBorders>
          <w:top w:val="single" w:sz="8" w:space="0" w:color="E57200" w:themeColor="accent2"/>
          <w:left w:val="single" w:sz="8" w:space="0" w:color="E57200" w:themeColor="accent2"/>
          <w:bottom w:val="single" w:sz="8" w:space="0" w:color="E57200" w:themeColor="accent2"/>
          <w:right w:val="single" w:sz="8" w:space="0" w:color="E57200" w:themeColor="accent2"/>
          <w:insideV w:val="single" w:sz="8" w:space="0" w:color="E57200" w:themeColor="accent2"/>
        </w:tcBorders>
      </w:tcPr>
    </w:tblStylePr>
  </w:style>
  <w:style w:type="table" w:styleId="LightGrid-Accent3">
    <w:name w:val="Light Grid Accent 3"/>
    <w:basedOn w:val="TableNormal"/>
    <w:uiPriority w:val="62"/>
    <w:rsid w:val="00A162C2"/>
    <w:pPr>
      <w:spacing w:before="0"/>
    </w:pPr>
    <w:tblPr>
      <w:tblStyleRowBandSize w:val="1"/>
      <w:tblStyleColBandSize w:val="1"/>
      <w:tblBorders>
        <w:top w:val="single" w:sz="8" w:space="0" w:color="F49600" w:themeColor="accent3"/>
        <w:left w:val="single" w:sz="8" w:space="0" w:color="F49600" w:themeColor="accent3"/>
        <w:bottom w:val="single" w:sz="8" w:space="0" w:color="F49600" w:themeColor="accent3"/>
        <w:right w:val="single" w:sz="8" w:space="0" w:color="F49600" w:themeColor="accent3"/>
        <w:insideH w:val="single" w:sz="8" w:space="0" w:color="F49600" w:themeColor="accent3"/>
        <w:insideV w:val="single" w:sz="8" w:space="0" w:color="F49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49600" w:themeColor="accent3"/>
          <w:left w:val="single" w:sz="8" w:space="0" w:color="F49600" w:themeColor="accent3"/>
          <w:bottom w:val="single" w:sz="18" w:space="0" w:color="F49600" w:themeColor="accent3"/>
          <w:right w:val="single" w:sz="8" w:space="0" w:color="F49600" w:themeColor="accent3"/>
          <w:insideH w:val="nil"/>
          <w:insideV w:val="single" w:sz="8" w:space="0" w:color="F49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49600" w:themeColor="accent3"/>
          <w:left w:val="single" w:sz="8" w:space="0" w:color="F49600" w:themeColor="accent3"/>
          <w:bottom w:val="single" w:sz="8" w:space="0" w:color="F49600" w:themeColor="accent3"/>
          <w:right w:val="single" w:sz="8" w:space="0" w:color="F49600" w:themeColor="accent3"/>
          <w:insideH w:val="nil"/>
          <w:insideV w:val="single" w:sz="8" w:space="0" w:color="F49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49600" w:themeColor="accent3"/>
          <w:left w:val="single" w:sz="8" w:space="0" w:color="F49600" w:themeColor="accent3"/>
          <w:bottom w:val="single" w:sz="8" w:space="0" w:color="F49600" w:themeColor="accent3"/>
          <w:right w:val="single" w:sz="8" w:space="0" w:color="F49600" w:themeColor="accent3"/>
        </w:tcBorders>
      </w:tcPr>
    </w:tblStylePr>
    <w:tblStylePr w:type="band1Vert">
      <w:tblPr/>
      <w:tcPr>
        <w:tcBorders>
          <w:top w:val="single" w:sz="8" w:space="0" w:color="F49600" w:themeColor="accent3"/>
          <w:left w:val="single" w:sz="8" w:space="0" w:color="F49600" w:themeColor="accent3"/>
          <w:bottom w:val="single" w:sz="8" w:space="0" w:color="F49600" w:themeColor="accent3"/>
          <w:right w:val="single" w:sz="8" w:space="0" w:color="F49600" w:themeColor="accent3"/>
        </w:tcBorders>
        <w:shd w:val="clear" w:color="auto" w:fill="FFE5BD" w:themeFill="accent3" w:themeFillTint="3F"/>
      </w:tcPr>
    </w:tblStylePr>
    <w:tblStylePr w:type="band1Horz">
      <w:tblPr/>
      <w:tcPr>
        <w:tcBorders>
          <w:top w:val="single" w:sz="8" w:space="0" w:color="F49600" w:themeColor="accent3"/>
          <w:left w:val="single" w:sz="8" w:space="0" w:color="F49600" w:themeColor="accent3"/>
          <w:bottom w:val="single" w:sz="8" w:space="0" w:color="F49600" w:themeColor="accent3"/>
          <w:right w:val="single" w:sz="8" w:space="0" w:color="F49600" w:themeColor="accent3"/>
          <w:insideV w:val="single" w:sz="8" w:space="0" w:color="F49600" w:themeColor="accent3"/>
        </w:tcBorders>
        <w:shd w:val="clear" w:color="auto" w:fill="FFE5BD" w:themeFill="accent3" w:themeFillTint="3F"/>
      </w:tcPr>
    </w:tblStylePr>
    <w:tblStylePr w:type="band2Horz">
      <w:tblPr/>
      <w:tcPr>
        <w:tcBorders>
          <w:top w:val="single" w:sz="8" w:space="0" w:color="F49600" w:themeColor="accent3"/>
          <w:left w:val="single" w:sz="8" w:space="0" w:color="F49600" w:themeColor="accent3"/>
          <w:bottom w:val="single" w:sz="8" w:space="0" w:color="F49600" w:themeColor="accent3"/>
          <w:right w:val="single" w:sz="8" w:space="0" w:color="F49600" w:themeColor="accent3"/>
          <w:insideV w:val="single" w:sz="8" w:space="0" w:color="F49600" w:themeColor="accent3"/>
        </w:tcBorders>
      </w:tcPr>
    </w:tblStylePr>
  </w:style>
  <w:style w:type="table" w:styleId="LightGrid-Accent4">
    <w:name w:val="Light Grid Accent 4"/>
    <w:basedOn w:val="TableNormal"/>
    <w:uiPriority w:val="62"/>
    <w:rsid w:val="00A162C2"/>
    <w:pPr>
      <w:spacing w:before="0"/>
    </w:pPr>
    <w:tblPr>
      <w:tblStyleRowBandSize w:val="1"/>
      <w:tblStyleColBandSize w:val="1"/>
      <w:tblBorders>
        <w:top w:val="single" w:sz="8" w:space="0" w:color="F1A882" w:themeColor="accent4"/>
        <w:left w:val="single" w:sz="8" w:space="0" w:color="F1A882" w:themeColor="accent4"/>
        <w:bottom w:val="single" w:sz="8" w:space="0" w:color="F1A882" w:themeColor="accent4"/>
        <w:right w:val="single" w:sz="8" w:space="0" w:color="F1A882" w:themeColor="accent4"/>
        <w:insideH w:val="single" w:sz="8" w:space="0" w:color="F1A882" w:themeColor="accent4"/>
        <w:insideV w:val="single" w:sz="8" w:space="0" w:color="F1A88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A882" w:themeColor="accent4"/>
          <w:left w:val="single" w:sz="8" w:space="0" w:color="F1A882" w:themeColor="accent4"/>
          <w:bottom w:val="single" w:sz="18" w:space="0" w:color="F1A882" w:themeColor="accent4"/>
          <w:right w:val="single" w:sz="8" w:space="0" w:color="F1A882" w:themeColor="accent4"/>
          <w:insideH w:val="nil"/>
          <w:insideV w:val="single" w:sz="8" w:space="0" w:color="F1A88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A882" w:themeColor="accent4"/>
          <w:left w:val="single" w:sz="8" w:space="0" w:color="F1A882" w:themeColor="accent4"/>
          <w:bottom w:val="single" w:sz="8" w:space="0" w:color="F1A882" w:themeColor="accent4"/>
          <w:right w:val="single" w:sz="8" w:space="0" w:color="F1A882" w:themeColor="accent4"/>
          <w:insideH w:val="nil"/>
          <w:insideV w:val="single" w:sz="8" w:space="0" w:color="F1A88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A882" w:themeColor="accent4"/>
          <w:left w:val="single" w:sz="8" w:space="0" w:color="F1A882" w:themeColor="accent4"/>
          <w:bottom w:val="single" w:sz="8" w:space="0" w:color="F1A882" w:themeColor="accent4"/>
          <w:right w:val="single" w:sz="8" w:space="0" w:color="F1A882" w:themeColor="accent4"/>
        </w:tcBorders>
      </w:tcPr>
    </w:tblStylePr>
    <w:tblStylePr w:type="band1Vert">
      <w:tblPr/>
      <w:tcPr>
        <w:tcBorders>
          <w:top w:val="single" w:sz="8" w:space="0" w:color="F1A882" w:themeColor="accent4"/>
          <w:left w:val="single" w:sz="8" w:space="0" w:color="F1A882" w:themeColor="accent4"/>
          <w:bottom w:val="single" w:sz="8" w:space="0" w:color="F1A882" w:themeColor="accent4"/>
          <w:right w:val="single" w:sz="8" w:space="0" w:color="F1A882" w:themeColor="accent4"/>
        </w:tcBorders>
        <w:shd w:val="clear" w:color="auto" w:fill="FBE9DF" w:themeFill="accent4" w:themeFillTint="3F"/>
      </w:tcPr>
    </w:tblStylePr>
    <w:tblStylePr w:type="band1Horz">
      <w:tblPr/>
      <w:tcPr>
        <w:tcBorders>
          <w:top w:val="single" w:sz="8" w:space="0" w:color="F1A882" w:themeColor="accent4"/>
          <w:left w:val="single" w:sz="8" w:space="0" w:color="F1A882" w:themeColor="accent4"/>
          <w:bottom w:val="single" w:sz="8" w:space="0" w:color="F1A882" w:themeColor="accent4"/>
          <w:right w:val="single" w:sz="8" w:space="0" w:color="F1A882" w:themeColor="accent4"/>
          <w:insideV w:val="single" w:sz="8" w:space="0" w:color="F1A882" w:themeColor="accent4"/>
        </w:tcBorders>
        <w:shd w:val="clear" w:color="auto" w:fill="FBE9DF" w:themeFill="accent4" w:themeFillTint="3F"/>
      </w:tcPr>
    </w:tblStylePr>
    <w:tblStylePr w:type="band2Horz">
      <w:tblPr/>
      <w:tcPr>
        <w:tcBorders>
          <w:top w:val="single" w:sz="8" w:space="0" w:color="F1A882" w:themeColor="accent4"/>
          <w:left w:val="single" w:sz="8" w:space="0" w:color="F1A882" w:themeColor="accent4"/>
          <w:bottom w:val="single" w:sz="8" w:space="0" w:color="F1A882" w:themeColor="accent4"/>
          <w:right w:val="single" w:sz="8" w:space="0" w:color="F1A882" w:themeColor="accent4"/>
          <w:insideV w:val="single" w:sz="8" w:space="0" w:color="F1A882" w:themeColor="accent4"/>
        </w:tcBorders>
      </w:tcPr>
    </w:tblStylePr>
  </w:style>
  <w:style w:type="table" w:styleId="LightGrid-Accent5">
    <w:name w:val="Light Grid Accent 5"/>
    <w:basedOn w:val="TableNormal"/>
    <w:uiPriority w:val="62"/>
    <w:rsid w:val="00A162C2"/>
    <w:pPr>
      <w:spacing w:before="0"/>
    </w:pPr>
    <w:tblPr>
      <w:tblStyleRowBandSize w:val="1"/>
      <w:tblStyleColBandSize w:val="1"/>
      <w:tblBorders>
        <w:top w:val="single" w:sz="8" w:space="0" w:color="F5C799" w:themeColor="accent5"/>
        <w:left w:val="single" w:sz="8" w:space="0" w:color="F5C799" w:themeColor="accent5"/>
        <w:bottom w:val="single" w:sz="8" w:space="0" w:color="F5C799" w:themeColor="accent5"/>
        <w:right w:val="single" w:sz="8" w:space="0" w:color="F5C799" w:themeColor="accent5"/>
        <w:insideH w:val="single" w:sz="8" w:space="0" w:color="F5C799" w:themeColor="accent5"/>
        <w:insideV w:val="single" w:sz="8" w:space="0" w:color="F5C79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C799" w:themeColor="accent5"/>
          <w:left w:val="single" w:sz="8" w:space="0" w:color="F5C799" w:themeColor="accent5"/>
          <w:bottom w:val="single" w:sz="18" w:space="0" w:color="F5C799" w:themeColor="accent5"/>
          <w:right w:val="single" w:sz="8" w:space="0" w:color="F5C799" w:themeColor="accent5"/>
          <w:insideH w:val="nil"/>
          <w:insideV w:val="single" w:sz="8" w:space="0" w:color="F5C79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799" w:themeColor="accent5"/>
          <w:left w:val="single" w:sz="8" w:space="0" w:color="F5C799" w:themeColor="accent5"/>
          <w:bottom w:val="single" w:sz="8" w:space="0" w:color="F5C799" w:themeColor="accent5"/>
          <w:right w:val="single" w:sz="8" w:space="0" w:color="F5C799" w:themeColor="accent5"/>
          <w:insideH w:val="nil"/>
          <w:insideV w:val="single" w:sz="8" w:space="0" w:color="F5C79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799" w:themeColor="accent5"/>
          <w:left w:val="single" w:sz="8" w:space="0" w:color="F5C799" w:themeColor="accent5"/>
          <w:bottom w:val="single" w:sz="8" w:space="0" w:color="F5C799" w:themeColor="accent5"/>
          <w:right w:val="single" w:sz="8" w:space="0" w:color="F5C799" w:themeColor="accent5"/>
        </w:tcBorders>
      </w:tcPr>
    </w:tblStylePr>
    <w:tblStylePr w:type="band1Vert">
      <w:tblPr/>
      <w:tcPr>
        <w:tcBorders>
          <w:top w:val="single" w:sz="8" w:space="0" w:color="F5C799" w:themeColor="accent5"/>
          <w:left w:val="single" w:sz="8" w:space="0" w:color="F5C799" w:themeColor="accent5"/>
          <w:bottom w:val="single" w:sz="8" w:space="0" w:color="F5C799" w:themeColor="accent5"/>
          <w:right w:val="single" w:sz="8" w:space="0" w:color="F5C799" w:themeColor="accent5"/>
        </w:tcBorders>
        <w:shd w:val="clear" w:color="auto" w:fill="FCF0E5" w:themeFill="accent5" w:themeFillTint="3F"/>
      </w:tcPr>
    </w:tblStylePr>
    <w:tblStylePr w:type="band1Horz">
      <w:tblPr/>
      <w:tcPr>
        <w:tcBorders>
          <w:top w:val="single" w:sz="8" w:space="0" w:color="F5C799" w:themeColor="accent5"/>
          <w:left w:val="single" w:sz="8" w:space="0" w:color="F5C799" w:themeColor="accent5"/>
          <w:bottom w:val="single" w:sz="8" w:space="0" w:color="F5C799" w:themeColor="accent5"/>
          <w:right w:val="single" w:sz="8" w:space="0" w:color="F5C799" w:themeColor="accent5"/>
          <w:insideV w:val="single" w:sz="8" w:space="0" w:color="F5C799" w:themeColor="accent5"/>
        </w:tcBorders>
        <w:shd w:val="clear" w:color="auto" w:fill="FCF0E5" w:themeFill="accent5" w:themeFillTint="3F"/>
      </w:tcPr>
    </w:tblStylePr>
    <w:tblStylePr w:type="band2Horz">
      <w:tblPr/>
      <w:tcPr>
        <w:tcBorders>
          <w:top w:val="single" w:sz="8" w:space="0" w:color="F5C799" w:themeColor="accent5"/>
          <w:left w:val="single" w:sz="8" w:space="0" w:color="F5C799" w:themeColor="accent5"/>
          <w:bottom w:val="single" w:sz="8" w:space="0" w:color="F5C799" w:themeColor="accent5"/>
          <w:right w:val="single" w:sz="8" w:space="0" w:color="F5C799" w:themeColor="accent5"/>
          <w:insideV w:val="single" w:sz="8" w:space="0" w:color="F5C799" w:themeColor="accent5"/>
        </w:tcBorders>
      </w:tcPr>
    </w:tblStylePr>
  </w:style>
  <w:style w:type="table" w:styleId="LightGrid-Accent6">
    <w:name w:val="Light Grid Accent 6"/>
    <w:basedOn w:val="TableNormal"/>
    <w:uiPriority w:val="62"/>
    <w:rsid w:val="00A162C2"/>
    <w:pPr>
      <w:spacing w:before="0"/>
    </w:pPr>
    <w:tblPr>
      <w:tblStyleRowBandSize w:val="1"/>
      <w:tblStyleColBandSize w:val="1"/>
      <w:tblBorders>
        <w:top w:val="single" w:sz="8" w:space="0" w:color="FDEACC" w:themeColor="accent6"/>
        <w:left w:val="single" w:sz="8" w:space="0" w:color="FDEACC" w:themeColor="accent6"/>
        <w:bottom w:val="single" w:sz="8" w:space="0" w:color="FDEACC" w:themeColor="accent6"/>
        <w:right w:val="single" w:sz="8" w:space="0" w:color="FDEACC" w:themeColor="accent6"/>
        <w:insideH w:val="single" w:sz="8" w:space="0" w:color="FDEACC" w:themeColor="accent6"/>
        <w:insideV w:val="single" w:sz="8" w:space="0" w:color="FDEAC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ACC" w:themeColor="accent6"/>
          <w:left w:val="single" w:sz="8" w:space="0" w:color="FDEACC" w:themeColor="accent6"/>
          <w:bottom w:val="single" w:sz="18" w:space="0" w:color="FDEACC" w:themeColor="accent6"/>
          <w:right w:val="single" w:sz="8" w:space="0" w:color="FDEACC" w:themeColor="accent6"/>
          <w:insideH w:val="nil"/>
          <w:insideV w:val="single" w:sz="8" w:space="0" w:color="FDEAC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ACC" w:themeColor="accent6"/>
          <w:left w:val="single" w:sz="8" w:space="0" w:color="FDEACC" w:themeColor="accent6"/>
          <w:bottom w:val="single" w:sz="8" w:space="0" w:color="FDEACC" w:themeColor="accent6"/>
          <w:right w:val="single" w:sz="8" w:space="0" w:color="FDEACC" w:themeColor="accent6"/>
          <w:insideH w:val="nil"/>
          <w:insideV w:val="single" w:sz="8" w:space="0" w:color="FDEAC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ACC" w:themeColor="accent6"/>
          <w:left w:val="single" w:sz="8" w:space="0" w:color="FDEACC" w:themeColor="accent6"/>
          <w:bottom w:val="single" w:sz="8" w:space="0" w:color="FDEACC" w:themeColor="accent6"/>
          <w:right w:val="single" w:sz="8" w:space="0" w:color="FDEACC" w:themeColor="accent6"/>
        </w:tcBorders>
      </w:tcPr>
    </w:tblStylePr>
    <w:tblStylePr w:type="band1Vert">
      <w:tblPr/>
      <w:tcPr>
        <w:tcBorders>
          <w:top w:val="single" w:sz="8" w:space="0" w:color="FDEACC" w:themeColor="accent6"/>
          <w:left w:val="single" w:sz="8" w:space="0" w:color="FDEACC" w:themeColor="accent6"/>
          <w:bottom w:val="single" w:sz="8" w:space="0" w:color="FDEACC" w:themeColor="accent6"/>
          <w:right w:val="single" w:sz="8" w:space="0" w:color="FDEACC" w:themeColor="accent6"/>
        </w:tcBorders>
        <w:shd w:val="clear" w:color="auto" w:fill="FEF9F2" w:themeFill="accent6" w:themeFillTint="3F"/>
      </w:tcPr>
    </w:tblStylePr>
    <w:tblStylePr w:type="band1Horz">
      <w:tblPr/>
      <w:tcPr>
        <w:tcBorders>
          <w:top w:val="single" w:sz="8" w:space="0" w:color="FDEACC" w:themeColor="accent6"/>
          <w:left w:val="single" w:sz="8" w:space="0" w:color="FDEACC" w:themeColor="accent6"/>
          <w:bottom w:val="single" w:sz="8" w:space="0" w:color="FDEACC" w:themeColor="accent6"/>
          <w:right w:val="single" w:sz="8" w:space="0" w:color="FDEACC" w:themeColor="accent6"/>
          <w:insideV w:val="single" w:sz="8" w:space="0" w:color="FDEACC" w:themeColor="accent6"/>
        </w:tcBorders>
        <w:shd w:val="clear" w:color="auto" w:fill="FEF9F2" w:themeFill="accent6" w:themeFillTint="3F"/>
      </w:tcPr>
    </w:tblStylePr>
    <w:tblStylePr w:type="band2Horz">
      <w:tblPr/>
      <w:tcPr>
        <w:tcBorders>
          <w:top w:val="single" w:sz="8" w:space="0" w:color="FDEACC" w:themeColor="accent6"/>
          <w:left w:val="single" w:sz="8" w:space="0" w:color="FDEACC" w:themeColor="accent6"/>
          <w:bottom w:val="single" w:sz="8" w:space="0" w:color="FDEACC" w:themeColor="accent6"/>
          <w:right w:val="single" w:sz="8" w:space="0" w:color="FDEACC" w:themeColor="accent6"/>
          <w:insideV w:val="single" w:sz="8" w:space="0" w:color="FDEACC" w:themeColor="accent6"/>
        </w:tcBorders>
      </w:tcPr>
    </w:tblStylePr>
  </w:style>
  <w:style w:type="table" w:styleId="LightList-Accent1">
    <w:name w:val="Light List Accent 1"/>
    <w:basedOn w:val="TableNormal"/>
    <w:uiPriority w:val="61"/>
    <w:rsid w:val="00A162C2"/>
    <w:pPr>
      <w:spacing w:before="0" w:after="0" w:line="240" w:lineRule="auto"/>
    </w:pPr>
    <w:rPr>
      <w:rFonts w:eastAsiaTheme="minorEastAsia"/>
      <w:lang w:eastAsia="en-AU"/>
    </w:rPr>
    <w:tblPr>
      <w:tblStyleRowBandSize w:val="1"/>
      <w:tblStyleColBandSize w:val="1"/>
      <w:tblBorders>
        <w:top w:val="single" w:sz="8" w:space="0" w:color="E35205" w:themeColor="accent1"/>
        <w:left w:val="single" w:sz="8" w:space="0" w:color="E35205" w:themeColor="accent1"/>
        <w:bottom w:val="single" w:sz="8" w:space="0" w:color="E35205" w:themeColor="accent1"/>
        <w:right w:val="single" w:sz="8" w:space="0" w:color="E35205" w:themeColor="accent1"/>
      </w:tblBorders>
    </w:tblPr>
    <w:tblStylePr w:type="firstRow">
      <w:pPr>
        <w:spacing w:before="0" w:after="0" w:line="240" w:lineRule="auto"/>
      </w:pPr>
      <w:rPr>
        <w:b/>
        <w:bCs/>
        <w:color w:val="FFFFFF" w:themeColor="background1"/>
      </w:rPr>
      <w:tblPr/>
      <w:tcPr>
        <w:shd w:val="clear" w:color="auto" w:fill="E35205" w:themeFill="accent1"/>
      </w:tcPr>
    </w:tblStylePr>
    <w:tblStylePr w:type="lastRow">
      <w:pPr>
        <w:spacing w:before="0" w:after="0" w:line="240" w:lineRule="auto"/>
      </w:pPr>
      <w:rPr>
        <w:b/>
        <w:bCs/>
      </w:rPr>
      <w:tblPr/>
      <w:tcPr>
        <w:tcBorders>
          <w:top w:val="double" w:sz="6" w:space="0" w:color="E35205" w:themeColor="accent1"/>
          <w:left w:val="single" w:sz="8" w:space="0" w:color="E35205" w:themeColor="accent1"/>
          <w:bottom w:val="single" w:sz="8" w:space="0" w:color="E35205" w:themeColor="accent1"/>
          <w:right w:val="single" w:sz="8" w:space="0" w:color="E35205" w:themeColor="accent1"/>
        </w:tcBorders>
      </w:tcPr>
    </w:tblStylePr>
    <w:tblStylePr w:type="firstCol">
      <w:rPr>
        <w:b/>
        <w:bCs/>
      </w:rPr>
    </w:tblStylePr>
    <w:tblStylePr w:type="lastCol">
      <w:rPr>
        <w:b/>
        <w:bCs/>
      </w:rPr>
    </w:tblStylePr>
    <w:tblStylePr w:type="band1Vert">
      <w:tblPr/>
      <w:tcPr>
        <w:tcBorders>
          <w:top w:val="single" w:sz="8" w:space="0" w:color="E35205" w:themeColor="accent1"/>
          <w:left w:val="single" w:sz="8" w:space="0" w:color="E35205" w:themeColor="accent1"/>
          <w:bottom w:val="single" w:sz="8" w:space="0" w:color="E35205" w:themeColor="accent1"/>
          <w:right w:val="single" w:sz="8" w:space="0" w:color="E35205" w:themeColor="accent1"/>
        </w:tcBorders>
      </w:tcPr>
    </w:tblStylePr>
    <w:tblStylePr w:type="band1Horz">
      <w:tblPr/>
      <w:tcPr>
        <w:tcBorders>
          <w:top w:val="single" w:sz="8" w:space="0" w:color="E35205" w:themeColor="accent1"/>
          <w:left w:val="single" w:sz="8" w:space="0" w:color="E35205" w:themeColor="accent1"/>
          <w:bottom w:val="single" w:sz="8" w:space="0" w:color="E35205" w:themeColor="accent1"/>
          <w:right w:val="single" w:sz="8" w:space="0" w:color="E35205" w:themeColor="accent1"/>
        </w:tcBorders>
      </w:tcPr>
    </w:tblStylePr>
  </w:style>
  <w:style w:type="table" w:styleId="LightList-Accent2">
    <w:name w:val="Light List Accent 2"/>
    <w:basedOn w:val="TableNormal"/>
    <w:uiPriority w:val="61"/>
    <w:rsid w:val="00A162C2"/>
    <w:pPr>
      <w:spacing w:before="0"/>
    </w:pPr>
    <w:tblPr>
      <w:tblStyleRowBandSize w:val="1"/>
      <w:tblStyleColBandSize w:val="1"/>
      <w:tblBorders>
        <w:top w:val="single" w:sz="8" w:space="0" w:color="E57200" w:themeColor="accent2"/>
        <w:left w:val="single" w:sz="8" w:space="0" w:color="E57200" w:themeColor="accent2"/>
        <w:bottom w:val="single" w:sz="8" w:space="0" w:color="E57200" w:themeColor="accent2"/>
        <w:right w:val="single" w:sz="8" w:space="0" w:color="E57200" w:themeColor="accent2"/>
      </w:tblBorders>
    </w:tblPr>
    <w:tblStylePr w:type="firstRow">
      <w:pPr>
        <w:spacing w:before="0" w:after="0" w:line="240" w:lineRule="auto"/>
      </w:pPr>
      <w:rPr>
        <w:b/>
        <w:bCs/>
        <w:color w:val="FFFFFF" w:themeColor="background1"/>
      </w:rPr>
      <w:tblPr/>
      <w:tcPr>
        <w:shd w:val="clear" w:color="auto" w:fill="E57200" w:themeFill="accent2"/>
      </w:tcPr>
    </w:tblStylePr>
    <w:tblStylePr w:type="lastRow">
      <w:pPr>
        <w:spacing w:before="0" w:after="0" w:line="240" w:lineRule="auto"/>
      </w:pPr>
      <w:rPr>
        <w:b/>
        <w:bCs/>
      </w:rPr>
      <w:tblPr/>
      <w:tcPr>
        <w:tcBorders>
          <w:top w:val="double" w:sz="6" w:space="0" w:color="E57200" w:themeColor="accent2"/>
          <w:left w:val="single" w:sz="8" w:space="0" w:color="E57200" w:themeColor="accent2"/>
          <w:bottom w:val="single" w:sz="8" w:space="0" w:color="E57200" w:themeColor="accent2"/>
          <w:right w:val="single" w:sz="8" w:space="0" w:color="E57200" w:themeColor="accent2"/>
        </w:tcBorders>
      </w:tcPr>
    </w:tblStylePr>
    <w:tblStylePr w:type="firstCol">
      <w:rPr>
        <w:b/>
        <w:bCs/>
      </w:rPr>
    </w:tblStylePr>
    <w:tblStylePr w:type="lastCol">
      <w:rPr>
        <w:b/>
        <w:bCs/>
      </w:rPr>
    </w:tblStylePr>
    <w:tblStylePr w:type="band1Vert">
      <w:tblPr/>
      <w:tcPr>
        <w:tcBorders>
          <w:top w:val="single" w:sz="8" w:space="0" w:color="E57200" w:themeColor="accent2"/>
          <w:left w:val="single" w:sz="8" w:space="0" w:color="E57200" w:themeColor="accent2"/>
          <w:bottom w:val="single" w:sz="8" w:space="0" w:color="E57200" w:themeColor="accent2"/>
          <w:right w:val="single" w:sz="8" w:space="0" w:color="E57200" w:themeColor="accent2"/>
        </w:tcBorders>
      </w:tcPr>
    </w:tblStylePr>
    <w:tblStylePr w:type="band1Horz">
      <w:tblPr/>
      <w:tcPr>
        <w:tcBorders>
          <w:top w:val="single" w:sz="8" w:space="0" w:color="E57200" w:themeColor="accent2"/>
          <w:left w:val="single" w:sz="8" w:space="0" w:color="E57200" w:themeColor="accent2"/>
          <w:bottom w:val="single" w:sz="8" w:space="0" w:color="E57200" w:themeColor="accent2"/>
          <w:right w:val="single" w:sz="8" w:space="0" w:color="E57200" w:themeColor="accent2"/>
        </w:tcBorders>
      </w:tcPr>
    </w:tblStylePr>
  </w:style>
  <w:style w:type="table" w:styleId="LightList-Accent3">
    <w:name w:val="Light List Accent 3"/>
    <w:basedOn w:val="TableNormal"/>
    <w:uiPriority w:val="61"/>
    <w:rsid w:val="00A162C2"/>
    <w:pPr>
      <w:spacing w:before="0"/>
    </w:pPr>
    <w:tblPr>
      <w:tblStyleRowBandSize w:val="1"/>
      <w:tblStyleColBandSize w:val="1"/>
      <w:tblBorders>
        <w:top w:val="single" w:sz="8" w:space="0" w:color="F49600" w:themeColor="accent3"/>
        <w:left w:val="single" w:sz="8" w:space="0" w:color="F49600" w:themeColor="accent3"/>
        <w:bottom w:val="single" w:sz="8" w:space="0" w:color="F49600" w:themeColor="accent3"/>
        <w:right w:val="single" w:sz="8" w:space="0" w:color="F49600" w:themeColor="accent3"/>
      </w:tblBorders>
    </w:tblPr>
    <w:tblStylePr w:type="firstRow">
      <w:pPr>
        <w:spacing w:before="0" w:after="0" w:line="240" w:lineRule="auto"/>
      </w:pPr>
      <w:rPr>
        <w:b/>
        <w:bCs/>
        <w:color w:val="FFFFFF" w:themeColor="background1"/>
      </w:rPr>
      <w:tblPr/>
      <w:tcPr>
        <w:shd w:val="clear" w:color="auto" w:fill="F49600" w:themeFill="accent3"/>
      </w:tcPr>
    </w:tblStylePr>
    <w:tblStylePr w:type="lastRow">
      <w:pPr>
        <w:spacing w:before="0" w:after="0" w:line="240" w:lineRule="auto"/>
      </w:pPr>
      <w:rPr>
        <w:b/>
        <w:bCs/>
      </w:rPr>
      <w:tblPr/>
      <w:tcPr>
        <w:tcBorders>
          <w:top w:val="double" w:sz="6" w:space="0" w:color="F49600" w:themeColor="accent3"/>
          <w:left w:val="single" w:sz="8" w:space="0" w:color="F49600" w:themeColor="accent3"/>
          <w:bottom w:val="single" w:sz="8" w:space="0" w:color="F49600" w:themeColor="accent3"/>
          <w:right w:val="single" w:sz="8" w:space="0" w:color="F49600" w:themeColor="accent3"/>
        </w:tcBorders>
      </w:tcPr>
    </w:tblStylePr>
    <w:tblStylePr w:type="firstCol">
      <w:rPr>
        <w:b/>
        <w:bCs/>
      </w:rPr>
    </w:tblStylePr>
    <w:tblStylePr w:type="lastCol">
      <w:rPr>
        <w:b/>
        <w:bCs/>
      </w:rPr>
    </w:tblStylePr>
    <w:tblStylePr w:type="band1Vert">
      <w:tblPr/>
      <w:tcPr>
        <w:tcBorders>
          <w:top w:val="single" w:sz="8" w:space="0" w:color="F49600" w:themeColor="accent3"/>
          <w:left w:val="single" w:sz="8" w:space="0" w:color="F49600" w:themeColor="accent3"/>
          <w:bottom w:val="single" w:sz="8" w:space="0" w:color="F49600" w:themeColor="accent3"/>
          <w:right w:val="single" w:sz="8" w:space="0" w:color="F49600" w:themeColor="accent3"/>
        </w:tcBorders>
      </w:tcPr>
    </w:tblStylePr>
    <w:tblStylePr w:type="band1Horz">
      <w:tblPr/>
      <w:tcPr>
        <w:tcBorders>
          <w:top w:val="single" w:sz="8" w:space="0" w:color="F49600" w:themeColor="accent3"/>
          <w:left w:val="single" w:sz="8" w:space="0" w:color="F49600" w:themeColor="accent3"/>
          <w:bottom w:val="single" w:sz="8" w:space="0" w:color="F49600" w:themeColor="accent3"/>
          <w:right w:val="single" w:sz="8" w:space="0" w:color="F49600" w:themeColor="accent3"/>
        </w:tcBorders>
      </w:tcPr>
    </w:tblStylePr>
  </w:style>
  <w:style w:type="table" w:styleId="LightList-Accent4">
    <w:name w:val="Light List Accent 4"/>
    <w:basedOn w:val="TableNormal"/>
    <w:uiPriority w:val="61"/>
    <w:rsid w:val="00A162C2"/>
    <w:pPr>
      <w:spacing w:before="0" w:after="0" w:line="240" w:lineRule="auto"/>
    </w:pPr>
    <w:rPr>
      <w:rFonts w:eastAsiaTheme="minorEastAsia"/>
      <w:lang w:eastAsia="en-AU"/>
    </w:rPr>
    <w:tblPr>
      <w:tblStyleRowBandSize w:val="1"/>
      <w:tblStyleColBandSize w:val="1"/>
      <w:tblBorders>
        <w:top w:val="single" w:sz="8" w:space="0" w:color="F1A882" w:themeColor="accent4"/>
        <w:left w:val="single" w:sz="8" w:space="0" w:color="F1A882" w:themeColor="accent4"/>
        <w:bottom w:val="single" w:sz="8" w:space="0" w:color="F1A882" w:themeColor="accent4"/>
        <w:right w:val="single" w:sz="8" w:space="0" w:color="F1A882" w:themeColor="accent4"/>
      </w:tblBorders>
    </w:tblPr>
    <w:tblStylePr w:type="firstRow">
      <w:pPr>
        <w:spacing w:before="0" w:after="0" w:line="240" w:lineRule="auto"/>
      </w:pPr>
      <w:rPr>
        <w:b/>
        <w:bCs/>
        <w:color w:val="FFFFFF" w:themeColor="background1"/>
      </w:rPr>
      <w:tblPr/>
      <w:tcPr>
        <w:shd w:val="clear" w:color="auto" w:fill="F1A882" w:themeFill="accent4"/>
      </w:tcPr>
    </w:tblStylePr>
    <w:tblStylePr w:type="lastRow">
      <w:pPr>
        <w:spacing w:before="0" w:after="0" w:line="240" w:lineRule="auto"/>
      </w:pPr>
      <w:rPr>
        <w:b/>
        <w:bCs/>
      </w:rPr>
      <w:tblPr/>
      <w:tcPr>
        <w:tcBorders>
          <w:top w:val="double" w:sz="6" w:space="0" w:color="F1A882" w:themeColor="accent4"/>
          <w:left w:val="single" w:sz="8" w:space="0" w:color="F1A882" w:themeColor="accent4"/>
          <w:bottom w:val="single" w:sz="8" w:space="0" w:color="F1A882" w:themeColor="accent4"/>
          <w:right w:val="single" w:sz="8" w:space="0" w:color="F1A882" w:themeColor="accent4"/>
        </w:tcBorders>
      </w:tcPr>
    </w:tblStylePr>
    <w:tblStylePr w:type="firstCol">
      <w:rPr>
        <w:b/>
        <w:bCs/>
      </w:rPr>
    </w:tblStylePr>
    <w:tblStylePr w:type="lastCol">
      <w:rPr>
        <w:b/>
        <w:bCs/>
      </w:rPr>
    </w:tblStylePr>
    <w:tblStylePr w:type="band1Vert">
      <w:tblPr/>
      <w:tcPr>
        <w:tcBorders>
          <w:top w:val="single" w:sz="8" w:space="0" w:color="F1A882" w:themeColor="accent4"/>
          <w:left w:val="single" w:sz="8" w:space="0" w:color="F1A882" w:themeColor="accent4"/>
          <w:bottom w:val="single" w:sz="8" w:space="0" w:color="F1A882" w:themeColor="accent4"/>
          <w:right w:val="single" w:sz="8" w:space="0" w:color="F1A882" w:themeColor="accent4"/>
        </w:tcBorders>
      </w:tcPr>
    </w:tblStylePr>
    <w:tblStylePr w:type="band1Horz">
      <w:tblPr/>
      <w:tcPr>
        <w:tcBorders>
          <w:top w:val="single" w:sz="8" w:space="0" w:color="F1A882" w:themeColor="accent4"/>
          <w:left w:val="single" w:sz="8" w:space="0" w:color="F1A882" w:themeColor="accent4"/>
          <w:bottom w:val="single" w:sz="8" w:space="0" w:color="F1A882" w:themeColor="accent4"/>
          <w:right w:val="single" w:sz="8" w:space="0" w:color="F1A882" w:themeColor="accent4"/>
        </w:tcBorders>
      </w:tcPr>
    </w:tblStylePr>
  </w:style>
  <w:style w:type="table" w:styleId="LightList-Accent5">
    <w:name w:val="Light List Accent 5"/>
    <w:basedOn w:val="TableNormal"/>
    <w:uiPriority w:val="61"/>
    <w:rsid w:val="00A162C2"/>
    <w:pPr>
      <w:spacing w:before="0"/>
    </w:pPr>
    <w:tblPr>
      <w:tblStyleRowBandSize w:val="1"/>
      <w:tblStyleColBandSize w:val="1"/>
      <w:tblBorders>
        <w:top w:val="single" w:sz="8" w:space="0" w:color="F5C799" w:themeColor="accent5"/>
        <w:left w:val="single" w:sz="8" w:space="0" w:color="F5C799" w:themeColor="accent5"/>
        <w:bottom w:val="single" w:sz="8" w:space="0" w:color="F5C799" w:themeColor="accent5"/>
        <w:right w:val="single" w:sz="8" w:space="0" w:color="F5C799" w:themeColor="accent5"/>
      </w:tblBorders>
    </w:tblPr>
    <w:tblStylePr w:type="firstRow">
      <w:pPr>
        <w:spacing w:before="0" w:after="0" w:line="240" w:lineRule="auto"/>
      </w:pPr>
      <w:rPr>
        <w:b/>
        <w:bCs/>
        <w:color w:val="FFFFFF" w:themeColor="background1"/>
      </w:rPr>
      <w:tblPr/>
      <w:tcPr>
        <w:shd w:val="clear" w:color="auto" w:fill="F5C799" w:themeFill="accent5"/>
      </w:tcPr>
    </w:tblStylePr>
    <w:tblStylePr w:type="lastRow">
      <w:pPr>
        <w:spacing w:before="0" w:after="0" w:line="240" w:lineRule="auto"/>
      </w:pPr>
      <w:rPr>
        <w:b/>
        <w:bCs/>
      </w:rPr>
      <w:tblPr/>
      <w:tcPr>
        <w:tcBorders>
          <w:top w:val="double" w:sz="6" w:space="0" w:color="F5C799" w:themeColor="accent5"/>
          <w:left w:val="single" w:sz="8" w:space="0" w:color="F5C799" w:themeColor="accent5"/>
          <w:bottom w:val="single" w:sz="8" w:space="0" w:color="F5C799" w:themeColor="accent5"/>
          <w:right w:val="single" w:sz="8" w:space="0" w:color="F5C799" w:themeColor="accent5"/>
        </w:tcBorders>
      </w:tcPr>
    </w:tblStylePr>
    <w:tblStylePr w:type="firstCol">
      <w:rPr>
        <w:b/>
        <w:bCs/>
      </w:rPr>
    </w:tblStylePr>
    <w:tblStylePr w:type="lastCol">
      <w:rPr>
        <w:b/>
        <w:bCs/>
      </w:rPr>
    </w:tblStylePr>
    <w:tblStylePr w:type="band1Vert">
      <w:tblPr/>
      <w:tcPr>
        <w:tcBorders>
          <w:top w:val="single" w:sz="8" w:space="0" w:color="F5C799" w:themeColor="accent5"/>
          <w:left w:val="single" w:sz="8" w:space="0" w:color="F5C799" w:themeColor="accent5"/>
          <w:bottom w:val="single" w:sz="8" w:space="0" w:color="F5C799" w:themeColor="accent5"/>
          <w:right w:val="single" w:sz="8" w:space="0" w:color="F5C799" w:themeColor="accent5"/>
        </w:tcBorders>
      </w:tcPr>
    </w:tblStylePr>
    <w:tblStylePr w:type="band1Horz">
      <w:tblPr/>
      <w:tcPr>
        <w:tcBorders>
          <w:top w:val="single" w:sz="8" w:space="0" w:color="F5C799" w:themeColor="accent5"/>
          <w:left w:val="single" w:sz="8" w:space="0" w:color="F5C799" w:themeColor="accent5"/>
          <w:bottom w:val="single" w:sz="8" w:space="0" w:color="F5C799" w:themeColor="accent5"/>
          <w:right w:val="single" w:sz="8" w:space="0" w:color="F5C799" w:themeColor="accent5"/>
        </w:tcBorders>
      </w:tcPr>
    </w:tblStylePr>
  </w:style>
  <w:style w:type="table" w:styleId="LightList-Accent6">
    <w:name w:val="Light List Accent 6"/>
    <w:basedOn w:val="TableNormal"/>
    <w:uiPriority w:val="61"/>
    <w:rsid w:val="00A162C2"/>
    <w:pPr>
      <w:spacing w:before="0"/>
    </w:pPr>
    <w:tblPr>
      <w:tblStyleRowBandSize w:val="1"/>
      <w:tblStyleColBandSize w:val="1"/>
      <w:tblBorders>
        <w:top w:val="single" w:sz="8" w:space="0" w:color="FDEACC" w:themeColor="accent6"/>
        <w:left w:val="single" w:sz="8" w:space="0" w:color="FDEACC" w:themeColor="accent6"/>
        <w:bottom w:val="single" w:sz="8" w:space="0" w:color="FDEACC" w:themeColor="accent6"/>
        <w:right w:val="single" w:sz="8" w:space="0" w:color="FDEACC" w:themeColor="accent6"/>
      </w:tblBorders>
    </w:tblPr>
    <w:tblStylePr w:type="firstRow">
      <w:pPr>
        <w:spacing w:before="0" w:after="0" w:line="240" w:lineRule="auto"/>
      </w:pPr>
      <w:rPr>
        <w:b/>
        <w:bCs/>
        <w:color w:val="FFFFFF" w:themeColor="background1"/>
      </w:rPr>
      <w:tblPr/>
      <w:tcPr>
        <w:shd w:val="clear" w:color="auto" w:fill="FDEACC" w:themeFill="accent6"/>
      </w:tcPr>
    </w:tblStylePr>
    <w:tblStylePr w:type="lastRow">
      <w:pPr>
        <w:spacing w:before="0" w:after="0" w:line="240" w:lineRule="auto"/>
      </w:pPr>
      <w:rPr>
        <w:b/>
        <w:bCs/>
      </w:rPr>
      <w:tblPr/>
      <w:tcPr>
        <w:tcBorders>
          <w:top w:val="double" w:sz="6" w:space="0" w:color="FDEACC" w:themeColor="accent6"/>
          <w:left w:val="single" w:sz="8" w:space="0" w:color="FDEACC" w:themeColor="accent6"/>
          <w:bottom w:val="single" w:sz="8" w:space="0" w:color="FDEACC" w:themeColor="accent6"/>
          <w:right w:val="single" w:sz="8" w:space="0" w:color="FDEACC" w:themeColor="accent6"/>
        </w:tcBorders>
      </w:tcPr>
    </w:tblStylePr>
    <w:tblStylePr w:type="firstCol">
      <w:rPr>
        <w:b/>
        <w:bCs/>
      </w:rPr>
    </w:tblStylePr>
    <w:tblStylePr w:type="lastCol">
      <w:rPr>
        <w:b/>
        <w:bCs/>
      </w:rPr>
    </w:tblStylePr>
    <w:tblStylePr w:type="band1Vert">
      <w:tblPr/>
      <w:tcPr>
        <w:tcBorders>
          <w:top w:val="single" w:sz="8" w:space="0" w:color="FDEACC" w:themeColor="accent6"/>
          <w:left w:val="single" w:sz="8" w:space="0" w:color="FDEACC" w:themeColor="accent6"/>
          <w:bottom w:val="single" w:sz="8" w:space="0" w:color="FDEACC" w:themeColor="accent6"/>
          <w:right w:val="single" w:sz="8" w:space="0" w:color="FDEACC" w:themeColor="accent6"/>
        </w:tcBorders>
      </w:tcPr>
    </w:tblStylePr>
    <w:tblStylePr w:type="band1Horz">
      <w:tblPr/>
      <w:tcPr>
        <w:tcBorders>
          <w:top w:val="single" w:sz="8" w:space="0" w:color="FDEACC" w:themeColor="accent6"/>
          <w:left w:val="single" w:sz="8" w:space="0" w:color="FDEACC" w:themeColor="accent6"/>
          <w:bottom w:val="single" w:sz="8" w:space="0" w:color="FDEACC" w:themeColor="accent6"/>
          <w:right w:val="single" w:sz="8" w:space="0" w:color="FDEACC" w:themeColor="accent6"/>
        </w:tcBorders>
      </w:tcPr>
    </w:tblStylePr>
  </w:style>
  <w:style w:type="table" w:styleId="LightShading-Accent3">
    <w:name w:val="Light Shading Accent 3"/>
    <w:basedOn w:val="TableNormal"/>
    <w:uiPriority w:val="60"/>
    <w:rsid w:val="00A162C2"/>
    <w:pPr>
      <w:spacing w:before="0"/>
    </w:pPr>
    <w:rPr>
      <w:color w:val="B66F00" w:themeColor="accent3" w:themeShade="BF"/>
    </w:rPr>
    <w:tblPr>
      <w:tblStyleRowBandSize w:val="1"/>
      <w:tblStyleColBandSize w:val="1"/>
      <w:tblBorders>
        <w:top w:val="single" w:sz="8" w:space="0" w:color="F49600" w:themeColor="accent3"/>
        <w:bottom w:val="single" w:sz="8" w:space="0" w:color="F49600" w:themeColor="accent3"/>
      </w:tblBorders>
    </w:tblPr>
    <w:tblStylePr w:type="firstRow">
      <w:pPr>
        <w:spacing w:before="0" w:after="0" w:line="240" w:lineRule="auto"/>
      </w:pPr>
      <w:rPr>
        <w:b/>
        <w:bCs/>
      </w:rPr>
      <w:tblPr/>
      <w:tcPr>
        <w:tcBorders>
          <w:top w:val="single" w:sz="8" w:space="0" w:color="F49600" w:themeColor="accent3"/>
          <w:left w:val="nil"/>
          <w:bottom w:val="single" w:sz="8" w:space="0" w:color="F49600" w:themeColor="accent3"/>
          <w:right w:val="nil"/>
          <w:insideH w:val="nil"/>
          <w:insideV w:val="nil"/>
        </w:tcBorders>
      </w:tcPr>
    </w:tblStylePr>
    <w:tblStylePr w:type="lastRow">
      <w:pPr>
        <w:spacing w:before="0" w:after="0" w:line="240" w:lineRule="auto"/>
      </w:pPr>
      <w:rPr>
        <w:b/>
        <w:bCs/>
      </w:rPr>
      <w:tblPr/>
      <w:tcPr>
        <w:tcBorders>
          <w:top w:val="single" w:sz="8" w:space="0" w:color="F49600" w:themeColor="accent3"/>
          <w:left w:val="nil"/>
          <w:bottom w:val="single" w:sz="8" w:space="0" w:color="F496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BD" w:themeFill="accent3" w:themeFillTint="3F"/>
      </w:tcPr>
    </w:tblStylePr>
    <w:tblStylePr w:type="band1Horz">
      <w:tblPr/>
      <w:tcPr>
        <w:tcBorders>
          <w:left w:val="nil"/>
          <w:right w:val="nil"/>
          <w:insideH w:val="nil"/>
          <w:insideV w:val="nil"/>
        </w:tcBorders>
        <w:shd w:val="clear" w:color="auto" w:fill="FFE5BD" w:themeFill="accent3" w:themeFillTint="3F"/>
      </w:tcPr>
    </w:tblStylePr>
  </w:style>
  <w:style w:type="table" w:styleId="LightShading-Accent5">
    <w:name w:val="Light Shading Accent 5"/>
    <w:basedOn w:val="TableNormal"/>
    <w:uiPriority w:val="60"/>
    <w:rsid w:val="00A162C2"/>
    <w:pPr>
      <w:spacing w:before="0"/>
    </w:pPr>
    <w:rPr>
      <w:color w:val="EC943D" w:themeColor="accent5" w:themeShade="BF"/>
    </w:rPr>
    <w:tblPr>
      <w:tblStyleRowBandSize w:val="1"/>
      <w:tblStyleColBandSize w:val="1"/>
      <w:tblBorders>
        <w:top w:val="single" w:sz="8" w:space="0" w:color="F5C799" w:themeColor="accent5"/>
        <w:bottom w:val="single" w:sz="8" w:space="0" w:color="F5C799" w:themeColor="accent5"/>
      </w:tblBorders>
    </w:tblPr>
    <w:tblStylePr w:type="firstRow">
      <w:pPr>
        <w:spacing w:before="0" w:after="0" w:line="240" w:lineRule="auto"/>
      </w:pPr>
      <w:rPr>
        <w:b/>
        <w:bCs/>
      </w:rPr>
      <w:tblPr/>
      <w:tcPr>
        <w:tcBorders>
          <w:top w:val="single" w:sz="8" w:space="0" w:color="F5C799" w:themeColor="accent5"/>
          <w:left w:val="nil"/>
          <w:bottom w:val="single" w:sz="8" w:space="0" w:color="F5C799" w:themeColor="accent5"/>
          <w:right w:val="nil"/>
          <w:insideH w:val="nil"/>
          <w:insideV w:val="nil"/>
        </w:tcBorders>
      </w:tcPr>
    </w:tblStylePr>
    <w:tblStylePr w:type="lastRow">
      <w:pPr>
        <w:spacing w:before="0" w:after="0" w:line="240" w:lineRule="auto"/>
      </w:pPr>
      <w:rPr>
        <w:b/>
        <w:bCs/>
      </w:rPr>
      <w:tblPr/>
      <w:tcPr>
        <w:tcBorders>
          <w:top w:val="single" w:sz="8" w:space="0" w:color="F5C799" w:themeColor="accent5"/>
          <w:left w:val="nil"/>
          <w:bottom w:val="single" w:sz="8" w:space="0" w:color="F5C7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0E5" w:themeFill="accent5" w:themeFillTint="3F"/>
      </w:tcPr>
    </w:tblStylePr>
    <w:tblStylePr w:type="band1Horz">
      <w:tblPr/>
      <w:tcPr>
        <w:tcBorders>
          <w:left w:val="nil"/>
          <w:right w:val="nil"/>
          <w:insideH w:val="nil"/>
          <w:insideV w:val="nil"/>
        </w:tcBorders>
        <w:shd w:val="clear" w:color="auto" w:fill="FCF0E5" w:themeFill="accent5" w:themeFillTint="3F"/>
      </w:tcPr>
    </w:tblStylePr>
  </w:style>
  <w:style w:type="table" w:styleId="LightShading-Accent6">
    <w:name w:val="Light Shading Accent 6"/>
    <w:basedOn w:val="TableNormal"/>
    <w:uiPriority w:val="60"/>
    <w:rsid w:val="00A162C2"/>
    <w:pPr>
      <w:spacing w:before="0"/>
    </w:pPr>
    <w:rPr>
      <w:color w:val="F8BC5D" w:themeColor="accent6" w:themeShade="BF"/>
    </w:rPr>
    <w:tblPr>
      <w:tblStyleRowBandSize w:val="1"/>
      <w:tblStyleColBandSize w:val="1"/>
      <w:tblBorders>
        <w:top w:val="single" w:sz="8" w:space="0" w:color="FDEACC" w:themeColor="accent6"/>
        <w:bottom w:val="single" w:sz="8" w:space="0" w:color="FDEACC" w:themeColor="accent6"/>
      </w:tblBorders>
    </w:tblPr>
    <w:tblStylePr w:type="firstRow">
      <w:pPr>
        <w:spacing w:before="0" w:after="0" w:line="240" w:lineRule="auto"/>
      </w:pPr>
      <w:rPr>
        <w:b/>
        <w:bCs/>
      </w:rPr>
      <w:tblPr/>
      <w:tcPr>
        <w:tcBorders>
          <w:top w:val="single" w:sz="8" w:space="0" w:color="FDEACC" w:themeColor="accent6"/>
          <w:left w:val="nil"/>
          <w:bottom w:val="single" w:sz="8" w:space="0" w:color="FDEACC" w:themeColor="accent6"/>
          <w:right w:val="nil"/>
          <w:insideH w:val="nil"/>
          <w:insideV w:val="nil"/>
        </w:tcBorders>
      </w:tcPr>
    </w:tblStylePr>
    <w:tblStylePr w:type="lastRow">
      <w:pPr>
        <w:spacing w:before="0" w:after="0" w:line="240" w:lineRule="auto"/>
      </w:pPr>
      <w:rPr>
        <w:b/>
        <w:bCs/>
      </w:rPr>
      <w:tblPr/>
      <w:tcPr>
        <w:tcBorders>
          <w:top w:val="single" w:sz="8" w:space="0" w:color="FDEACC" w:themeColor="accent6"/>
          <w:left w:val="nil"/>
          <w:bottom w:val="single" w:sz="8" w:space="0" w:color="FDEAC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2" w:themeFill="accent6" w:themeFillTint="3F"/>
      </w:tcPr>
    </w:tblStylePr>
    <w:tblStylePr w:type="band1Horz">
      <w:tblPr/>
      <w:tcPr>
        <w:tcBorders>
          <w:left w:val="nil"/>
          <w:right w:val="nil"/>
          <w:insideH w:val="nil"/>
          <w:insideV w:val="nil"/>
        </w:tcBorders>
        <w:shd w:val="clear" w:color="auto" w:fill="FEF9F2" w:themeFill="accent6" w:themeFillTint="3F"/>
      </w:tcPr>
    </w:tblStylePr>
  </w:style>
  <w:style w:type="character" w:styleId="LineNumber">
    <w:name w:val="line number"/>
    <w:basedOn w:val="DefaultParagraphFont"/>
    <w:uiPriority w:val="99"/>
    <w:semiHidden/>
    <w:unhideWhenUsed/>
    <w:rsid w:val="00A162C2"/>
  </w:style>
  <w:style w:type="paragraph" w:styleId="List2">
    <w:name w:val="List 2"/>
    <w:basedOn w:val="Normal"/>
    <w:uiPriority w:val="29"/>
    <w:semiHidden/>
    <w:rsid w:val="00A162C2"/>
    <w:pPr>
      <w:ind w:left="566" w:hanging="283"/>
      <w:contextualSpacing/>
    </w:pPr>
  </w:style>
  <w:style w:type="paragraph" w:styleId="List3">
    <w:name w:val="List 3"/>
    <w:basedOn w:val="Normal"/>
    <w:uiPriority w:val="29"/>
    <w:semiHidden/>
    <w:unhideWhenUsed/>
    <w:rsid w:val="00A162C2"/>
    <w:pPr>
      <w:ind w:left="849" w:hanging="283"/>
      <w:contextualSpacing/>
    </w:pPr>
  </w:style>
  <w:style w:type="paragraph" w:styleId="List4">
    <w:name w:val="List 4"/>
    <w:basedOn w:val="Normal"/>
    <w:uiPriority w:val="29"/>
    <w:semiHidden/>
    <w:unhideWhenUsed/>
    <w:rsid w:val="00A162C2"/>
    <w:pPr>
      <w:ind w:left="1132" w:hanging="283"/>
      <w:contextualSpacing/>
    </w:pPr>
  </w:style>
  <w:style w:type="paragraph" w:styleId="List5">
    <w:name w:val="List 5"/>
    <w:basedOn w:val="Normal"/>
    <w:uiPriority w:val="29"/>
    <w:semiHidden/>
    <w:unhideWhenUsed/>
    <w:rsid w:val="00A162C2"/>
    <w:pPr>
      <w:ind w:left="1415" w:hanging="283"/>
      <w:contextualSpacing/>
    </w:pPr>
  </w:style>
  <w:style w:type="paragraph" w:styleId="MacroText">
    <w:name w:val="macro"/>
    <w:link w:val="MacroTextChar"/>
    <w:uiPriority w:val="99"/>
    <w:semiHidden/>
    <w:unhideWhenUsed/>
    <w:rsid w:val="00A162C2"/>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A162C2"/>
    <w:rPr>
      <w:rFonts w:ascii="Consolas" w:hAnsi="Consolas" w:cs="Consolas"/>
    </w:rPr>
  </w:style>
  <w:style w:type="table" w:styleId="MediumGrid1">
    <w:name w:val="Medium Grid 1"/>
    <w:basedOn w:val="TableNormal"/>
    <w:uiPriority w:val="67"/>
    <w:rsid w:val="00A162C2"/>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162C2"/>
    <w:pPr>
      <w:spacing w:before="0"/>
    </w:pPr>
    <w:tblPr>
      <w:tblStyleRowBandSize w:val="1"/>
      <w:tblStyleColBandSize w:val="1"/>
      <w:tblBorders>
        <w:top w:val="single" w:sz="8" w:space="0" w:color="FA7733" w:themeColor="accent1" w:themeTint="BF"/>
        <w:left w:val="single" w:sz="8" w:space="0" w:color="FA7733" w:themeColor="accent1" w:themeTint="BF"/>
        <w:bottom w:val="single" w:sz="8" w:space="0" w:color="FA7733" w:themeColor="accent1" w:themeTint="BF"/>
        <w:right w:val="single" w:sz="8" w:space="0" w:color="FA7733" w:themeColor="accent1" w:themeTint="BF"/>
        <w:insideH w:val="single" w:sz="8" w:space="0" w:color="FA7733" w:themeColor="accent1" w:themeTint="BF"/>
        <w:insideV w:val="single" w:sz="8" w:space="0" w:color="FA7733" w:themeColor="accent1" w:themeTint="BF"/>
      </w:tblBorders>
    </w:tblPr>
    <w:tcPr>
      <w:shd w:val="clear" w:color="auto" w:fill="FDD2BB" w:themeFill="accent1" w:themeFillTint="3F"/>
    </w:tcPr>
    <w:tblStylePr w:type="firstRow">
      <w:rPr>
        <w:b/>
        <w:bCs/>
      </w:rPr>
    </w:tblStylePr>
    <w:tblStylePr w:type="lastRow">
      <w:rPr>
        <w:b/>
        <w:bCs/>
      </w:rPr>
      <w:tblPr/>
      <w:tcPr>
        <w:tcBorders>
          <w:top w:val="single" w:sz="18" w:space="0" w:color="FA7733" w:themeColor="accent1" w:themeTint="BF"/>
        </w:tcBorders>
      </w:tcPr>
    </w:tblStylePr>
    <w:tblStylePr w:type="firstCol">
      <w:rPr>
        <w:b/>
        <w:bCs/>
      </w:rPr>
    </w:tblStylePr>
    <w:tblStylePr w:type="lastCol">
      <w:rPr>
        <w:b/>
        <w:bCs/>
      </w:rPr>
    </w:tblStylePr>
    <w:tblStylePr w:type="band1Vert">
      <w:tblPr/>
      <w:tcPr>
        <w:shd w:val="clear" w:color="auto" w:fill="FCA577" w:themeFill="accent1" w:themeFillTint="7F"/>
      </w:tcPr>
    </w:tblStylePr>
    <w:tblStylePr w:type="band1Horz">
      <w:tblPr/>
      <w:tcPr>
        <w:shd w:val="clear" w:color="auto" w:fill="FCA577" w:themeFill="accent1" w:themeFillTint="7F"/>
      </w:tcPr>
    </w:tblStylePr>
  </w:style>
  <w:style w:type="table" w:styleId="MediumGrid1-Accent2">
    <w:name w:val="Medium Grid 1 Accent 2"/>
    <w:basedOn w:val="TableNormal"/>
    <w:uiPriority w:val="67"/>
    <w:rsid w:val="00A162C2"/>
    <w:pPr>
      <w:spacing w:before="0"/>
    </w:pPr>
    <w:tblPr>
      <w:tblStyleRowBandSize w:val="1"/>
      <w:tblStyleColBandSize w:val="1"/>
      <w:tblBorders>
        <w:top w:val="single" w:sz="8" w:space="0" w:color="FF942C" w:themeColor="accent2" w:themeTint="BF"/>
        <w:left w:val="single" w:sz="8" w:space="0" w:color="FF942C" w:themeColor="accent2" w:themeTint="BF"/>
        <w:bottom w:val="single" w:sz="8" w:space="0" w:color="FF942C" w:themeColor="accent2" w:themeTint="BF"/>
        <w:right w:val="single" w:sz="8" w:space="0" w:color="FF942C" w:themeColor="accent2" w:themeTint="BF"/>
        <w:insideH w:val="single" w:sz="8" w:space="0" w:color="FF942C" w:themeColor="accent2" w:themeTint="BF"/>
        <w:insideV w:val="single" w:sz="8" w:space="0" w:color="FF942C" w:themeColor="accent2" w:themeTint="BF"/>
      </w:tblBorders>
    </w:tblPr>
    <w:tcPr>
      <w:shd w:val="clear" w:color="auto" w:fill="FFDBB9" w:themeFill="accent2" w:themeFillTint="3F"/>
    </w:tcPr>
    <w:tblStylePr w:type="firstRow">
      <w:rPr>
        <w:b/>
        <w:bCs/>
      </w:rPr>
    </w:tblStylePr>
    <w:tblStylePr w:type="lastRow">
      <w:rPr>
        <w:b/>
        <w:bCs/>
      </w:rPr>
      <w:tblPr/>
      <w:tcPr>
        <w:tcBorders>
          <w:top w:val="single" w:sz="18" w:space="0" w:color="FF942C" w:themeColor="accent2" w:themeTint="BF"/>
        </w:tcBorders>
      </w:tcPr>
    </w:tblStylePr>
    <w:tblStylePr w:type="firstCol">
      <w:rPr>
        <w:b/>
        <w:bCs/>
      </w:rPr>
    </w:tblStylePr>
    <w:tblStylePr w:type="lastCol">
      <w:rPr>
        <w:b/>
        <w:bCs/>
      </w:rPr>
    </w:tblStylePr>
    <w:tblStylePr w:type="band1Vert">
      <w:tblPr/>
      <w:tcPr>
        <w:shd w:val="clear" w:color="auto" w:fill="FFB873" w:themeFill="accent2" w:themeFillTint="7F"/>
      </w:tcPr>
    </w:tblStylePr>
    <w:tblStylePr w:type="band1Horz">
      <w:tblPr/>
      <w:tcPr>
        <w:shd w:val="clear" w:color="auto" w:fill="FFB873" w:themeFill="accent2" w:themeFillTint="7F"/>
      </w:tcPr>
    </w:tblStylePr>
  </w:style>
  <w:style w:type="table" w:styleId="MediumGrid1-Accent3">
    <w:name w:val="Medium Grid 1 Accent 3"/>
    <w:basedOn w:val="TableNormal"/>
    <w:uiPriority w:val="67"/>
    <w:rsid w:val="00A162C2"/>
    <w:pPr>
      <w:spacing w:before="0"/>
    </w:pPr>
    <w:tblPr>
      <w:tblStyleRowBandSize w:val="1"/>
      <w:tblStyleColBandSize w:val="1"/>
      <w:tblBorders>
        <w:top w:val="single" w:sz="8" w:space="0" w:color="FFB137" w:themeColor="accent3" w:themeTint="BF"/>
        <w:left w:val="single" w:sz="8" w:space="0" w:color="FFB137" w:themeColor="accent3" w:themeTint="BF"/>
        <w:bottom w:val="single" w:sz="8" w:space="0" w:color="FFB137" w:themeColor="accent3" w:themeTint="BF"/>
        <w:right w:val="single" w:sz="8" w:space="0" w:color="FFB137" w:themeColor="accent3" w:themeTint="BF"/>
        <w:insideH w:val="single" w:sz="8" w:space="0" w:color="FFB137" w:themeColor="accent3" w:themeTint="BF"/>
        <w:insideV w:val="single" w:sz="8" w:space="0" w:color="FFB137" w:themeColor="accent3" w:themeTint="BF"/>
      </w:tblBorders>
    </w:tblPr>
    <w:tcPr>
      <w:shd w:val="clear" w:color="auto" w:fill="FFE5BD" w:themeFill="accent3" w:themeFillTint="3F"/>
    </w:tcPr>
    <w:tblStylePr w:type="firstRow">
      <w:rPr>
        <w:b/>
        <w:bCs/>
      </w:rPr>
    </w:tblStylePr>
    <w:tblStylePr w:type="lastRow">
      <w:rPr>
        <w:b/>
        <w:bCs/>
      </w:rPr>
      <w:tblPr/>
      <w:tcPr>
        <w:tcBorders>
          <w:top w:val="single" w:sz="18" w:space="0" w:color="FFB137" w:themeColor="accent3" w:themeTint="BF"/>
        </w:tcBorders>
      </w:tcPr>
    </w:tblStylePr>
    <w:tblStylePr w:type="firstCol">
      <w:rPr>
        <w:b/>
        <w:bCs/>
      </w:rPr>
    </w:tblStylePr>
    <w:tblStylePr w:type="lastCol">
      <w:rPr>
        <w:b/>
        <w:bCs/>
      </w:rPr>
    </w:tblStylePr>
    <w:tblStylePr w:type="band1Vert">
      <w:tblPr/>
      <w:tcPr>
        <w:shd w:val="clear" w:color="auto" w:fill="FFCB7A" w:themeFill="accent3" w:themeFillTint="7F"/>
      </w:tcPr>
    </w:tblStylePr>
    <w:tblStylePr w:type="band1Horz">
      <w:tblPr/>
      <w:tcPr>
        <w:shd w:val="clear" w:color="auto" w:fill="FFCB7A" w:themeFill="accent3" w:themeFillTint="7F"/>
      </w:tcPr>
    </w:tblStylePr>
  </w:style>
  <w:style w:type="table" w:styleId="MediumGrid1-Accent4">
    <w:name w:val="Medium Grid 1 Accent 4"/>
    <w:basedOn w:val="TableNormal"/>
    <w:uiPriority w:val="67"/>
    <w:rsid w:val="00A162C2"/>
    <w:pPr>
      <w:spacing w:before="0"/>
    </w:pPr>
    <w:tblPr>
      <w:tblStyleRowBandSize w:val="1"/>
      <w:tblStyleColBandSize w:val="1"/>
      <w:tblBorders>
        <w:top w:val="single" w:sz="8" w:space="0" w:color="F4BDA1" w:themeColor="accent4" w:themeTint="BF"/>
        <w:left w:val="single" w:sz="8" w:space="0" w:color="F4BDA1" w:themeColor="accent4" w:themeTint="BF"/>
        <w:bottom w:val="single" w:sz="8" w:space="0" w:color="F4BDA1" w:themeColor="accent4" w:themeTint="BF"/>
        <w:right w:val="single" w:sz="8" w:space="0" w:color="F4BDA1" w:themeColor="accent4" w:themeTint="BF"/>
        <w:insideH w:val="single" w:sz="8" w:space="0" w:color="F4BDA1" w:themeColor="accent4" w:themeTint="BF"/>
        <w:insideV w:val="single" w:sz="8" w:space="0" w:color="F4BDA1" w:themeColor="accent4" w:themeTint="BF"/>
      </w:tblBorders>
    </w:tblPr>
    <w:tcPr>
      <w:shd w:val="clear" w:color="auto" w:fill="FBE9DF" w:themeFill="accent4" w:themeFillTint="3F"/>
    </w:tcPr>
    <w:tblStylePr w:type="firstRow">
      <w:rPr>
        <w:b/>
        <w:bCs/>
      </w:rPr>
    </w:tblStylePr>
    <w:tblStylePr w:type="lastRow">
      <w:rPr>
        <w:b/>
        <w:bCs/>
      </w:rPr>
      <w:tblPr/>
      <w:tcPr>
        <w:tcBorders>
          <w:top w:val="single" w:sz="18" w:space="0" w:color="F4BDA1" w:themeColor="accent4" w:themeTint="BF"/>
        </w:tcBorders>
      </w:tcPr>
    </w:tblStylePr>
    <w:tblStylePr w:type="firstCol">
      <w:rPr>
        <w:b/>
        <w:bCs/>
      </w:rPr>
    </w:tblStylePr>
    <w:tblStylePr w:type="lastCol">
      <w:rPr>
        <w:b/>
        <w:bCs/>
      </w:rPr>
    </w:tblStylePr>
    <w:tblStylePr w:type="band1Vert">
      <w:tblPr/>
      <w:tcPr>
        <w:shd w:val="clear" w:color="auto" w:fill="F8D3C0" w:themeFill="accent4" w:themeFillTint="7F"/>
      </w:tcPr>
    </w:tblStylePr>
    <w:tblStylePr w:type="band1Horz">
      <w:tblPr/>
      <w:tcPr>
        <w:shd w:val="clear" w:color="auto" w:fill="F8D3C0" w:themeFill="accent4" w:themeFillTint="7F"/>
      </w:tcPr>
    </w:tblStylePr>
  </w:style>
  <w:style w:type="table" w:styleId="MediumGrid1-Accent5">
    <w:name w:val="Medium Grid 1 Accent 5"/>
    <w:basedOn w:val="TableNormal"/>
    <w:uiPriority w:val="67"/>
    <w:rsid w:val="00A162C2"/>
    <w:pPr>
      <w:spacing w:before="0"/>
    </w:pPr>
    <w:tblPr>
      <w:tblStyleRowBandSize w:val="1"/>
      <w:tblStyleColBandSize w:val="1"/>
      <w:tblBorders>
        <w:top w:val="single" w:sz="8" w:space="0" w:color="F7D4B2" w:themeColor="accent5" w:themeTint="BF"/>
        <w:left w:val="single" w:sz="8" w:space="0" w:color="F7D4B2" w:themeColor="accent5" w:themeTint="BF"/>
        <w:bottom w:val="single" w:sz="8" w:space="0" w:color="F7D4B2" w:themeColor="accent5" w:themeTint="BF"/>
        <w:right w:val="single" w:sz="8" w:space="0" w:color="F7D4B2" w:themeColor="accent5" w:themeTint="BF"/>
        <w:insideH w:val="single" w:sz="8" w:space="0" w:color="F7D4B2" w:themeColor="accent5" w:themeTint="BF"/>
        <w:insideV w:val="single" w:sz="8" w:space="0" w:color="F7D4B2" w:themeColor="accent5" w:themeTint="BF"/>
      </w:tblBorders>
    </w:tblPr>
    <w:tcPr>
      <w:shd w:val="clear" w:color="auto" w:fill="FCF0E5" w:themeFill="accent5" w:themeFillTint="3F"/>
    </w:tcPr>
    <w:tblStylePr w:type="firstRow">
      <w:rPr>
        <w:b/>
        <w:bCs/>
      </w:rPr>
    </w:tblStylePr>
    <w:tblStylePr w:type="lastRow">
      <w:rPr>
        <w:b/>
        <w:bCs/>
      </w:rPr>
      <w:tblPr/>
      <w:tcPr>
        <w:tcBorders>
          <w:top w:val="single" w:sz="18" w:space="0" w:color="F7D4B2" w:themeColor="accent5" w:themeTint="BF"/>
        </w:tcBorders>
      </w:tcPr>
    </w:tblStylePr>
    <w:tblStylePr w:type="firstCol">
      <w:rPr>
        <w:b/>
        <w:bCs/>
      </w:rPr>
    </w:tblStylePr>
    <w:tblStylePr w:type="lastCol">
      <w:rPr>
        <w:b/>
        <w:bCs/>
      </w:rPr>
    </w:tblStylePr>
    <w:tblStylePr w:type="band1Vert">
      <w:tblPr/>
      <w:tcPr>
        <w:shd w:val="clear" w:color="auto" w:fill="FAE2CC" w:themeFill="accent5" w:themeFillTint="7F"/>
      </w:tcPr>
    </w:tblStylePr>
    <w:tblStylePr w:type="band1Horz">
      <w:tblPr/>
      <w:tcPr>
        <w:shd w:val="clear" w:color="auto" w:fill="FAE2CC" w:themeFill="accent5" w:themeFillTint="7F"/>
      </w:tcPr>
    </w:tblStylePr>
  </w:style>
  <w:style w:type="table" w:styleId="MediumGrid1-Accent6">
    <w:name w:val="Medium Grid 1 Accent 6"/>
    <w:basedOn w:val="TableNormal"/>
    <w:uiPriority w:val="67"/>
    <w:rsid w:val="00A162C2"/>
    <w:pPr>
      <w:spacing w:before="0"/>
    </w:pPr>
    <w:tblPr>
      <w:tblStyleRowBandSize w:val="1"/>
      <w:tblStyleColBandSize w:val="1"/>
      <w:tblBorders>
        <w:top w:val="single" w:sz="8" w:space="0" w:color="FDEFD8" w:themeColor="accent6" w:themeTint="BF"/>
        <w:left w:val="single" w:sz="8" w:space="0" w:color="FDEFD8" w:themeColor="accent6" w:themeTint="BF"/>
        <w:bottom w:val="single" w:sz="8" w:space="0" w:color="FDEFD8" w:themeColor="accent6" w:themeTint="BF"/>
        <w:right w:val="single" w:sz="8" w:space="0" w:color="FDEFD8" w:themeColor="accent6" w:themeTint="BF"/>
        <w:insideH w:val="single" w:sz="8" w:space="0" w:color="FDEFD8" w:themeColor="accent6" w:themeTint="BF"/>
        <w:insideV w:val="single" w:sz="8" w:space="0" w:color="FDEFD8" w:themeColor="accent6" w:themeTint="BF"/>
      </w:tblBorders>
    </w:tblPr>
    <w:tcPr>
      <w:shd w:val="clear" w:color="auto" w:fill="FEF9F2" w:themeFill="accent6" w:themeFillTint="3F"/>
    </w:tcPr>
    <w:tblStylePr w:type="firstRow">
      <w:rPr>
        <w:b/>
        <w:bCs/>
      </w:rPr>
    </w:tblStylePr>
    <w:tblStylePr w:type="lastRow">
      <w:rPr>
        <w:b/>
        <w:bCs/>
      </w:rPr>
      <w:tblPr/>
      <w:tcPr>
        <w:tcBorders>
          <w:top w:val="single" w:sz="18" w:space="0" w:color="FDEFD8" w:themeColor="accent6" w:themeTint="BF"/>
        </w:tcBorders>
      </w:tcPr>
    </w:tblStylePr>
    <w:tblStylePr w:type="firstCol">
      <w:rPr>
        <w:b/>
        <w:bCs/>
      </w:rPr>
    </w:tblStylePr>
    <w:tblStylePr w:type="lastCol">
      <w:rPr>
        <w:b/>
        <w:bCs/>
      </w:rPr>
    </w:tblStylePr>
    <w:tblStylePr w:type="band1Vert">
      <w:tblPr/>
      <w:tcPr>
        <w:shd w:val="clear" w:color="auto" w:fill="FEF4E5" w:themeFill="accent6" w:themeFillTint="7F"/>
      </w:tcPr>
    </w:tblStylePr>
    <w:tblStylePr w:type="band1Horz">
      <w:tblPr/>
      <w:tcPr>
        <w:shd w:val="clear" w:color="auto" w:fill="FEF4E5" w:themeFill="accent6" w:themeFillTint="7F"/>
      </w:tcPr>
    </w:tblStylePr>
  </w:style>
  <w:style w:type="table" w:styleId="MediumGrid2">
    <w:name w:val="Medium Grid 2"/>
    <w:basedOn w:val="TableNormal"/>
    <w:uiPriority w:val="68"/>
    <w:rsid w:val="00A162C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162C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E35205" w:themeColor="accent1"/>
        <w:left w:val="single" w:sz="8" w:space="0" w:color="E35205" w:themeColor="accent1"/>
        <w:bottom w:val="single" w:sz="8" w:space="0" w:color="E35205" w:themeColor="accent1"/>
        <w:right w:val="single" w:sz="8" w:space="0" w:color="E35205" w:themeColor="accent1"/>
        <w:insideH w:val="single" w:sz="8" w:space="0" w:color="E35205" w:themeColor="accent1"/>
        <w:insideV w:val="single" w:sz="8" w:space="0" w:color="E35205" w:themeColor="accent1"/>
      </w:tblBorders>
    </w:tblPr>
    <w:tcPr>
      <w:shd w:val="clear" w:color="auto" w:fill="FDD2BB" w:themeFill="accent1" w:themeFillTint="3F"/>
    </w:tcPr>
    <w:tblStylePr w:type="firstRow">
      <w:rPr>
        <w:b/>
        <w:bCs/>
        <w:color w:val="000000" w:themeColor="text1"/>
      </w:rPr>
      <w:tblPr/>
      <w:tcPr>
        <w:shd w:val="clear" w:color="auto" w:fill="FEED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AC8" w:themeFill="accent1" w:themeFillTint="33"/>
      </w:tcPr>
    </w:tblStylePr>
    <w:tblStylePr w:type="band1Vert">
      <w:tblPr/>
      <w:tcPr>
        <w:shd w:val="clear" w:color="auto" w:fill="FCA577" w:themeFill="accent1" w:themeFillTint="7F"/>
      </w:tcPr>
    </w:tblStylePr>
    <w:tblStylePr w:type="band1Horz">
      <w:tblPr/>
      <w:tcPr>
        <w:tcBorders>
          <w:insideH w:val="single" w:sz="6" w:space="0" w:color="E35205" w:themeColor="accent1"/>
          <w:insideV w:val="single" w:sz="6" w:space="0" w:color="E35205" w:themeColor="accent1"/>
        </w:tcBorders>
        <w:shd w:val="clear" w:color="auto" w:fill="FCA57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162C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E57200" w:themeColor="accent2"/>
        <w:left w:val="single" w:sz="8" w:space="0" w:color="E57200" w:themeColor="accent2"/>
        <w:bottom w:val="single" w:sz="8" w:space="0" w:color="E57200" w:themeColor="accent2"/>
        <w:right w:val="single" w:sz="8" w:space="0" w:color="E57200" w:themeColor="accent2"/>
        <w:insideH w:val="single" w:sz="8" w:space="0" w:color="E57200" w:themeColor="accent2"/>
        <w:insideV w:val="single" w:sz="8" w:space="0" w:color="E57200" w:themeColor="accent2"/>
      </w:tblBorders>
    </w:tblPr>
    <w:tcPr>
      <w:shd w:val="clear" w:color="auto" w:fill="FFDBB9" w:themeFill="accent2" w:themeFillTint="3F"/>
    </w:tcPr>
    <w:tblStylePr w:type="firstRow">
      <w:rPr>
        <w:b/>
        <w:bCs/>
        <w:color w:val="000000" w:themeColor="text1"/>
      </w:rPr>
      <w:tblPr/>
      <w:tcPr>
        <w:shd w:val="clear" w:color="auto" w:fill="FFF1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6" w:themeFill="accent2" w:themeFillTint="33"/>
      </w:tcPr>
    </w:tblStylePr>
    <w:tblStylePr w:type="band1Vert">
      <w:tblPr/>
      <w:tcPr>
        <w:shd w:val="clear" w:color="auto" w:fill="FFB873" w:themeFill="accent2" w:themeFillTint="7F"/>
      </w:tcPr>
    </w:tblStylePr>
    <w:tblStylePr w:type="band1Horz">
      <w:tblPr/>
      <w:tcPr>
        <w:tcBorders>
          <w:insideH w:val="single" w:sz="6" w:space="0" w:color="E57200" w:themeColor="accent2"/>
          <w:insideV w:val="single" w:sz="6" w:space="0" w:color="E57200" w:themeColor="accent2"/>
        </w:tcBorders>
        <w:shd w:val="clear" w:color="auto" w:fill="FFB87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162C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49600" w:themeColor="accent3"/>
        <w:left w:val="single" w:sz="8" w:space="0" w:color="F49600" w:themeColor="accent3"/>
        <w:bottom w:val="single" w:sz="8" w:space="0" w:color="F49600" w:themeColor="accent3"/>
        <w:right w:val="single" w:sz="8" w:space="0" w:color="F49600" w:themeColor="accent3"/>
        <w:insideH w:val="single" w:sz="8" w:space="0" w:color="F49600" w:themeColor="accent3"/>
        <w:insideV w:val="single" w:sz="8" w:space="0" w:color="F49600" w:themeColor="accent3"/>
      </w:tblBorders>
    </w:tblPr>
    <w:tcPr>
      <w:shd w:val="clear" w:color="auto" w:fill="FFE5BD" w:themeFill="accent3" w:themeFillTint="3F"/>
    </w:tcPr>
    <w:tblStylePr w:type="firstRow">
      <w:rPr>
        <w:b/>
        <w:bCs/>
        <w:color w:val="000000" w:themeColor="text1"/>
      </w:rPr>
      <w:tblPr/>
      <w:tcPr>
        <w:shd w:val="clear" w:color="auto" w:fill="FFF4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9" w:themeFill="accent3" w:themeFillTint="33"/>
      </w:tcPr>
    </w:tblStylePr>
    <w:tblStylePr w:type="band1Vert">
      <w:tblPr/>
      <w:tcPr>
        <w:shd w:val="clear" w:color="auto" w:fill="FFCB7A" w:themeFill="accent3" w:themeFillTint="7F"/>
      </w:tcPr>
    </w:tblStylePr>
    <w:tblStylePr w:type="band1Horz">
      <w:tblPr/>
      <w:tcPr>
        <w:tcBorders>
          <w:insideH w:val="single" w:sz="6" w:space="0" w:color="F49600" w:themeColor="accent3"/>
          <w:insideV w:val="single" w:sz="6" w:space="0" w:color="F49600" w:themeColor="accent3"/>
        </w:tcBorders>
        <w:shd w:val="clear" w:color="auto" w:fill="FFCB7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162C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1A882" w:themeColor="accent4"/>
        <w:left w:val="single" w:sz="8" w:space="0" w:color="F1A882" w:themeColor="accent4"/>
        <w:bottom w:val="single" w:sz="8" w:space="0" w:color="F1A882" w:themeColor="accent4"/>
        <w:right w:val="single" w:sz="8" w:space="0" w:color="F1A882" w:themeColor="accent4"/>
        <w:insideH w:val="single" w:sz="8" w:space="0" w:color="F1A882" w:themeColor="accent4"/>
        <w:insideV w:val="single" w:sz="8" w:space="0" w:color="F1A882" w:themeColor="accent4"/>
      </w:tblBorders>
    </w:tblPr>
    <w:tcPr>
      <w:shd w:val="clear" w:color="auto" w:fill="FBE9DF" w:themeFill="accent4" w:themeFillTint="3F"/>
    </w:tcPr>
    <w:tblStylePr w:type="firstRow">
      <w:rPr>
        <w:b/>
        <w:bCs/>
        <w:color w:val="000000" w:themeColor="text1"/>
      </w:rPr>
      <w:tblPr/>
      <w:tcPr>
        <w:shd w:val="clear" w:color="auto" w:fill="FDF6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E5" w:themeFill="accent4" w:themeFillTint="33"/>
      </w:tcPr>
    </w:tblStylePr>
    <w:tblStylePr w:type="band1Vert">
      <w:tblPr/>
      <w:tcPr>
        <w:shd w:val="clear" w:color="auto" w:fill="F8D3C0" w:themeFill="accent4" w:themeFillTint="7F"/>
      </w:tcPr>
    </w:tblStylePr>
    <w:tblStylePr w:type="band1Horz">
      <w:tblPr/>
      <w:tcPr>
        <w:tcBorders>
          <w:insideH w:val="single" w:sz="6" w:space="0" w:color="F1A882" w:themeColor="accent4"/>
          <w:insideV w:val="single" w:sz="6" w:space="0" w:color="F1A882" w:themeColor="accent4"/>
        </w:tcBorders>
        <w:shd w:val="clear" w:color="auto" w:fill="F8D3C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162C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5C799" w:themeColor="accent5"/>
        <w:left w:val="single" w:sz="8" w:space="0" w:color="F5C799" w:themeColor="accent5"/>
        <w:bottom w:val="single" w:sz="8" w:space="0" w:color="F5C799" w:themeColor="accent5"/>
        <w:right w:val="single" w:sz="8" w:space="0" w:color="F5C799" w:themeColor="accent5"/>
        <w:insideH w:val="single" w:sz="8" w:space="0" w:color="F5C799" w:themeColor="accent5"/>
        <w:insideV w:val="single" w:sz="8" w:space="0" w:color="F5C799" w:themeColor="accent5"/>
      </w:tblBorders>
    </w:tblPr>
    <w:tcPr>
      <w:shd w:val="clear" w:color="auto" w:fill="FCF0E5" w:themeFill="accent5" w:themeFillTint="3F"/>
    </w:tcPr>
    <w:tblStylePr w:type="firstRow">
      <w:rPr>
        <w:b/>
        <w:bCs/>
        <w:color w:val="000000" w:themeColor="text1"/>
      </w:rPr>
      <w:tblPr/>
      <w:tcPr>
        <w:shd w:val="clear" w:color="auto" w:fill="FEF9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3EA" w:themeFill="accent5" w:themeFillTint="33"/>
      </w:tcPr>
    </w:tblStylePr>
    <w:tblStylePr w:type="band1Vert">
      <w:tblPr/>
      <w:tcPr>
        <w:shd w:val="clear" w:color="auto" w:fill="FAE2CC" w:themeFill="accent5" w:themeFillTint="7F"/>
      </w:tcPr>
    </w:tblStylePr>
    <w:tblStylePr w:type="band1Horz">
      <w:tblPr/>
      <w:tcPr>
        <w:tcBorders>
          <w:insideH w:val="single" w:sz="6" w:space="0" w:color="F5C799" w:themeColor="accent5"/>
          <w:insideV w:val="single" w:sz="6" w:space="0" w:color="F5C799" w:themeColor="accent5"/>
        </w:tcBorders>
        <w:shd w:val="clear" w:color="auto" w:fill="FAE2C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162C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DEACC" w:themeColor="accent6"/>
        <w:left w:val="single" w:sz="8" w:space="0" w:color="FDEACC" w:themeColor="accent6"/>
        <w:bottom w:val="single" w:sz="8" w:space="0" w:color="FDEACC" w:themeColor="accent6"/>
        <w:right w:val="single" w:sz="8" w:space="0" w:color="FDEACC" w:themeColor="accent6"/>
        <w:insideH w:val="single" w:sz="8" w:space="0" w:color="FDEACC" w:themeColor="accent6"/>
        <w:insideV w:val="single" w:sz="8" w:space="0" w:color="FDEACC" w:themeColor="accent6"/>
      </w:tblBorders>
    </w:tblPr>
    <w:tcPr>
      <w:shd w:val="clear" w:color="auto" w:fill="FEF9F2" w:themeFill="accent6" w:themeFillTint="3F"/>
    </w:tcPr>
    <w:tblStylePr w:type="firstRow">
      <w:rPr>
        <w:b/>
        <w:bCs/>
        <w:color w:val="000000" w:themeColor="text1"/>
      </w:rPr>
      <w:tblPr/>
      <w:tcPr>
        <w:shd w:val="clear" w:color="auto" w:fill="FEFC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4" w:themeFill="accent6" w:themeFillTint="33"/>
      </w:tcPr>
    </w:tblStylePr>
    <w:tblStylePr w:type="band1Vert">
      <w:tblPr/>
      <w:tcPr>
        <w:shd w:val="clear" w:color="auto" w:fill="FEF4E5" w:themeFill="accent6" w:themeFillTint="7F"/>
      </w:tcPr>
    </w:tblStylePr>
    <w:tblStylePr w:type="band1Horz">
      <w:tblPr/>
      <w:tcPr>
        <w:tcBorders>
          <w:insideH w:val="single" w:sz="6" w:space="0" w:color="FDEACC" w:themeColor="accent6"/>
          <w:insideV w:val="single" w:sz="6" w:space="0" w:color="FDEACC" w:themeColor="accent6"/>
        </w:tcBorders>
        <w:shd w:val="clear" w:color="auto" w:fill="FEF4E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162C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162C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2B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20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20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20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20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A5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A577" w:themeFill="accent1" w:themeFillTint="7F"/>
      </w:tcPr>
    </w:tblStylePr>
  </w:style>
  <w:style w:type="table" w:styleId="MediumGrid3-Accent2">
    <w:name w:val="Medium Grid 3 Accent 2"/>
    <w:basedOn w:val="TableNormal"/>
    <w:uiPriority w:val="69"/>
    <w:rsid w:val="00A162C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B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72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72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72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72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87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873" w:themeFill="accent2" w:themeFillTint="7F"/>
      </w:tcPr>
    </w:tblStylePr>
  </w:style>
  <w:style w:type="table" w:styleId="MediumGrid3-Accent3">
    <w:name w:val="Medium Grid 3 Accent 3"/>
    <w:basedOn w:val="TableNormal"/>
    <w:uiPriority w:val="69"/>
    <w:rsid w:val="00A162C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496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496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496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496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B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B7A" w:themeFill="accent3" w:themeFillTint="7F"/>
      </w:tcPr>
    </w:tblStylePr>
  </w:style>
  <w:style w:type="table" w:styleId="MediumGrid3-Accent4">
    <w:name w:val="Medium Grid 3 Accent 4"/>
    <w:basedOn w:val="TableNormal"/>
    <w:uiPriority w:val="69"/>
    <w:rsid w:val="00A162C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A88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A88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A88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A88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3C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3C0" w:themeFill="accent4" w:themeFillTint="7F"/>
      </w:tcPr>
    </w:tblStylePr>
  </w:style>
  <w:style w:type="table" w:styleId="MediumGrid3-Accent5">
    <w:name w:val="Medium Grid 3 Accent 5"/>
    <w:basedOn w:val="TableNormal"/>
    <w:uiPriority w:val="69"/>
    <w:rsid w:val="00A162C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C79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C79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C79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C79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E2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E2CC" w:themeFill="accent5" w:themeFillTint="7F"/>
      </w:tcPr>
    </w:tblStylePr>
  </w:style>
  <w:style w:type="table" w:styleId="MediumGrid3-Accent6">
    <w:name w:val="Medium Grid 3 Accent 6"/>
    <w:basedOn w:val="TableNormal"/>
    <w:uiPriority w:val="69"/>
    <w:rsid w:val="00A162C2"/>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AC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AC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AC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AC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4E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4E5" w:themeFill="accent6" w:themeFillTint="7F"/>
      </w:tcPr>
    </w:tblStylePr>
  </w:style>
  <w:style w:type="table" w:styleId="MediumList1">
    <w:name w:val="Medium List 1"/>
    <w:basedOn w:val="TableNormal"/>
    <w:uiPriority w:val="65"/>
    <w:rsid w:val="00A162C2"/>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162C2"/>
    <w:pPr>
      <w:spacing w:before="0"/>
    </w:pPr>
    <w:rPr>
      <w:color w:val="000000" w:themeColor="text1"/>
    </w:rPr>
    <w:tblPr>
      <w:tblStyleRowBandSize w:val="1"/>
      <w:tblStyleColBandSize w:val="1"/>
      <w:tblBorders>
        <w:top w:val="single" w:sz="8" w:space="0" w:color="E35205" w:themeColor="accent1"/>
        <w:bottom w:val="single" w:sz="8" w:space="0" w:color="E35205" w:themeColor="accent1"/>
      </w:tblBorders>
    </w:tblPr>
    <w:tblStylePr w:type="firstRow">
      <w:rPr>
        <w:rFonts w:asciiTheme="majorHAnsi" w:eastAsiaTheme="majorEastAsia" w:hAnsiTheme="majorHAnsi" w:cstheme="majorBidi"/>
      </w:rPr>
      <w:tblPr/>
      <w:tcPr>
        <w:tcBorders>
          <w:top w:val="nil"/>
          <w:bottom w:val="single" w:sz="8" w:space="0" w:color="E35205" w:themeColor="accent1"/>
        </w:tcBorders>
      </w:tcPr>
    </w:tblStylePr>
    <w:tblStylePr w:type="lastRow">
      <w:rPr>
        <w:b/>
        <w:bCs/>
        <w:color w:val="53565A" w:themeColor="text2"/>
      </w:rPr>
      <w:tblPr/>
      <w:tcPr>
        <w:tcBorders>
          <w:top w:val="single" w:sz="8" w:space="0" w:color="E35205" w:themeColor="accent1"/>
          <w:bottom w:val="single" w:sz="8" w:space="0" w:color="E35205" w:themeColor="accent1"/>
        </w:tcBorders>
      </w:tcPr>
    </w:tblStylePr>
    <w:tblStylePr w:type="firstCol">
      <w:rPr>
        <w:b/>
        <w:bCs/>
      </w:rPr>
    </w:tblStylePr>
    <w:tblStylePr w:type="lastCol">
      <w:rPr>
        <w:b/>
        <w:bCs/>
      </w:rPr>
      <w:tblPr/>
      <w:tcPr>
        <w:tcBorders>
          <w:top w:val="single" w:sz="8" w:space="0" w:color="E35205" w:themeColor="accent1"/>
          <w:bottom w:val="single" w:sz="8" w:space="0" w:color="E35205" w:themeColor="accent1"/>
        </w:tcBorders>
      </w:tcPr>
    </w:tblStylePr>
    <w:tblStylePr w:type="band1Vert">
      <w:tblPr/>
      <w:tcPr>
        <w:shd w:val="clear" w:color="auto" w:fill="FDD2BB" w:themeFill="accent1" w:themeFillTint="3F"/>
      </w:tcPr>
    </w:tblStylePr>
    <w:tblStylePr w:type="band1Horz">
      <w:tblPr/>
      <w:tcPr>
        <w:shd w:val="clear" w:color="auto" w:fill="FDD2BB" w:themeFill="accent1" w:themeFillTint="3F"/>
      </w:tcPr>
    </w:tblStylePr>
  </w:style>
  <w:style w:type="table" w:styleId="MediumList1-Accent2">
    <w:name w:val="Medium List 1 Accent 2"/>
    <w:basedOn w:val="TableNormal"/>
    <w:uiPriority w:val="65"/>
    <w:rsid w:val="00A162C2"/>
    <w:pPr>
      <w:spacing w:before="0"/>
    </w:pPr>
    <w:rPr>
      <w:color w:val="000000" w:themeColor="text1"/>
    </w:rPr>
    <w:tblPr>
      <w:tblStyleRowBandSize w:val="1"/>
      <w:tblStyleColBandSize w:val="1"/>
      <w:tblBorders>
        <w:top w:val="single" w:sz="8" w:space="0" w:color="E57200" w:themeColor="accent2"/>
        <w:bottom w:val="single" w:sz="8" w:space="0" w:color="E57200" w:themeColor="accent2"/>
      </w:tblBorders>
    </w:tblPr>
    <w:tblStylePr w:type="firstRow">
      <w:rPr>
        <w:rFonts w:asciiTheme="majorHAnsi" w:eastAsiaTheme="majorEastAsia" w:hAnsiTheme="majorHAnsi" w:cstheme="majorBidi"/>
      </w:rPr>
      <w:tblPr/>
      <w:tcPr>
        <w:tcBorders>
          <w:top w:val="nil"/>
          <w:bottom w:val="single" w:sz="8" w:space="0" w:color="E57200" w:themeColor="accent2"/>
        </w:tcBorders>
      </w:tcPr>
    </w:tblStylePr>
    <w:tblStylePr w:type="lastRow">
      <w:rPr>
        <w:b/>
        <w:bCs/>
        <w:color w:val="53565A" w:themeColor="text2"/>
      </w:rPr>
      <w:tblPr/>
      <w:tcPr>
        <w:tcBorders>
          <w:top w:val="single" w:sz="8" w:space="0" w:color="E57200" w:themeColor="accent2"/>
          <w:bottom w:val="single" w:sz="8" w:space="0" w:color="E57200" w:themeColor="accent2"/>
        </w:tcBorders>
      </w:tcPr>
    </w:tblStylePr>
    <w:tblStylePr w:type="firstCol">
      <w:rPr>
        <w:b/>
        <w:bCs/>
      </w:rPr>
    </w:tblStylePr>
    <w:tblStylePr w:type="lastCol">
      <w:rPr>
        <w:b/>
        <w:bCs/>
      </w:rPr>
      <w:tblPr/>
      <w:tcPr>
        <w:tcBorders>
          <w:top w:val="single" w:sz="8" w:space="0" w:color="E57200" w:themeColor="accent2"/>
          <w:bottom w:val="single" w:sz="8" w:space="0" w:color="E57200" w:themeColor="accent2"/>
        </w:tcBorders>
      </w:tcPr>
    </w:tblStylePr>
    <w:tblStylePr w:type="band1Vert">
      <w:tblPr/>
      <w:tcPr>
        <w:shd w:val="clear" w:color="auto" w:fill="FFDBB9" w:themeFill="accent2" w:themeFillTint="3F"/>
      </w:tcPr>
    </w:tblStylePr>
    <w:tblStylePr w:type="band1Horz">
      <w:tblPr/>
      <w:tcPr>
        <w:shd w:val="clear" w:color="auto" w:fill="FFDBB9" w:themeFill="accent2" w:themeFillTint="3F"/>
      </w:tcPr>
    </w:tblStylePr>
  </w:style>
  <w:style w:type="table" w:styleId="MediumList1-Accent3">
    <w:name w:val="Medium List 1 Accent 3"/>
    <w:basedOn w:val="TableNormal"/>
    <w:uiPriority w:val="65"/>
    <w:rsid w:val="00A162C2"/>
    <w:pPr>
      <w:spacing w:before="0"/>
    </w:pPr>
    <w:rPr>
      <w:color w:val="000000" w:themeColor="text1"/>
    </w:rPr>
    <w:tblPr>
      <w:tblStyleRowBandSize w:val="1"/>
      <w:tblStyleColBandSize w:val="1"/>
      <w:tblBorders>
        <w:top w:val="single" w:sz="8" w:space="0" w:color="F49600" w:themeColor="accent3"/>
        <w:bottom w:val="single" w:sz="8" w:space="0" w:color="F49600" w:themeColor="accent3"/>
      </w:tblBorders>
    </w:tblPr>
    <w:tblStylePr w:type="firstRow">
      <w:rPr>
        <w:rFonts w:asciiTheme="majorHAnsi" w:eastAsiaTheme="majorEastAsia" w:hAnsiTheme="majorHAnsi" w:cstheme="majorBidi"/>
      </w:rPr>
      <w:tblPr/>
      <w:tcPr>
        <w:tcBorders>
          <w:top w:val="nil"/>
          <w:bottom w:val="single" w:sz="8" w:space="0" w:color="F49600" w:themeColor="accent3"/>
        </w:tcBorders>
      </w:tcPr>
    </w:tblStylePr>
    <w:tblStylePr w:type="lastRow">
      <w:rPr>
        <w:b/>
        <w:bCs/>
        <w:color w:val="53565A" w:themeColor="text2"/>
      </w:rPr>
      <w:tblPr/>
      <w:tcPr>
        <w:tcBorders>
          <w:top w:val="single" w:sz="8" w:space="0" w:color="F49600" w:themeColor="accent3"/>
          <w:bottom w:val="single" w:sz="8" w:space="0" w:color="F49600" w:themeColor="accent3"/>
        </w:tcBorders>
      </w:tcPr>
    </w:tblStylePr>
    <w:tblStylePr w:type="firstCol">
      <w:rPr>
        <w:b/>
        <w:bCs/>
      </w:rPr>
    </w:tblStylePr>
    <w:tblStylePr w:type="lastCol">
      <w:rPr>
        <w:b/>
        <w:bCs/>
      </w:rPr>
      <w:tblPr/>
      <w:tcPr>
        <w:tcBorders>
          <w:top w:val="single" w:sz="8" w:space="0" w:color="F49600" w:themeColor="accent3"/>
          <w:bottom w:val="single" w:sz="8" w:space="0" w:color="F49600" w:themeColor="accent3"/>
        </w:tcBorders>
      </w:tcPr>
    </w:tblStylePr>
    <w:tblStylePr w:type="band1Vert">
      <w:tblPr/>
      <w:tcPr>
        <w:shd w:val="clear" w:color="auto" w:fill="FFE5BD" w:themeFill="accent3" w:themeFillTint="3F"/>
      </w:tcPr>
    </w:tblStylePr>
    <w:tblStylePr w:type="band1Horz">
      <w:tblPr/>
      <w:tcPr>
        <w:shd w:val="clear" w:color="auto" w:fill="FFE5BD" w:themeFill="accent3" w:themeFillTint="3F"/>
      </w:tcPr>
    </w:tblStylePr>
  </w:style>
  <w:style w:type="table" w:styleId="MediumList1-Accent4">
    <w:name w:val="Medium List 1 Accent 4"/>
    <w:basedOn w:val="TableNormal"/>
    <w:uiPriority w:val="65"/>
    <w:rsid w:val="00A162C2"/>
    <w:pPr>
      <w:spacing w:before="0"/>
    </w:pPr>
    <w:rPr>
      <w:color w:val="000000" w:themeColor="text1"/>
    </w:rPr>
    <w:tblPr>
      <w:tblStyleRowBandSize w:val="1"/>
      <w:tblStyleColBandSize w:val="1"/>
      <w:tblBorders>
        <w:top w:val="single" w:sz="8" w:space="0" w:color="F1A882" w:themeColor="accent4"/>
        <w:bottom w:val="single" w:sz="8" w:space="0" w:color="F1A882" w:themeColor="accent4"/>
      </w:tblBorders>
    </w:tblPr>
    <w:tblStylePr w:type="firstRow">
      <w:rPr>
        <w:rFonts w:asciiTheme="majorHAnsi" w:eastAsiaTheme="majorEastAsia" w:hAnsiTheme="majorHAnsi" w:cstheme="majorBidi"/>
      </w:rPr>
      <w:tblPr/>
      <w:tcPr>
        <w:tcBorders>
          <w:top w:val="nil"/>
          <w:bottom w:val="single" w:sz="8" w:space="0" w:color="F1A882" w:themeColor="accent4"/>
        </w:tcBorders>
      </w:tcPr>
    </w:tblStylePr>
    <w:tblStylePr w:type="lastRow">
      <w:rPr>
        <w:b/>
        <w:bCs/>
        <w:color w:val="53565A" w:themeColor="text2"/>
      </w:rPr>
      <w:tblPr/>
      <w:tcPr>
        <w:tcBorders>
          <w:top w:val="single" w:sz="8" w:space="0" w:color="F1A882" w:themeColor="accent4"/>
          <w:bottom w:val="single" w:sz="8" w:space="0" w:color="F1A882" w:themeColor="accent4"/>
        </w:tcBorders>
      </w:tcPr>
    </w:tblStylePr>
    <w:tblStylePr w:type="firstCol">
      <w:rPr>
        <w:b/>
        <w:bCs/>
      </w:rPr>
    </w:tblStylePr>
    <w:tblStylePr w:type="lastCol">
      <w:rPr>
        <w:b/>
        <w:bCs/>
      </w:rPr>
      <w:tblPr/>
      <w:tcPr>
        <w:tcBorders>
          <w:top w:val="single" w:sz="8" w:space="0" w:color="F1A882" w:themeColor="accent4"/>
          <w:bottom w:val="single" w:sz="8" w:space="0" w:color="F1A882" w:themeColor="accent4"/>
        </w:tcBorders>
      </w:tcPr>
    </w:tblStylePr>
    <w:tblStylePr w:type="band1Vert">
      <w:tblPr/>
      <w:tcPr>
        <w:shd w:val="clear" w:color="auto" w:fill="FBE9DF" w:themeFill="accent4" w:themeFillTint="3F"/>
      </w:tcPr>
    </w:tblStylePr>
    <w:tblStylePr w:type="band1Horz">
      <w:tblPr/>
      <w:tcPr>
        <w:shd w:val="clear" w:color="auto" w:fill="FBE9DF" w:themeFill="accent4" w:themeFillTint="3F"/>
      </w:tcPr>
    </w:tblStylePr>
  </w:style>
  <w:style w:type="table" w:styleId="MediumList1-Accent5">
    <w:name w:val="Medium List 1 Accent 5"/>
    <w:basedOn w:val="TableNormal"/>
    <w:uiPriority w:val="65"/>
    <w:rsid w:val="00A162C2"/>
    <w:pPr>
      <w:spacing w:before="0"/>
    </w:pPr>
    <w:rPr>
      <w:color w:val="000000" w:themeColor="text1"/>
    </w:rPr>
    <w:tblPr>
      <w:tblStyleRowBandSize w:val="1"/>
      <w:tblStyleColBandSize w:val="1"/>
      <w:tblBorders>
        <w:top w:val="single" w:sz="8" w:space="0" w:color="F5C799" w:themeColor="accent5"/>
        <w:bottom w:val="single" w:sz="8" w:space="0" w:color="F5C799" w:themeColor="accent5"/>
      </w:tblBorders>
    </w:tblPr>
    <w:tblStylePr w:type="firstRow">
      <w:rPr>
        <w:rFonts w:asciiTheme="majorHAnsi" w:eastAsiaTheme="majorEastAsia" w:hAnsiTheme="majorHAnsi" w:cstheme="majorBidi"/>
      </w:rPr>
      <w:tblPr/>
      <w:tcPr>
        <w:tcBorders>
          <w:top w:val="nil"/>
          <w:bottom w:val="single" w:sz="8" w:space="0" w:color="F5C799" w:themeColor="accent5"/>
        </w:tcBorders>
      </w:tcPr>
    </w:tblStylePr>
    <w:tblStylePr w:type="lastRow">
      <w:rPr>
        <w:b/>
        <w:bCs/>
        <w:color w:val="53565A" w:themeColor="text2"/>
      </w:rPr>
      <w:tblPr/>
      <w:tcPr>
        <w:tcBorders>
          <w:top w:val="single" w:sz="8" w:space="0" w:color="F5C799" w:themeColor="accent5"/>
          <w:bottom w:val="single" w:sz="8" w:space="0" w:color="F5C799" w:themeColor="accent5"/>
        </w:tcBorders>
      </w:tcPr>
    </w:tblStylePr>
    <w:tblStylePr w:type="firstCol">
      <w:rPr>
        <w:b/>
        <w:bCs/>
      </w:rPr>
    </w:tblStylePr>
    <w:tblStylePr w:type="lastCol">
      <w:rPr>
        <w:b/>
        <w:bCs/>
      </w:rPr>
      <w:tblPr/>
      <w:tcPr>
        <w:tcBorders>
          <w:top w:val="single" w:sz="8" w:space="0" w:color="F5C799" w:themeColor="accent5"/>
          <w:bottom w:val="single" w:sz="8" w:space="0" w:color="F5C799" w:themeColor="accent5"/>
        </w:tcBorders>
      </w:tcPr>
    </w:tblStylePr>
    <w:tblStylePr w:type="band1Vert">
      <w:tblPr/>
      <w:tcPr>
        <w:shd w:val="clear" w:color="auto" w:fill="FCF0E5" w:themeFill="accent5" w:themeFillTint="3F"/>
      </w:tcPr>
    </w:tblStylePr>
    <w:tblStylePr w:type="band1Horz">
      <w:tblPr/>
      <w:tcPr>
        <w:shd w:val="clear" w:color="auto" w:fill="FCF0E5" w:themeFill="accent5" w:themeFillTint="3F"/>
      </w:tcPr>
    </w:tblStylePr>
  </w:style>
  <w:style w:type="table" w:styleId="MediumList1-Accent6">
    <w:name w:val="Medium List 1 Accent 6"/>
    <w:basedOn w:val="TableNormal"/>
    <w:uiPriority w:val="65"/>
    <w:rsid w:val="00A162C2"/>
    <w:pPr>
      <w:spacing w:before="0"/>
    </w:pPr>
    <w:rPr>
      <w:color w:val="000000" w:themeColor="text1"/>
    </w:rPr>
    <w:tblPr>
      <w:tblStyleRowBandSize w:val="1"/>
      <w:tblStyleColBandSize w:val="1"/>
      <w:tblBorders>
        <w:top w:val="single" w:sz="8" w:space="0" w:color="FDEACC" w:themeColor="accent6"/>
        <w:bottom w:val="single" w:sz="8" w:space="0" w:color="FDEACC" w:themeColor="accent6"/>
      </w:tblBorders>
    </w:tblPr>
    <w:tblStylePr w:type="firstRow">
      <w:rPr>
        <w:rFonts w:asciiTheme="majorHAnsi" w:eastAsiaTheme="majorEastAsia" w:hAnsiTheme="majorHAnsi" w:cstheme="majorBidi"/>
      </w:rPr>
      <w:tblPr/>
      <w:tcPr>
        <w:tcBorders>
          <w:top w:val="nil"/>
          <w:bottom w:val="single" w:sz="8" w:space="0" w:color="FDEACC" w:themeColor="accent6"/>
        </w:tcBorders>
      </w:tcPr>
    </w:tblStylePr>
    <w:tblStylePr w:type="lastRow">
      <w:rPr>
        <w:b/>
        <w:bCs/>
        <w:color w:val="53565A" w:themeColor="text2"/>
      </w:rPr>
      <w:tblPr/>
      <w:tcPr>
        <w:tcBorders>
          <w:top w:val="single" w:sz="8" w:space="0" w:color="FDEACC" w:themeColor="accent6"/>
          <w:bottom w:val="single" w:sz="8" w:space="0" w:color="FDEACC" w:themeColor="accent6"/>
        </w:tcBorders>
      </w:tcPr>
    </w:tblStylePr>
    <w:tblStylePr w:type="firstCol">
      <w:rPr>
        <w:b/>
        <w:bCs/>
      </w:rPr>
    </w:tblStylePr>
    <w:tblStylePr w:type="lastCol">
      <w:rPr>
        <w:b/>
        <w:bCs/>
      </w:rPr>
      <w:tblPr/>
      <w:tcPr>
        <w:tcBorders>
          <w:top w:val="single" w:sz="8" w:space="0" w:color="FDEACC" w:themeColor="accent6"/>
          <w:bottom w:val="single" w:sz="8" w:space="0" w:color="FDEACC" w:themeColor="accent6"/>
        </w:tcBorders>
      </w:tcPr>
    </w:tblStylePr>
    <w:tblStylePr w:type="band1Vert">
      <w:tblPr/>
      <w:tcPr>
        <w:shd w:val="clear" w:color="auto" w:fill="FEF9F2" w:themeFill="accent6" w:themeFillTint="3F"/>
      </w:tcPr>
    </w:tblStylePr>
    <w:tblStylePr w:type="band1Horz">
      <w:tblPr/>
      <w:tcPr>
        <w:shd w:val="clear" w:color="auto" w:fill="FEF9F2" w:themeFill="accent6" w:themeFillTint="3F"/>
      </w:tcPr>
    </w:tblStylePr>
  </w:style>
  <w:style w:type="table" w:styleId="MediumList2">
    <w:name w:val="Medium List 2"/>
    <w:basedOn w:val="TableNormal"/>
    <w:uiPriority w:val="66"/>
    <w:rsid w:val="00A162C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162C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E35205" w:themeColor="accent1"/>
        <w:left w:val="single" w:sz="8" w:space="0" w:color="E35205" w:themeColor="accent1"/>
        <w:bottom w:val="single" w:sz="8" w:space="0" w:color="E35205" w:themeColor="accent1"/>
        <w:right w:val="single" w:sz="8" w:space="0" w:color="E35205" w:themeColor="accent1"/>
      </w:tblBorders>
    </w:tblPr>
    <w:tblStylePr w:type="firstRow">
      <w:rPr>
        <w:sz w:val="24"/>
        <w:szCs w:val="24"/>
      </w:rPr>
      <w:tblPr/>
      <w:tcPr>
        <w:tcBorders>
          <w:top w:val="nil"/>
          <w:left w:val="nil"/>
          <w:bottom w:val="single" w:sz="24" w:space="0" w:color="E35205" w:themeColor="accent1"/>
          <w:right w:val="nil"/>
          <w:insideH w:val="nil"/>
          <w:insideV w:val="nil"/>
        </w:tcBorders>
        <w:shd w:val="clear" w:color="auto" w:fill="FFFFFF" w:themeFill="background1"/>
      </w:tcPr>
    </w:tblStylePr>
    <w:tblStylePr w:type="lastRow">
      <w:tblPr/>
      <w:tcPr>
        <w:tcBorders>
          <w:top w:val="single" w:sz="8" w:space="0" w:color="E3520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205" w:themeColor="accent1"/>
          <w:insideH w:val="nil"/>
          <w:insideV w:val="nil"/>
        </w:tcBorders>
        <w:shd w:val="clear" w:color="auto" w:fill="FFFFFF" w:themeFill="background1"/>
      </w:tcPr>
    </w:tblStylePr>
    <w:tblStylePr w:type="lastCol">
      <w:tblPr/>
      <w:tcPr>
        <w:tcBorders>
          <w:top w:val="nil"/>
          <w:left w:val="single" w:sz="8" w:space="0" w:color="E3520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2BB" w:themeFill="accent1" w:themeFillTint="3F"/>
      </w:tcPr>
    </w:tblStylePr>
    <w:tblStylePr w:type="band1Horz">
      <w:tblPr/>
      <w:tcPr>
        <w:tcBorders>
          <w:top w:val="nil"/>
          <w:bottom w:val="nil"/>
          <w:insideH w:val="nil"/>
          <w:insideV w:val="nil"/>
        </w:tcBorders>
        <w:shd w:val="clear" w:color="auto" w:fill="FDD2B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162C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E57200" w:themeColor="accent2"/>
        <w:left w:val="single" w:sz="8" w:space="0" w:color="E57200" w:themeColor="accent2"/>
        <w:bottom w:val="single" w:sz="8" w:space="0" w:color="E57200" w:themeColor="accent2"/>
        <w:right w:val="single" w:sz="8" w:space="0" w:color="E57200" w:themeColor="accent2"/>
      </w:tblBorders>
    </w:tblPr>
    <w:tblStylePr w:type="firstRow">
      <w:rPr>
        <w:sz w:val="24"/>
        <w:szCs w:val="24"/>
      </w:rPr>
      <w:tblPr/>
      <w:tcPr>
        <w:tcBorders>
          <w:top w:val="nil"/>
          <w:left w:val="nil"/>
          <w:bottom w:val="single" w:sz="24" w:space="0" w:color="E57200" w:themeColor="accent2"/>
          <w:right w:val="nil"/>
          <w:insideH w:val="nil"/>
          <w:insideV w:val="nil"/>
        </w:tcBorders>
        <w:shd w:val="clear" w:color="auto" w:fill="FFFFFF" w:themeFill="background1"/>
      </w:tcPr>
    </w:tblStylePr>
    <w:tblStylePr w:type="lastRow">
      <w:tblPr/>
      <w:tcPr>
        <w:tcBorders>
          <w:top w:val="single" w:sz="8" w:space="0" w:color="E572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7200" w:themeColor="accent2"/>
          <w:insideH w:val="nil"/>
          <w:insideV w:val="nil"/>
        </w:tcBorders>
        <w:shd w:val="clear" w:color="auto" w:fill="FFFFFF" w:themeFill="background1"/>
      </w:tcPr>
    </w:tblStylePr>
    <w:tblStylePr w:type="lastCol">
      <w:tblPr/>
      <w:tcPr>
        <w:tcBorders>
          <w:top w:val="nil"/>
          <w:left w:val="single" w:sz="8" w:space="0" w:color="E572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B9" w:themeFill="accent2" w:themeFillTint="3F"/>
      </w:tcPr>
    </w:tblStylePr>
    <w:tblStylePr w:type="band1Horz">
      <w:tblPr/>
      <w:tcPr>
        <w:tcBorders>
          <w:top w:val="nil"/>
          <w:bottom w:val="nil"/>
          <w:insideH w:val="nil"/>
          <w:insideV w:val="nil"/>
        </w:tcBorders>
        <w:shd w:val="clear" w:color="auto" w:fill="FFDBB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162C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49600" w:themeColor="accent3"/>
        <w:left w:val="single" w:sz="8" w:space="0" w:color="F49600" w:themeColor="accent3"/>
        <w:bottom w:val="single" w:sz="8" w:space="0" w:color="F49600" w:themeColor="accent3"/>
        <w:right w:val="single" w:sz="8" w:space="0" w:color="F49600" w:themeColor="accent3"/>
      </w:tblBorders>
    </w:tblPr>
    <w:tblStylePr w:type="firstRow">
      <w:rPr>
        <w:sz w:val="24"/>
        <w:szCs w:val="24"/>
      </w:rPr>
      <w:tblPr/>
      <w:tcPr>
        <w:tcBorders>
          <w:top w:val="nil"/>
          <w:left w:val="nil"/>
          <w:bottom w:val="single" w:sz="24" w:space="0" w:color="F49600" w:themeColor="accent3"/>
          <w:right w:val="nil"/>
          <w:insideH w:val="nil"/>
          <w:insideV w:val="nil"/>
        </w:tcBorders>
        <w:shd w:val="clear" w:color="auto" w:fill="FFFFFF" w:themeFill="background1"/>
      </w:tcPr>
    </w:tblStylePr>
    <w:tblStylePr w:type="lastRow">
      <w:tblPr/>
      <w:tcPr>
        <w:tcBorders>
          <w:top w:val="single" w:sz="8" w:space="0" w:color="F496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49600" w:themeColor="accent3"/>
          <w:insideH w:val="nil"/>
          <w:insideV w:val="nil"/>
        </w:tcBorders>
        <w:shd w:val="clear" w:color="auto" w:fill="FFFFFF" w:themeFill="background1"/>
      </w:tcPr>
    </w:tblStylePr>
    <w:tblStylePr w:type="lastCol">
      <w:tblPr/>
      <w:tcPr>
        <w:tcBorders>
          <w:top w:val="nil"/>
          <w:left w:val="single" w:sz="8" w:space="0" w:color="F496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BD" w:themeFill="accent3" w:themeFillTint="3F"/>
      </w:tcPr>
    </w:tblStylePr>
    <w:tblStylePr w:type="band1Horz">
      <w:tblPr/>
      <w:tcPr>
        <w:tcBorders>
          <w:top w:val="nil"/>
          <w:bottom w:val="nil"/>
          <w:insideH w:val="nil"/>
          <w:insideV w:val="nil"/>
        </w:tcBorders>
        <w:shd w:val="clear" w:color="auto" w:fill="FFE5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162C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1A882" w:themeColor="accent4"/>
        <w:left w:val="single" w:sz="8" w:space="0" w:color="F1A882" w:themeColor="accent4"/>
        <w:bottom w:val="single" w:sz="8" w:space="0" w:color="F1A882" w:themeColor="accent4"/>
        <w:right w:val="single" w:sz="8" w:space="0" w:color="F1A882" w:themeColor="accent4"/>
      </w:tblBorders>
    </w:tblPr>
    <w:tblStylePr w:type="firstRow">
      <w:rPr>
        <w:sz w:val="24"/>
        <w:szCs w:val="24"/>
      </w:rPr>
      <w:tblPr/>
      <w:tcPr>
        <w:tcBorders>
          <w:top w:val="nil"/>
          <w:left w:val="nil"/>
          <w:bottom w:val="single" w:sz="24" w:space="0" w:color="F1A882" w:themeColor="accent4"/>
          <w:right w:val="nil"/>
          <w:insideH w:val="nil"/>
          <w:insideV w:val="nil"/>
        </w:tcBorders>
        <w:shd w:val="clear" w:color="auto" w:fill="FFFFFF" w:themeFill="background1"/>
      </w:tcPr>
    </w:tblStylePr>
    <w:tblStylePr w:type="lastRow">
      <w:tblPr/>
      <w:tcPr>
        <w:tcBorders>
          <w:top w:val="single" w:sz="8" w:space="0" w:color="F1A88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A882" w:themeColor="accent4"/>
          <w:insideH w:val="nil"/>
          <w:insideV w:val="nil"/>
        </w:tcBorders>
        <w:shd w:val="clear" w:color="auto" w:fill="FFFFFF" w:themeFill="background1"/>
      </w:tcPr>
    </w:tblStylePr>
    <w:tblStylePr w:type="lastCol">
      <w:tblPr/>
      <w:tcPr>
        <w:tcBorders>
          <w:top w:val="nil"/>
          <w:left w:val="single" w:sz="8" w:space="0" w:color="F1A88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DF" w:themeFill="accent4" w:themeFillTint="3F"/>
      </w:tcPr>
    </w:tblStylePr>
    <w:tblStylePr w:type="band1Horz">
      <w:tblPr/>
      <w:tcPr>
        <w:tcBorders>
          <w:top w:val="nil"/>
          <w:bottom w:val="nil"/>
          <w:insideH w:val="nil"/>
          <w:insideV w:val="nil"/>
        </w:tcBorders>
        <w:shd w:val="clear" w:color="auto" w:fill="FBE9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162C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5C799" w:themeColor="accent5"/>
        <w:left w:val="single" w:sz="8" w:space="0" w:color="F5C799" w:themeColor="accent5"/>
        <w:bottom w:val="single" w:sz="8" w:space="0" w:color="F5C799" w:themeColor="accent5"/>
        <w:right w:val="single" w:sz="8" w:space="0" w:color="F5C799" w:themeColor="accent5"/>
      </w:tblBorders>
    </w:tblPr>
    <w:tblStylePr w:type="firstRow">
      <w:rPr>
        <w:sz w:val="24"/>
        <w:szCs w:val="24"/>
      </w:rPr>
      <w:tblPr/>
      <w:tcPr>
        <w:tcBorders>
          <w:top w:val="nil"/>
          <w:left w:val="nil"/>
          <w:bottom w:val="single" w:sz="24" w:space="0" w:color="F5C799" w:themeColor="accent5"/>
          <w:right w:val="nil"/>
          <w:insideH w:val="nil"/>
          <w:insideV w:val="nil"/>
        </w:tcBorders>
        <w:shd w:val="clear" w:color="auto" w:fill="FFFFFF" w:themeFill="background1"/>
      </w:tcPr>
    </w:tblStylePr>
    <w:tblStylePr w:type="lastRow">
      <w:tblPr/>
      <w:tcPr>
        <w:tcBorders>
          <w:top w:val="single" w:sz="8" w:space="0" w:color="F5C79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C799" w:themeColor="accent5"/>
          <w:insideH w:val="nil"/>
          <w:insideV w:val="nil"/>
        </w:tcBorders>
        <w:shd w:val="clear" w:color="auto" w:fill="FFFFFF" w:themeFill="background1"/>
      </w:tcPr>
    </w:tblStylePr>
    <w:tblStylePr w:type="lastCol">
      <w:tblPr/>
      <w:tcPr>
        <w:tcBorders>
          <w:top w:val="nil"/>
          <w:left w:val="single" w:sz="8" w:space="0" w:color="F5C79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0E5" w:themeFill="accent5" w:themeFillTint="3F"/>
      </w:tcPr>
    </w:tblStylePr>
    <w:tblStylePr w:type="band1Horz">
      <w:tblPr/>
      <w:tcPr>
        <w:tcBorders>
          <w:top w:val="nil"/>
          <w:bottom w:val="nil"/>
          <w:insideH w:val="nil"/>
          <w:insideV w:val="nil"/>
        </w:tcBorders>
        <w:shd w:val="clear" w:color="auto" w:fill="FCF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162C2"/>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DEACC" w:themeColor="accent6"/>
        <w:left w:val="single" w:sz="8" w:space="0" w:color="FDEACC" w:themeColor="accent6"/>
        <w:bottom w:val="single" w:sz="8" w:space="0" w:color="FDEACC" w:themeColor="accent6"/>
        <w:right w:val="single" w:sz="8" w:space="0" w:color="FDEACC" w:themeColor="accent6"/>
      </w:tblBorders>
    </w:tblPr>
    <w:tblStylePr w:type="firstRow">
      <w:rPr>
        <w:sz w:val="24"/>
        <w:szCs w:val="24"/>
      </w:rPr>
      <w:tblPr/>
      <w:tcPr>
        <w:tcBorders>
          <w:top w:val="nil"/>
          <w:left w:val="nil"/>
          <w:bottom w:val="single" w:sz="24" w:space="0" w:color="FDEACC" w:themeColor="accent6"/>
          <w:right w:val="nil"/>
          <w:insideH w:val="nil"/>
          <w:insideV w:val="nil"/>
        </w:tcBorders>
        <w:shd w:val="clear" w:color="auto" w:fill="FFFFFF" w:themeFill="background1"/>
      </w:tcPr>
    </w:tblStylePr>
    <w:tblStylePr w:type="lastRow">
      <w:tblPr/>
      <w:tcPr>
        <w:tcBorders>
          <w:top w:val="single" w:sz="8" w:space="0" w:color="FDEAC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ACC" w:themeColor="accent6"/>
          <w:insideH w:val="nil"/>
          <w:insideV w:val="nil"/>
        </w:tcBorders>
        <w:shd w:val="clear" w:color="auto" w:fill="FFFFFF" w:themeFill="background1"/>
      </w:tcPr>
    </w:tblStylePr>
    <w:tblStylePr w:type="lastCol">
      <w:tblPr/>
      <w:tcPr>
        <w:tcBorders>
          <w:top w:val="nil"/>
          <w:left w:val="single" w:sz="8" w:space="0" w:color="FDEAC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2" w:themeFill="accent6" w:themeFillTint="3F"/>
      </w:tcPr>
    </w:tblStylePr>
    <w:tblStylePr w:type="band1Horz">
      <w:tblPr/>
      <w:tcPr>
        <w:tcBorders>
          <w:top w:val="nil"/>
          <w:bottom w:val="nil"/>
          <w:insideH w:val="nil"/>
          <w:insideV w:val="nil"/>
        </w:tcBorders>
        <w:shd w:val="clear" w:color="auto" w:fill="FEF9F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162C2"/>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162C2"/>
    <w:pPr>
      <w:spacing w:before="0"/>
    </w:pPr>
    <w:tblPr>
      <w:tblStyleRowBandSize w:val="1"/>
      <w:tblStyleColBandSize w:val="1"/>
      <w:tblBorders>
        <w:top w:val="single" w:sz="8" w:space="0" w:color="FA7733" w:themeColor="accent1" w:themeTint="BF"/>
        <w:left w:val="single" w:sz="8" w:space="0" w:color="FA7733" w:themeColor="accent1" w:themeTint="BF"/>
        <w:bottom w:val="single" w:sz="8" w:space="0" w:color="FA7733" w:themeColor="accent1" w:themeTint="BF"/>
        <w:right w:val="single" w:sz="8" w:space="0" w:color="FA7733" w:themeColor="accent1" w:themeTint="BF"/>
        <w:insideH w:val="single" w:sz="8" w:space="0" w:color="FA7733" w:themeColor="accent1" w:themeTint="BF"/>
      </w:tblBorders>
    </w:tblPr>
    <w:tblStylePr w:type="firstRow">
      <w:pPr>
        <w:spacing w:before="0" w:after="0" w:line="240" w:lineRule="auto"/>
      </w:pPr>
      <w:rPr>
        <w:b/>
        <w:bCs/>
        <w:color w:val="FFFFFF" w:themeColor="background1"/>
      </w:rPr>
      <w:tblPr/>
      <w:tcPr>
        <w:tcBorders>
          <w:top w:val="single" w:sz="8" w:space="0" w:color="FA7733" w:themeColor="accent1" w:themeTint="BF"/>
          <w:left w:val="single" w:sz="8" w:space="0" w:color="FA7733" w:themeColor="accent1" w:themeTint="BF"/>
          <w:bottom w:val="single" w:sz="8" w:space="0" w:color="FA7733" w:themeColor="accent1" w:themeTint="BF"/>
          <w:right w:val="single" w:sz="8" w:space="0" w:color="FA7733" w:themeColor="accent1" w:themeTint="BF"/>
          <w:insideH w:val="nil"/>
          <w:insideV w:val="nil"/>
        </w:tcBorders>
        <w:shd w:val="clear" w:color="auto" w:fill="E35205" w:themeFill="accent1"/>
      </w:tcPr>
    </w:tblStylePr>
    <w:tblStylePr w:type="lastRow">
      <w:pPr>
        <w:spacing w:before="0" w:after="0" w:line="240" w:lineRule="auto"/>
      </w:pPr>
      <w:rPr>
        <w:b/>
        <w:bCs/>
      </w:rPr>
      <w:tblPr/>
      <w:tcPr>
        <w:tcBorders>
          <w:top w:val="double" w:sz="6" w:space="0" w:color="FA7733" w:themeColor="accent1" w:themeTint="BF"/>
          <w:left w:val="single" w:sz="8" w:space="0" w:color="FA7733" w:themeColor="accent1" w:themeTint="BF"/>
          <w:bottom w:val="single" w:sz="8" w:space="0" w:color="FA7733" w:themeColor="accent1" w:themeTint="BF"/>
          <w:right w:val="single" w:sz="8" w:space="0" w:color="FA773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D2BB" w:themeFill="accent1" w:themeFillTint="3F"/>
      </w:tcPr>
    </w:tblStylePr>
    <w:tblStylePr w:type="band1Horz">
      <w:tblPr/>
      <w:tcPr>
        <w:tcBorders>
          <w:insideH w:val="nil"/>
          <w:insideV w:val="nil"/>
        </w:tcBorders>
        <w:shd w:val="clear" w:color="auto" w:fill="FDD2B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162C2"/>
    <w:pPr>
      <w:spacing w:before="0"/>
    </w:pPr>
    <w:tblPr>
      <w:tblStyleRowBandSize w:val="1"/>
      <w:tblStyleColBandSize w:val="1"/>
      <w:tblBorders>
        <w:top w:val="single" w:sz="8" w:space="0" w:color="FF942C" w:themeColor="accent2" w:themeTint="BF"/>
        <w:left w:val="single" w:sz="8" w:space="0" w:color="FF942C" w:themeColor="accent2" w:themeTint="BF"/>
        <w:bottom w:val="single" w:sz="8" w:space="0" w:color="FF942C" w:themeColor="accent2" w:themeTint="BF"/>
        <w:right w:val="single" w:sz="8" w:space="0" w:color="FF942C" w:themeColor="accent2" w:themeTint="BF"/>
        <w:insideH w:val="single" w:sz="8" w:space="0" w:color="FF942C" w:themeColor="accent2" w:themeTint="BF"/>
      </w:tblBorders>
    </w:tblPr>
    <w:tblStylePr w:type="firstRow">
      <w:pPr>
        <w:spacing w:before="0" w:after="0" w:line="240" w:lineRule="auto"/>
      </w:pPr>
      <w:rPr>
        <w:b/>
        <w:bCs/>
        <w:color w:val="FFFFFF" w:themeColor="background1"/>
      </w:rPr>
      <w:tblPr/>
      <w:tcPr>
        <w:tcBorders>
          <w:top w:val="single" w:sz="8" w:space="0" w:color="FF942C" w:themeColor="accent2" w:themeTint="BF"/>
          <w:left w:val="single" w:sz="8" w:space="0" w:color="FF942C" w:themeColor="accent2" w:themeTint="BF"/>
          <w:bottom w:val="single" w:sz="8" w:space="0" w:color="FF942C" w:themeColor="accent2" w:themeTint="BF"/>
          <w:right w:val="single" w:sz="8" w:space="0" w:color="FF942C" w:themeColor="accent2" w:themeTint="BF"/>
          <w:insideH w:val="nil"/>
          <w:insideV w:val="nil"/>
        </w:tcBorders>
        <w:shd w:val="clear" w:color="auto" w:fill="E57200" w:themeFill="accent2"/>
      </w:tcPr>
    </w:tblStylePr>
    <w:tblStylePr w:type="lastRow">
      <w:pPr>
        <w:spacing w:before="0" w:after="0" w:line="240" w:lineRule="auto"/>
      </w:pPr>
      <w:rPr>
        <w:b/>
        <w:bCs/>
      </w:rPr>
      <w:tblPr/>
      <w:tcPr>
        <w:tcBorders>
          <w:top w:val="double" w:sz="6" w:space="0" w:color="FF942C" w:themeColor="accent2" w:themeTint="BF"/>
          <w:left w:val="single" w:sz="8" w:space="0" w:color="FF942C" w:themeColor="accent2" w:themeTint="BF"/>
          <w:bottom w:val="single" w:sz="8" w:space="0" w:color="FF942C" w:themeColor="accent2" w:themeTint="BF"/>
          <w:right w:val="single" w:sz="8" w:space="0" w:color="FF942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BB9" w:themeFill="accent2" w:themeFillTint="3F"/>
      </w:tcPr>
    </w:tblStylePr>
    <w:tblStylePr w:type="band1Horz">
      <w:tblPr/>
      <w:tcPr>
        <w:tcBorders>
          <w:insideH w:val="nil"/>
          <w:insideV w:val="nil"/>
        </w:tcBorders>
        <w:shd w:val="clear" w:color="auto" w:fill="FFDB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162C2"/>
    <w:pPr>
      <w:spacing w:before="0"/>
    </w:pPr>
    <w:tblPr>
      <w:tblStyleRowBandSize w:val="1"/>
      <w:tblStyleColBandSize w:val="1"/>
      <w:tblBorders>
        <w:top w:val="single" w:sz="8" w:space="0" w:color="FFB137" w:themeColor="accent3" w:themeTint="BF"/>
        <w:left w:val="single" w:sz="8" w:space="0" w:color="FFB137" w:themeColor="accent3" w:themeTint="BF"/>
        <w:bottom w:val="single" w:sz="8" w:space="0" w:color="FFB137" w:themeColor="accent3" w:themeTint="BF"/>
        <w:right w:val="single" w:sz="8" w:space="0" w:color="FFB137" w:themeColor="accent3" w:themeTint="BF"/>
        <w:insideH w:val="single" w:sz="8" w:space="0" w:color="FFB137" w:themeColor="accent3" w:themeTint="BF"/>
      </w:tblBorders>
    </w:tblPr>
    <w:tblStylePr w:type="firstRow">
      <w:pPr>
        <w:spacing w:before="0" w:after="0" w:line="240" w:lineRule="auto"/>
      </w:pPr>
      <w:rPr>
        <w:b/>
        <w:bCs/>
        <w:color w:val="FFFFFF" w:themeColor="background1"/>
      </w:rPr>
      <w:tblPr/>
      <w:tcPr>
        <w:tcBorders>
          <w:top w:val="single" w:sz="8" w:space="0" w:color="FFB137" w:themeColor="accent3" w:themeTint="BF"/>
          <w:left w:val="single" w:sz="8" w:space="0" w:color="FFB137" w:themeColor="accent3" w:themeTint="BF"/>
          <w:bottom w:val="single" w:sz="8" w:space="0" w:color="FFB137" w:themeColor="accent3" w:themeTint="BF"/>
          <w:right w:val="single" w:sz="8" w:space="0" w:color="FFB137" w:themeColor="accent3" w:themeTint="BF"/>
          <w:insideH w:val="nil"/>
          <w:insideV w:val="nil"/>
        </w:tcBorders>
        <w:shd w:val="clear" w:color="auto" w:fill="F49600" w:themeFill="accent3"/>
      </w:tcPr>
    </w:tblStylePr>
    <w:tblStylePr w:type="lastRow">
      <w:pPr>
        <w:spacing w:before="0" w:after="0" w:line="240" w:lineRule="auto"/>
      </w:pPr>
      <w:rPr>
        <w:b/>
        <w:bCs/>
      </w:rPr>
      <w:tblPr/>
      <w:tcPr>
        <w:tcBorders>
          <w:top w:val="double" w:sz="6" w:space="0" w:color="FFB137" w:themeColor="accent3" w:themeTint="BF"/>
          <w:left w:val="single" w:sz="8" w:space="0" w:color="FFB137" w:themeColor="accent3" w:themeTint="BF"/>
          <w:bottom w:val="single" w:sz="8" w:space="0" w:color="FFB137" w:themeColor="accent3" w:themeTint="BF"/>
          <w:right w:val="single" w:sz="8" w:space="0" w:color="FFB1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5BD" w:themeFill="accent3" w:themeFillTint="3F"/>
      </w:tcPr>
    </w:tblStylePr>
    <w:tblStylePr w:type="band1Horz">
      <w:tblPr/>
      <w:tcPr>
        <w:tcBorders>
          <w:insideH w:val="nil"/>
          <w:insideV w:val="nil"/>
        </w:tcBorders>
        <w:shd w:val="clear" w:color="auto" w:fill="FFE5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162C2"/>
    <w:pPr>
      <w:spacing w:before="0"/>
    </w:pPr>
    <w:tblPr>
      <w:tblStyleRowBandSize w:val="1"/>
      <w:tblStyleColBandSize w:val="1"/>
      <w:tblBorders>
        <w:top w:val="single" w:sz="8" w:space="0" w:color="F4BDA1" w:themeColor="accent4" w:themeTint="BF"/>
        <w:left w:val="single" w:sz="8" w:space="0" w:color="F4BDA1" w:themeColor="accent4" w:themeTint="BF"/>
        <w:bottom w:val="single" w:sz="8" w:space="0" w:color="F4BDA1" w:themeColor="accent4" w:themeTint="BF"/>
        <w:right w:val="single" w:sz="8" w:space="0" w:color="F4BDA1" w:themeColor="accent4" w:themeTint="BF"/>
        <w:insideH w:val="single" w:sz="8" w:space="0" w:color="F4BDA1" w:themeColor="accent4" w:themeTint="BF"/>
      </w:tblBorders>
    </w:tblPr>
    <w:tblStylePr w:type="firstRow">
      <w:pPr>
        <w:spacing w:before="0" w:after="0" w:line="240" w:lineRule="auto"/>
      </w:pPr>
      <w:rPr>
        <w:b/>
        <w:bCs/>
        <w:color w:val="FFFFFF" w:themeColor="background1"/>
      </w:rPr>
      <w:tblPr/>
      <w:tcPr>
        <w:tcBorders>
          <w:top w:val="single" w:sz="8" w:space="0" w:color="F4BDA1" w:themeColor="accent4" w:themeTint="BF"/>
          <w:left w:val="single" w:sz="8" w:space="0" w:color="F4BDA1" w:themeColor="accent4" w:themeTint="BF"/>
          <w:bottom w:val="single" w:sz="8" w:space="0" w:color="F4BDA1" w:themeColor="accent4" w:themeTint="BF"/>
          <w:right w:val="single" w:sz="8" w:space="0" w:color="F4BDA1" w:themeColor="accent4" w:themeTint="BF"/>
          <w:insideH w:val="nil"/>
          <w:insideV w:val="nil"/>
        </w:tcBorders>
        <w:shd w:val="clear" w:color="auto" w:fill="F1A882" w:themeFill="accent4"/>
      </w:tcPr>
    </w:tblStylePr>
    <w:tblStylePr w:type="lastRow">
      <w:pPr>
        <w:spacing w:before="0" w:after="0" w:line="240" w:lineRule="auto"/>
      </w:pPr>
      <w:rPr>
        <w:b/>
        <w:bCs/>
      </w:rPr>
      <w:tblPr/>
      <w:tcPr>
        <w:tcBorders>
          <w:top w:val="double" w:sz="6" w:space="0" w:color="F4BDA1" w:themeColor="accent4" w:themeTint="BF"/>
          <w:left w:val="single" w:sz="8" w:space="0" w:color="F4BDA1" w:themeColor="accent4" w:themeTint="BF"/>
          <w:bottom w:val="single" w:sz="8" w:space="0" w:color="F4BDA1" w:themeColor="accent4" w:themeTint="BF"/>
          <w:right w:val="single" w:sz="8" w:space="0" w:color="F4BDA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9DF" w:themeFill="accent4" w:themeFillTint="3F"/>
      </w:tcPr>
    </w:tblStylePr>
    <w:tblStylePr w:type="band1Horz">
      <w:tblPr/>
      <w:tcPr>
        <w:tcBorders>
          <w:insideH w:val="nil"/>
          <w:insideV w:val="nil"/>
        </w:tcBorders>
        <w:shd w:val="clear" w:color="auto" w:fill="FBE9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162C2"/>
    <w:pPr>
      <w:spacing w:before="0"/>
    </w:pPr>
    <w:tblPr>
      <w:tblStyleRowBandSize w:val="1"/>
      <w:tblStyleColBandSize w:val="1"/>
      <w:tblBorders>
        <w:top w:val="single" w:sz="8" w:space="0" w:color="F7D4B2" w:themeColor="accent5" w:themeTint="BF"/>
        <w:left w:val="single" w:sz="8" w:space="0" w:color="F7D4B2" w:themeColor="accent5" w:themeTint="BF"/>
        <w:bottom w:val="single" w:sz="8" w:space="0" w:color="F7D4B2" w:themeColor="accent5" w:themeTint="BF"/>
        <w:right w:val="single" w:sz="8" w:space="0" w:color="F7D4B2" w:themeColor="accent5" w:themeTint="BF"/>
        <w:insideH w:val="single" w:sz="8" w:space="0" w:color="F7D4B2" w:themeColor="accent5" w:themeTint="BF"/>
      </w:tblBorders>
    </w:tblPr>
    <w:tblStylePr w:type="firstRow">
      <w:pPr>
        <w:spacing w:before="0" w:after="0" w:line="240" w:lineRule="auto"/>
      </w:pPr>
      <w:rPr>
        <w:b/>
        <w:bCs/>
        <w:color w:val="FFFFFF" w:themeColor="background1"/>
      </w:rPr>
      <w:tblPr/>
      <w:tcPr>
        <w:tcBorders>
          <w:top w:val="single" w:sz="8" w:space="0" w:color="F7D4B2" w:themeColor="accent5" w:themeTint="BF"/>
          <w:left w:val="single" w:sz="8" w:space="0" w:color="F7D4B2" w:themeColor="accent5" w:themeTint="BF"/>
          <w:bottom w:val="single" w:sz="8" w:space="0" w:color="F7D4B2" w:themeColor="accent5" w:themeTint="BF"/>
          <w:right w:val="single" w:sz="8" w:space="0" w:color="F7D4B2" w:themeColor="accent5" w:themeTint="BF"/>
          <w:insideH w:val="nil"/>
          <w:insideV w:val="nil"/>
        </w:tcBorders>
        <w:shd w:val="clear" w:color="auto" w:fill="F5C799" w:themeFill="accent5"/>
      </w:tcPr>
    </w:tblStylePr>
    <w:tblStylePr w:type="lastRow">
      <w:pPr>
        <w:spacing w:before="0" w:after="0" w:line="240" w:lineRule="auto"/>
      </w:pPr>
      <w:rPr>
        <w:b/>
        <w:bCs/>
      </w:rPr>
      <w:tblPr/>
      <w:tcPr>
        <w:tcBorders>
          <w:top w:val="double" w:sz="6" w:space="0" w:color="F7D4B2" w:themeColor="accent5" w:themeTint="BF"/>
          <w:left w:val="single" w:sz="8" w:space="0" w:color="F7D4B2" w:themeColor="accent5" w:themeTint="BF"/>
          <w:bottom w:val="single" w:sz="8" w:space="0" w:color="F7D4B2" w:themeColor="accent5" w:themeTint="BF"/>
          <w:right w:val="single" w:sz="8" w:space="0" w:color="F7D4B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F0E5" w:themeFill="accent5" w:themeFillTint="3F"/>
      </w:tcPr>
    </w:tblStylePr>
    <w:tblStylePr w:type="band1Horz">
      <w:tblPr/>
      <w:tcPr>
        <w:tcBorders>
          <w:insideH w:val="nil"/>
          <w:insideV w:val="nil"/>
        </w:tcBorders>
        <w:shd w:val="clear" w:color="auto" w:fill="FCF0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162C2"/>
    <w:pPr>
      <w:spacing w:before="0"/>
    </w:pPr>
    <w:tblPr>
      <w:tblStyleRowBandSize w:val="1"/>
      <w:tblStyleColBandSize w:val="1"/>
      <w:tblBorders>
        <w:top w:val="single" w:sz="8" w:space="0" w:color="FDEFD8" w:themeColor="accent6" w:themeTint="BF"/>
        <w:left w:val="single" w:sz="8" w:space="0" w:color="FDEFD8" w:themeColor="accent6" w:themeTint="BF"/>
        <w:bottom w:val="single" w:sz="8" w:space="0" w:color="FDEFD8" w:themeColor="accent6" w:themeTint="BF"/>
        <w:right w:val="single" w:sz="8" w:space="0" w:color="FDEFD8" w:themeColor="accent6" w:themeTint="BF"/>
        <w:insideH w:val="single" w:sz="8" w:space="0" w:color="FDEFD8" w:themeColor="accent6" w:themeTint="BF"/>
      </w:tblBorders>
    </w:tblPr>
    <w:tblStylePr w:type="firstRow">
      <w:pPr>
        <w:spacing w:before="0" w:after="0" w:line="240" w:lineRule="auto"/>
      </w:pPr>
      <w:rPr>
        <w:b/>
        <w:bCs/>
        <w:color w:val="FFFFFF" w:themeColor="background1"/>
      </w:rPr>
      <w:tblPr/>
      <w:tcPr>
        <w:tcBorders>
          <w:top w:val="single" w:sz="8" w:space="0" w:color="FDEFD8" w:themeColor="accent6" w:themeTint="BF"/>
          <w:left w:val="single" w:sz="8" w:space="0" w:color="FDEFD8" w:themeColor="accent6" w:themeTint="BF"/>
          <w:bottom w:val="single" w:sz="8" w:space="0" w:color="FDEFD8" w:themeColor="accent6" w:themeTint="BF"/>
          <w:right w:val="single" w:sz="8" w:space="0" w:color="FDEFD8" w:themeColor="accent6" w:themeTint="BF"/>
          <w:insideH w:val="nil"/>
          <w:insideV w:val="nil"/>
        </w:tcBorders>
        <w:shd w:val="clear" w:color="auto" w:fill="FDEACC" w:themeFill="accent6"/>
      </w:tcPr>
    </w:tblStylePr>
    <w:tblStylePr w:type="lastRow">
      <w:pPr>
        <w:spacing w:before="0" w:after="0" w:line="240" w:lineRule="auto"/>
      </w:pPr>
      <w:rPr>
        <w:b/>
        <w:bCs/>
      </w:rPr>
      <w:tblPr/>
      <w:tcPr>
        <w:tcBorders>
          <w:top w:val="double" w:sz="6" w:space="0" w:color="FDEFD8" w:themeColor="accent6" w:themeTint="BF"/>
          <w:left w:val="single" w:sz="8" w:space="0" w:color="FDEFD8" w:themeColor="accent6" w:themeTint="BF"/>
          <w:bottom w:val="single" w:sz="8" w:space="0" w:color="FDEFD8" w:themeColor="accent6" w:themeTint="BF"/>
          <w:right w:val="single" w:sz="8" w:space="0" w:color="FDEFD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9F2" w:themeFill="accent6" w:themeFillTint="3F"/>
      </w:tcPr>
    </w:tblStylePr>
    <w:tblStylePr w:type="band1Horz">
      <w:tblPr/>
      <w:tcPr>
        <w:tcBorders>
          <w:insideH w:val="nil"/>
          <w:insideV w:val="nil"/>
        </w:tcBorders>
        <w:shd w:val="clear" w:color="auto" w:fill="FEF9F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162C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162C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20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5205" w:themeFill="accent1"/>
      </w:tcPr>
    </w:tblStylePr>
    <w:tblStylePr w:type="lastCol">
      <w:rPr>
        <w:b/>
        <w:bCs/>
        <w:color w:val="FFFFFF" w:themeColor="background1"/>
      </w:rPr>
      <w:tblPr/>
      <w:tcPr>
        <w:tcBorders>
          <w:left w:val="nil"/>
          <w:right w:val="nil"/>
          <w:insideH w:val="nil"/>
          <w:insideV w:val="nil"/>
        </w:tcBorders>
        <w:shd w:val="clear" w:color="auto" w:fill="E3520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162C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72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7200" w:themeFill="accent2"/>
      </w:tcPr>
    </w:tblStylePr>
    <w:tblStylePr w:type="lastCol">
      <w:rPr>
        <w:b/>
        <w:bCs/>
        <w:color w:val="FFFFFF" w:themeColor="background1"/>
      </w:rPr>
      <w:tblPr/>
      <w:tcPr>
        <w:tcBorders>
          <w:left w:val="nil"/>
          <w:right w:val="nil"/>
          <w:insideH w:val="nil"/>
          <w:insideV w:val="nil"/>
        </w:tcBorders>
        <w:shd w:val="clear" w:color="auto" w:fill="E572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162C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496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49600" w:themeFill="accent3"/>
      </w:tcPr>
    </w:tblStylePr>
    <w:tblStylePr w:type="lastCol">
      <w:rPr>
        <w:b/>
        <w:bCs/>
        <w:color w:val="FFFFFF" w:themeColor="background1"/>
      </w:rPr>
      <w:tblPr/>
      <w:tcPr>
        <w:tcBorders>
          <w:left w:val="nil"/>
          <w:right w:val="nil"/>
          <w:insideH w:val="nil"/>
          <w:insideV w:val="nil"/>
        </w:tcBorders>
        <w:shd w:val="clear" w:color="auto" w:fill="F496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162C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A88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A882" w:themeFill="accent4"/>
      </w:tcPr>
    </w:tblStylePr>
    <w:tblStylePr w:type="lastCol">
      <w:rPr>
        <w:b/>
        <w:bCs/>
        <w:color w:val="FFFFFF" w:themeColor="background1"/>
      </w:rPr>
      <w:tblPr/>
      <w:tcPr>
        <w:tcBorders>
          <w:left w:val="nil"/>
          <w:right w:val="nil"/>
          <w:insideH w:val="nil"/>
          <w:insideV w:val="nil"/>
        </w:tcBorders>
        <w:shd w:val="clear" w:color="auto" w:fill="F1A88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162C2"/>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AC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ACC" w:themeFill="accent6"/>
      </w:tcPr>
    </w:tblStylePr>
    <w:tblStylePr w:type="lastCol">
      <w:rPr>
        <w:b/>
        <w:bCs/>
        <w:color w:val="FFFFFF" w:themeColor="background1"/>
      </w:rPr>
      <w:tblPr/>
      <w:tcPr>
        <w:tcBorders>
          <w:left w:val="nil"/>
          <w:right w:val="nil"/>
          <w:insideH w:val="nil"/>
          <w:insideV w:val="nil"/>
        </w:tcBorders>
        <w:shd w:val="clear" w:color="auto" w:fill="FDEAC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162C2"/>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162C2"/>
    <w:rPr>
      <w:rFonts w:asciiTheme="majorHAnsi" w:eastAsiaTheme="majorEastAsia" w:hAnsiTheme="majorHAnsi" w:cstheme="majorBidi"/>
      <w:spacing w:val="2"/>
      <w:sz w:val="24"/>
      <w:szCs w:val="24"/>
      <w:shd w:val="pct20" w:color="auto" w:fill="auto"/>
      <w:lang w:eastAsia="en-AU"/>
    </w:rPr>
  </w:style>
  <w:style w:type="paragraph" w:styleId="NoSpacing">
    <w:name w:val="No Spacing"/>
    <w:uiPriority w:val="1"/>
    <w:rsid w:val="00A162C2"/>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
    <w:qFormat/>
    <w:rsid w:val="00A162C2"/>
    <w:pPr>
      <w:ind w:left="792"/>
    </w:pPr>
  </w:style>
  <w:style w:type="paragraph" w:styleId="NoteHeading">
    <w:name w:val="Note Heading"/>
    <w:basedOn w:val="Normal"/>
    <w:next w:val="Normal"/>
    <w:link w:val="NoteHeadingChar"/>
    <w:uiPriority w:val="99"/>
    <w:semiHidden/>
    <w:unhideWhenUsed/>
    <w:rsid w:val="00A162C2"/>
    <w:pPr>
      <w:spacing w:before="0"/>
    </w:pPr>
  </w:style>
  <w:style w:type="character" w:customStyle="1" w:styleId="NoteHeadingChar">
    <w:name w:val="Note Heading Char"/>
    <w:basedOn w:val="DefaultParagraphFont"/>
    <w:link w:val="NoteHeading"/>
    <w:uiPriority w:val="99"/>
    <w:semiHidden/>
    <w:rsid w:val="00A162C2"/>
    <w:rPr>
      <w:rFonts w:eastAsiaTheme="minorEastAsia"/>
      <w:spacing w:val="2"/>
      <w:lang w:eastAsia="en-AU"/>
    </w:rPr>
  </w:style>
  <w:style w:type="character" w:styleId="PlaceholderText">
    <w:name w:val="Placeholder Text"/>
    <w:basedOn w:val="DefaultParagraphFont"/>
    <w:uiPriority w:val="99"/>
    <w:semiHidden/>
    <w:rsid w:val="00A162C2"/>
    <w:rPr>
      <w:color w:val="808080"/>
    </w:rPr>
  </w:style>
  <w:style w:type="paragraph" w:styleId="PlainText">
    <w:name w:val="Plain Text"/>
    <w:basedOn w:val="Normal"/>
    <w:link w:val="PlainTextChar"/>
    <w:uiPriority w:val="99"/>
    <w:semiHidden/>
    <w:unhideWhenUsed/>
    <w:rsid w:val="00A162C2"/>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A162C2"/>
    <w:rPr>
      <w:rFonts w:ascii="Consolas" w:eastAsiaTheme="minorEastAsia" w:hAnsi="Consolas" w:cs="Consolas"/>
      <w:spacing w:val="2"/>
      <w:sz w:val="21"/>
      <w:szCs w:val="21"/>
      <w:lang w:eastAsia="en-AU"/>
    </w:rPr>
  </w:style>
  <w:style w:type="paragraph" w:styleId="Quote">
    <w:name w:val="Quote"/>
    <w:basedOn w:val="Normal"/>
    <w:next w:val="Normal"/>
    <w:link w:val="QuoteChar"/>
    <w:uiPriority w:val="69"/>
    <w:rsid w:val="00A162C2"/>
    <w:pPr>
      <w:spacing w:before="320" w:after="320" w:line="240" w:lineRule="auto"/>
      <w:jc w:val="center"/>
    </w:pPr>
    <w:rPr>
      <w:i/>
      <w:iCs/>
      <w:color w:val="000000" w:themeColor="text1"/>
    </w:rPr>
  </w:style>
  <w:style w:type="character" w:customStyle="1" w:styleId="QuoteChar">
    <w:name w:val="Quote Char"/>
    <w:basedOn w:val="DefaultParagraphFont"/>
    <w:link w:val="Quote"/>
    <w:uiPriority w:val="69"/>
    <w:rsid w:val="00A162C2"/>
    <w:rPr>
      <w:rFonts w:eastAsiaTheme="minorEastAsia"/>
      <w:i/>
      <w:iCs/>
      <w:color w:val="000000" w:themeColor="text1"/>
      <w:spacing w:val="2"/>
      <w:lang w:eastAsia="en-AU"/>
    </w:rPr>
  </w:style>
  <w:style w:type="paragraph" w:styleId="Salutation">
    <w:name w:val="Salutation"/>
    <w:basedOn w:val="Normal"/>
    <w:next w:val="Normal"/>
    <w:link w:val="SalutationChar"/>
    <w:uiPriority w:val="99"/>
    <w:semiHidden/>
    <w:unhideWhenUsed/>
    <w:rsid w:val="00A162C2"/>
  </w:style>
  <w:style w:type="character" w:customStyle="1" w:styleId="SalutationChar">
    <w:name w:val="Salutation Char"/>
    <w:basedOn w:val="DefaultParagraphFont"/>
    <w:link w:val="Salutation"/>
    <w:uiPriority w:val="99"/>
    <w:semiHidden/>
    <w:rsid w:val="00A162C2"/>
    <w:rPr>
      <w:rFonts w:eastAsiaTheme="minorEastAsia"/>
      <w:spacing w:val="2"/>
      <w:lang w:eastAsia="en-AU"/>
    </w:rPr>
  </w:style>
  <w:style w:type="paragraph" w:styleId="Signature">
    <w:name w:val="Signature"/>
    <w:basedOn w:val="Normal"/>
    <w:link w:val="SignatureChar"/>
    <w:uiPriority w:val="99"/>
    <w:semiHidden/>
    <w:unhideWhenUsed/>
    <w:rsid w:val="00A162C2"/>
    <w:pPr>
      <w:spacing w:before="0"/>
      <w:ind w:left="4252"/>
    </w:pPr>
  </w:style>
  <w:style w:type="character" w:customStyle="1" w:styleId="SignatureChar">
    <w:name w:val="Signature Char"/>
    <w:basedOn w:val="DefaultParagraphFont"/>
    <w:link w:val="Signature"/>
    <w:uiPriority w:val="99"/>
    <w:semiHidden/>
    <w:rsid w:val="00A162C2"/>
    <w:rPr>
      <w:rFonts w:eastAsiaTheme="minorEastAsia"/>
      <w:spacing w:val="2"/>
      <w:lang w:eastAsia="en-AU"/>
    </w:rPr>
  </w:style>
  <w:style w:type="character" w:styleId="Strong">
    <w:name w:val="Strong"/>
    <w:basedOn w:val="DefaultParagraphFont"/>
    <w:uiPriority w:val="98"/>
    <w:semiHidden/>
    <w:rsid w:val="00A162C2"/>
    <w:rPr>
      <w:b/>
      <w:bCs/>
    </w:rPr>
  </w:style>
  <w:style w:type="paragraph" w:styleId="Subtitle">
    <w:name w:val="Subtitle"/>
    <w:next w:val="Normal"/>
    <w:link w:val="SubtitleChar"/>
    <w:uiPriority w:val="99"/>
    <w:rsid w:val="00845213"/>
    <w:pPr>
      <w:spacing w:before="0" w:after="120" w:line="440" w:lineRule="exact"/>
    </w:pPr>
    <w:rPr>
      <w:rFonts w:ascii="Arial Black" w:eastAsia="Times New Roman" w:hAnsi="Arial Black" w:cstheme="majorHAnsi"/>
      <w:b/>
      <w:caps/>
      <w:color w:val="E57200" w:themeColor="accent2"/>
      <w:spacing w:val="2"/>
      <w:sz w:val="44"/>
      <w:szCs w:val="44"/>
      <w:lang w:eastAsia="en-AU"/>
    </w:rPr>
  </w:style>
  <w:style w:type="character" w:customStyle="1" w:styleId="SubtitleChar">
    <w:name w:val="Subtitle Char"/>
    <w:basedOn w:val="DefaultParagraphFont"/>
    <w:link w:val="Subtitle"/>
    <w:uiPriority w:val="99"/>
    <w:rsid w:val="00845213"/>
    <w:rPr>
      <w:rFonts w:ascii="Arial Black" w:eastAsia="Times New Roman" w:hAnsi="Arial Black" w:cstheme="majorHAnsi"/>
      <w:b/>
      <w:caps/>
      <w:color w:val="E57200" w:themeColor="accent2"/>
      <w:spacing w:val="2"/>
      <w:sz w:val="44"/>
      <w:szCs w:val="44"/>
      <w:lang w:eastAsia="en-AU"/>
    </w:rPr>
  </w:style>
  <w:style w:type="character" w:styleId="SubtleReference">
    <w:name w:val="Subtle Reference"/>
    <w:basedOn w:val="DefaultParagraphFont"/>
    <w:uiPriority w:val="31"/>
    <w:semiHidden/>
    <w:rsid w:val="00A162C2"/>
    <w:rPr>
      <w:smallCaps/>
      <w:color w:val="E57200" w:themeColor="accent2"/>
      <w:u w:val="single"/>
    </w:rPr>
  </w:style>
  <w:style w:type="table" w:styleId="Table3Deffects1">
    <w:name w:val="Table 3D effects 1"/>
    <w:basedOn w:val="TableNormal"/>
    <w:uiPriority w:val="99"/>
    <w:semiHidden/>
    <w:unhideWhenUsed/>
    <w:rsid w:val="00A162C2"/>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162C2"/>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162C2"/>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162C2"/>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162C2"/>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162C2"/>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162C2"/>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162C2"/>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162C2"/>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162C2"/>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162C2"/>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162C2"/>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162C2"/>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162C2"/>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162C2"/>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162C2"/>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162C2"/>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162C2"/>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162C2"/>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162C2"/>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162C2"/>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162C2"/>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162C2"/>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162C2"/>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162C2"/>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162C2"/>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162C2"/>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162C2"/>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162C2"/>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162C2"/>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162C2"/>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162C2"/>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162C2"/>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162C2"/>
    <w:pPr>
      <w:ind w:left="220" w:hanging="220"/>
    </w:pPr>
  </w:style>
  <w:style w:type="paragraph" w:styleId="TableofFigures">
    <w:name w:val="table of figures"/>
    <w:basedOn w:val="Normal"/>
    <w:next w:val="Normal"/>
    <w:uiPriority w:val="99"/>
    <w:semiHidden/>
    <w:unhideWhenUsed/>
    <w:rsid w:val="00A162C2"/>
  </w:style>
  <w:style w:type="table" w:styleId="TableProfessional">
    <w:name w:val="Table Professional"/>
    <w:basedOn w:val="TableNormal"/>
    <w:uiPriority w:val="99"/>
    <w:semiHidden/>
    <w:unhideWhenUsed/>
    <w:rsid w:val="00A162C2"/>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162C2"/>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162C2"/>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162C2"/>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162C2"/>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162C2"/>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162C2"/>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162C2"/>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162C2"/>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162C2"/>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Subtitle"/>
    <w:link w:val="TitleChar"/>
    <w:uiPriority w:val="99"/>
    <w:rsid w:val="00A162C2"/>
    <w:pPr>
      <w:spacing w:before="500" w:after="300" w:line="252" w:lineRule="auto"/>
    </w:pPr>
    <w:rPr>
      <w:rFonts w:asciiTheme="majorHAnsi" w:eastAsia="Times New Roman" w:hAnsiTheme="majorHAnsi" w:cstheme="majorHAnsi"/>
      <w:color w:val="000000" w:themeColor="text1"/>
      <w:spacing w:val="-2"/>
      <w:sz w:val="52"/>
      <w:szCs w:val="22"/>
      <w:lang w:eastAsia="en-AU"/>
    </w:rPr>
  </w:style>
  <w:style w:type="character" w:customStyle="1" w:styleId="TitleChar">
    <w:name w:val="Title Char"/>
    <w:basedOn w:val="DefaultParagraphFont"/>
    <w:link w:val="Title"/>
    <w:uiPriority w:val="99"/>
    <w:rsid w:val="00A162C2"/>
    <w:rPr>
      <w:rFonts w:asciiTheme="majorHAnsi" w:eastAsia="Times New Roman" w:hAnsiTheme="majorHAnsi" w:cstheme="majorHAnsi"/>
      <w:color w:val="000000" w:themeColor="text1"/>
      <w:spacing w:val="-2"/>
      <w:sz w:val="52"/>
      <w:szCs w:val="22"/>
      <w:lang w:eastAsia="en-AU"/>
    </w:rPr>
  </w:style>
  <w:style w:type="paragraph" w:styleId="TOAHeading">
    <w:name w:val="toa heading"/>
    <w:basedOn w:val="Normal"/>
    <w:next w:val="Normal"/>
    <w:uiPriority w:val="99"/>
    <w:semiHidden/>
    <w:unhideWhenUsed/>
    <w:rsid w:val="00A162C2"/>
    <w:rPr>
      <w:rFonts w:asciiTheme="majorHAnsi" w:eastAsiaTheme="majorEastAsia" w:hAnsiTheme="majorHAnsi" w:cstheme="majorBidi"/>
      <w:b/>
      <w:bCs/>
      <w:sz w:val="24"/>
      <w:szCs w:val="24"/>
    </w:rPr>
  </w:style>
  <w:style w:type="paragraph" w:styleId="TOC5">
    <w:name w:val="toc 5"/>
    <w:basedOn w:val="TOC2"/>
    <w:next w:val="Normal"/>
    <w:uiPriority w:val="39"/>
    <w:rsid w:val="00A162C2"/>
    <w:pPr>
      <w:ind w:left="1080" w:hanging="634"/>
    </w:pPr>
    <w:rPr>
      <w:lang w:eastAsia="en-US"/>
    </w:rPr>
  </w:style>
  <w:style w:type="paragraph" w:styleId="TOC6">
    <w:name w:val="toc 6"/>
    <w:basedOn w:val="TOC3"/>
    <w:next w:val="Normal"/>
    <w:uiPriority w:val="39"/>
    <w:rsid w:val="00A162C2"/>
    <w:pPr>
      <w:ind w:left="1800" w:hanging="720"/>
    </w:pPr>
    <w:rPr>
      <w:lang w:eastAsia="en-US"/>
    </w:rPr>
  </w:style>
  <w:style w:type="paragraph" w:styleId="TOC8">
    <w:name w:val="toc 8"/>
    <w:basedOn w:val="Normal"/>
    <w:next w:val="Normal"/>
    <w:autoRedefine/>
    <w:uiPriority w:val="96"/>
    <w:rsid w:val="00A162C2"/>
    <w:pPr>
      <w:ind w:left="1540"/>
    </w:pPr>
  </w:style>
  <w:style w:type="paragraph" w:styleId="TOCHeading">
    <w:name w:val="TOC Heading"/>
    <w:basedOn w:val="Heading1"/>
    <w:next w:val="Normal"/>
    <w:uiPriority w:val="39"/>
    <w:rsid w:val="00A162C2"/>
    <w:pPr>
      <w:spacing w:before="480" w:after="720"/>
      <w:outlineLvl w:val="9"/>
    </w:pPr>
    <w:rPr>
      <w:spacing w:val="2"/>
    </w:rPr>
  </w:style>
  <w:style w:type="table" w:customStyle="1" w:styleId="DTFTextTable">
    <w:name w:val="DTF Text Table"/>
    <w:basedOn w:val="DTFTable"/>
    <w:uiPriority w:val="99"/>
    <w:rsid w:val="004E6541"/>
    <w:pPr>
      <w:spacing w:before="120" w:after="60" w:line="240" w:lineRule="auto"/>
      <w:jc w:val="left"/>
    </w:pPr>
    <w:rPr>
      <w:sz w:val="18"/>
    </w:rPr>
    <w:tblPr>
      <w:tblBorders>
        <w:bottom w:val="single" w:sz="8" w:space="0" w:color="E35205" w:themeColor="accent1"/>
      </w:tblBorders>
    </w:tblPr>
    <w:tblStylePr w:type="firstRow">
      <w:pPr>
        <w:wordWrap/>
        <w:spacing w:beforeLines="0" w:before="20" w:beforeAutospacing="0" w:afterLines="0" w:after="20" w:afterAutospacing="0" w:line="264" w:lineRule="auto"/>
        <w:jc w:val="left"/>
      </w:pPr>
      <w:rPr>
        <w:b/>
        <w:i w:val="0"/>
        <w:color w:val="FFFFFF" w:themeColor="background1"/>
      </w:rPr>
      <w:tblPr/>
      <w:trPr>
        <w:cantSplit w:val="0"/>
      </w:trPr>
      <w:tcPr>
        <w:tcBorders>
          <w:top w:val="single" w:sz="8" w:space="0" w:color="E35205" w:themeColor="accent1"/>
          <w:left w:val="nil"/>
          <w:bottom w:val="single" w:sz="8" w:space="0" w:color="E35205" w:themeColor="accent1"/>
          <w:right w:val="nil"/>
          <w:insideH w:val="nil"/>
          <w:insideV w:val="nil"/>
          <w:tl2br w:val="nil"/>
          <w:tr2bl w:val="nil"/>
        </w:tcBorders>
        <w:shd w:val="clear" w:color="auto" w:fill="E57200" w:themeFill="accent2"/>
        <w:vAlign w:val="bottom"/>
      </w:tcPr>
    </w:tblStylePr>
    <w:tblStylePr w:type="lastRow">
      <w:rPr>
        <w:b/>
      </w:rPr>
      <w:tblPr/>
      <w:tcPr>
        <w:tcBorders>
          <w:top w:val="single" w:sz="6" w:space="0" w:color="000000" w:themeColor="text1"/>
          <w:left w:val="nil"/>
          <w:bottom w:val="single" w:sz="8" w:space="0" w:color="000000" w:themeColor="text1"/>
          <w:right w:val="nil"/>
          <w:insideH w:val="nil"/>
          <w:insideV w:val="nil"/>
          <w:tl2br w:val="nil"/>
          <w:tr2bl w:val="nil"/>
        </w:tcBorders>
      </w:tcPr>
    </w:tblStylePr>
    <w:tblStylePr w:type="firstCol">
      <w:pPr>
        <w:wordWrap/>
        <w:spacing w:line="240" w:lineRule="auto"/>
        <w:ind w:leftChars="0" w:left="0"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A162C2"/>
    <w:rPr>
      <w:rFonts w:asciiTheme="majorHAnsi" w:eastAsiaTheme="minorEastAsia" w:hAnsiTheme="majorHAnsi"/>
      <w:noProof/>
      <w:spacing w:val="2"/>
      <w:sz w:val="18"/>
      <w:szCs w:val="18"/>
      <w:lang w:eastAsia="en-AU"/>
    </w:rPr>
  </w:style>
  <w:style w:type="paragraph" w:customStyle="1" w:styleId="ObjectiveHeading">
    <w:name w:val="Objective Heading"/>
    <w:basedOn w:val="Normal"/>
    <w:next w:val="Normal"/>
    <w:uiPriority w:val="62"/>
    <w:semiHidden/>
    <w:qFormat/>
    <w:rsid w:val="00A162C2"/>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table" w:customStyle="1" w:styleId="CalloutBox">
    <w:name w:val="Callout Box"/>
    <w:basedOn w:val="TableNormal"/>
    <w:uiPriority w:val="99"/>
    <w:rsid w:val="00A162C2"/>
    <w:pPr>
      <w:spacing w:before="0" w:after="0" w:line="240" w:lineRule="auto"/>
    </w:pPr>
    <w:tblPr>
      <w:tblCellMar>
        <w:left w:w="0" w:type="dxa"/>
        <w:right w:w="0" w:type="dxa"/>
      </w:tblCellMar>
    </w:tblPr>
    <w:tblStylePr w:type="firstCol">
      <w:pPr>
        <w:wordWrap/>
        <w:ind w:rightChars="0" w:right="397"/>
      </w:pPr>
    </w:tblStylePr>
    <w:tblStylePr w:type="lastCol">
      <w:pPr>
        <w:wordWrap/>
        <w:spacing w:beforeLines="0" w:before="120" w:beforeAutospacing="0" w:afterLines="0" w:after="120" w:afterAutospacing="0" w:line="312" w:lineRule="auto"/>
        <w:ind w:leftChars="0" w:left="284" w:rightChars="0" w:right="284"/>
      </w:pPr>
      <w:rPr>
        <w:i/>
        <w:color w:val="E57200" w:themeColor="accent2"/>
        <w:sz w:val="16"/>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il"/>
          <w:insideV w:val="nil"/>
          <w:tl2br w:val="nil"/>
          <w:tr2bl w:val="nil"/>
        </w:tcBorders>
        <w:shd w:val="clear" w:color="auto" w:fill="F2F2F2"/>
      </w:tcPr>
    </w:tblStylePr>
  </w:style>
  <w:style w:type="table" w:customStyle="1" w:styleId="HighlightBox">
    <w:name w:val="Highlight Box"/>
    <w:basedOn w:val="TableNormal"/>
    <w:uiPriority w:val="99"/>
    <w:rsid w:val="00A162C2"/>
    <w:pPr>
      <w:spacing w:before="0" w:after="0" w:line="240" w:lineRule="auto"/>
    </w:pPr>
    <w:tblPr>
      <w:tblBorders>
        <w:top w:val="single" w:sz="8" w:space="0" w:color="53565A" w:themeColor="text2"/>
        <w:left w:val="single" w:sz="8" w:space="0" w:color="53565A" w:themeColor="text2"/>
        <w:bottom w:val="single" w:sz="8" w:space="0" w:color="53565A" w:themeColor="text2"/>
        <w:right w:val="single" w:sz="8" w:space="0" w:color="53565A" w:themeColor="text2"/>
      </w:tblBorders>
      <w:tblCellMar>
        <w:top w:w="113" w:type="dxa"/>
        <w:bottom w:w="113" w:type="dxa"/>
      </w:tblCellMar>
    </w:tblPr>
    <w:tcPr>
      <w:shd w:val="clear" w:color="auto" w:fill="CCE3F5"/>
    </w:tcPr>
  </w:style>
  <w:style w:type="paragraph" w:customStyle="1" w:styleId="Tabletextgreen">
    <w:name w:val="Table text green"/>
    <w:basedOn w:val="Normal"/>
    <w:link w:val="TabletextgreenChar"/>
    <w:rsid w:val="005371EE"/>
    <w:pPr>
      <w:keepNext/>
      <w:spacing w:before="60" w:after="60" w:line="240" w:lineRule="auto"/>
    </w:pPr>
    <w:rPr>
      <w:rFonts w:ascii="Arial" w:eastAsia="Times" w:hAnsi="Arial" w:cs="Times New Roman"/>
      <w:bCs/>
      <w:color w:val="007D4B"/>
      <w:sz w:val="18"/>
    </w:rPr>
  </w:style>
  <w:style w:type="character" w:customStyle="1" w:styleId="TabletextgreenChar">
    <w:name w:val="Table text green Char"/>
    <w:link w:val="Tabletextgreen"/>
    <w:rsid w:val="005371EE"/>
    <w:rPr>
      <w:rFonts w:ascii="Arial" w:eastAsia="Times" w:hAnsi="Arial" w:cs="Times New Roman"/>
      <w:bCs/>
      <w:color w:val="007D4B"/>
      <w:spacing w:val="2"/>
      <w:sz w:val="18"/>
      <w:lang w:eastAsia="en-AU"/>
    </w:rPr>
  </w:style>
  <w:style w:type="paragraph" w:customStyle="1" w:styleId="Tabletextred">
    <w:name w:val="Table text red"/>
    <w:basedOn w:val="Normal"/>
    <w:link w:val="TabletextredChar"/>
    <w:rsid w:val="005371EE"/>
    <w:pPr>
      <w:keepNext/>
      <w:spacing w:before="60" w:after="60" w:line="240" w:lineRule="auto"/>
    </w:pPr>
    <w:rPr>
      <w:rFonts w:ascii="Arial Bold" w:eastAsia="Times" w:hAnsi="Arial Bold" w:cs="Times New Roman"/>
      <w:bCs/>
      <w:color w:val="AF272F"/>
      <w:sz w:val="18"/>
    </w:rPr>
  </w:style>
  <w:style w:type="character" w:customStyle="1" w:styleId="TabletextredChar">
    <w:name w:val="Table text red Char"/>
    <w:link w:val="Tabletextred"/>
    <w:rsid w:val="005371EE"/>
    <w:rPr>
      <w:rFonts w:ascii="Arial Bold" w:eastAsia="Times" w:hAnsi="Arial Bold" w:cs="Times New Roman"/>
      <w:bCs/>
      <w:color w:val="AF272F"/>
      <w:spacing w:val="2"/>
      <w:sz w:val="18"/>
      <w:lang w:eastAsia="en-AU"/>
    </w:rPr>
  </w:style>
  <w:style w:type="paragraph" w:customStyle="1" w:styleId="Tabletextorange">
    <w:name w:val="Table text orange"/>
    <w:basedOn w:val="Normal"/>
    <w:link w:val="TabletextorangeChar"/>
    <w:rsid w:val="005371EE"/>
    <w:pPr>
      <w:keepNext/>
      <w:spacing w:before="60" w:after="60" w:line="240" w:lineRule="auto"/>
    </w:pPr>
    <w:rPr>
      <w:rFonts w:ascii="Arial Bold" w:eastAsia="Times" w:hAnsi="Arial Bold" w:cs="Times New Roman"/>
      <w:bCs/>
      <w:color w:val="E35205" w:themeColor="accent1"/>
      <w:sz w:val="18"/>
    </w:rPr>
  </w:style>
  <w:style w:type="character" w:customStyle="1" w:styleId="TabletextorangeChar">
    <w:name w:val="Table text orange Char"/>
    <w:link w:val="Tabletextorange"/>
    <w:rsid w:val="005371EE"/>
    <w:rPr>
      <w:rFonts w:ascii="Arial Bold" w:eastAsia="Times" w:hAnsi="Arial Bold" w:cs="Times New Roman"/>
      <w:bCs/>
      <w:color w:val="E35205" w:themeColor="accent1"/>
      <w:spacing w:val="2"/>
      <w:sz w:val="18"/>
      <w:lang w:eastAsia="en-AU"/>
    </w:rPr>
  </w:style>
  <w:style w:type="paragraph" w:customStyle="1" w:styleId="Spacer">
    <w:name w:val="Spacer"/>
    <w:basedOn w:val="Normal"/>
    <w:uiPriority w:val="13"/>
    <w:qFormat/>
    <w:rsid w:val="00A162C2"/>
    <w:pPr>
      <w:spacing w:before="0" w:after="0" w:line="120" w:lineRule="atLeast"/>
    </w:pPr>
    <w:rPr>
      <w:rFonts w:eastAsia="Times New Roman" w:cs="Calibri"/>
      <w:spacing w:val="0"/>
      <w:sz w:val="10"/>
      <w:szCs w:val="22"/>
    </w:rPr>
  </w:style>
  <w:style w:type="character" w:customStyle="1" w:styleId="UnresolvedMention1">
    <w:name w:val="Unresolved Mention1"/>
    <w:basedOn w:val="DefaultParagraphFont"/>
    <w:uiPriority w:val="99"/>
    <w:semiHidden/>
    <w:unhideWhenUsed/>
    <w:rsid w:val="00126278"/>
    <w:rPr>
      <w:color w:val="605E5C"/>
      <w:shd w:val="clear" w:color="auto" w:fill="E1DFDD"/>
    </w:rPr>
  </w:style>
  <w:style w:type="paragraph" w:customStyle="1" w:styleId="Bullet1">
    <w:name w:val="Bullet 1"/>
    <w:uiPriority w:val="1"/>
    <w:qFormat/>
    <w:rsid w:val="000008A1"/>
    <w:pPr>
      <w:numPr>
        <w:numId w:val="18"/>
      </w:numPr>
      <w:spacing w:before="100" w:line="240" w:lineRule="auto"/>
    </w:pPr>
    <w:rPr>
      <w:rFonts w:eastAsia="Times New Roman" w:cs="Calibri"/>
      <w:color w:val="000000" w:themeColor="text1"/>
      <w:spacing w:val="2"/>
      <w:lang w:eastAsia="en-AU"/>
    </w:rPr>
  </w:style>
  <w:style w:type="paragraph" w:customStyle="1" w:styleId="Bullet2">
    <w:name w:val="Bullet 2"/>
    <w:basedOn w:val="Bullet1"/>
    <w:uiPriority w:val="1"/>
    <w:qFormat/>
    <w:rsid w:val="00A162C2"/>
    <w:pPr>
      <w:numPr>
        <w:ilvl w:val="1"/>
      </w:numPr>
    </w:pPr>
  </w:style>
  <w:style w:type="paragraph" w:customStyle="1" w:styleId="Listnum">
    <w:name w:val="List num"/>
    <w:basedOn w:val="Normal"/>
    <w:uiPriority w:val="2"/>
    <w:qFormat/>
    <w:rsid w:val="00A162C2"/>
    <w:pPr>
      <w:numPr>
        <w:numId w:val="26"/>
      </w:numPr>
    </w:pPr>
  </w:style>
  <w:style w:type="paragraph" w:customStyle="1" w:styleId="Listnum2">
    <w:name w:val="List num 2"/>
    <w:basedOn w:val="Normal"/>
    <w:uiPriority w:val="2"/>
    <w:qFormat/>
    <w:rsid w:val="00A162C2"/>
    <w:pPr>
      <w:numPr>
        <w:ilvl w:val="1"/>
        <w:numId w:val="26"/>
      </w:numPr>
    </w:pPr>
  </w:style>
  <w:style w:type="paragraph" w:styleId="Revision">
    <w:name w:val="Revision"/>
    <w:hidden/>
    <w:uiPriority w:val="99"/>
    <w:semiHidden/>
    <w:rsid w:val="00862547"/>
    <w:pPr>
      <w:spacing w:before="0" w:after="0" w:line="240" w:lineRule="auto"/>
    </w:pPr>
  </w:style>
  <w:style w:type="paragraph" w:customStyle="1" w:styleId="Tabletext">
    <w:name w:val="Table text"/>
    <w:basedOn w:val="Normal"/>
    <w:uiPriority w:val="5"/>
    <w:qFormat/>
    <w:rsid w:val="00A5315C"/>
    <w:pPr>
      <w:spacing w:before="60" w:after="60"/>
    </w:pPr>
    <w:rPr>
      <w:sz w:val="17"/>
    </w:rPr>
  </w:style>
  <w:style w:type="paragraph" w:customStyle="1" w:styleId="Tabletextbold">
    <w:name w:val="Table text bold"/>
    <w:basedOn w:val="Tabletext"/>
    <w:qFormat/>
    <w:rsid w:val="00EB6073"/>
    <w:rPr>
      <w:rFonts w:eastAsiaTheme="minorHAnsi"/>
      <w:b/>
      <w:szCs w:val="21"/>
      <w:lang w:eastAsia="en-US"/>
    </w:rPr>
  </w:style>
  <w:style w:type="table" w:customStyle="1" w:styleId="DTFtexttable1">
    <w:name w:val="DTF text table1"/>
    <w:basedOn w:val="TableGrid"/>
    <w:uiPriority w:val="99"/>
    <w:rsid w:val="00EF49E9"/>
    <w:pPr>
      <w:spacing w:before="30" w:after="30"/>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tblHeader/>
      </w:trPr>
      <w:tcPr>
        <w:shd w:val="clear" w:color="auto" w:fill="E57200" w:themeFill="accent2"/>
        <w:vAlign w:val="bottom"/>
      </w:tcPr>
    </w:tblStylePr>
    <w:tblStylePr w:type="lastRow">
      <w:rPr>
        <w:b/>
      </w:rPr>
      <w:tblPr/>
      <w:tcPr>
        <w:tcBorders>
          <w:top w:val="single" w:sz="6" w:space="0" w:color="E35205" w:themeColor="accent1"/>
          <w:left w:val="nil"/>
          <w:bottom w:val="single" w:sz="12" w:space="0" w:color="E35205" w:themeColor="accent1"/>
          <w:right w:val="nil"/>
          <w:insideV w:val="nil"/>
        </w:tcBorders>
      </w:tcPr>
    </w:tblStylePr>
    <w:tblStylePr w:type="firstCol">
      <w:pPr>
        <w:jc w:val="left"/>
      </w:pPr>
      <w:tblPr/>
      <w:tcPr>
        <w:shd w:val="clear" w:color="auto" w:fill="FFEAC9"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FFEAC9"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TableGrid10">
    <w:name w:val="Table Grid1"/>
    <w:basedOn w:val="TableNormal"/>
    <w:next w:val="TableGrid"/>
    <w:uiPriority w:val="59"/>
    <w:rsid w:val="00A162C2"/>
    <w:pPr>
      <w:spacing w:before="0"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2B275D"/>
    <w:pPr>
      <w:spacing w:before="60" w:after="60" w:line="240" w:lineRule="auto"/>
      <w:jc w:val="right"/>
    </w:pPr>
    <w:rPr>
      <w:sz w:val="17"/>
      <w:szCs w:val="21"/>
    </w:rPr>
    <w:tblPr>
      <w:tblStyleRowBandSize w:val="1"/>
      <w:tblStyleColBandSize w:val="1"/>
      <w:tblBorders>
        <w:bottom w:val="single" w:sz="12" w:space="0" w:color="E35205"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E35205" w:themeFill="accent1"/>
        <w:vAlign w:val="bottom"/>
      </w:tcPr>
    </w:tblStylePr>
    <w:tblStylePr w:type="lastRow">
      <w:rPr>
        <w:b/>
      </w:rPr>
      <w:tblPr/>
      <w:tcPr>
        <w:tcBorders>
          <w:top w:val="single" w:sz="6" w:space="0" w:color="E35205" w:themeColor="accent1"/>
          <w:left w:val="nil"/>
          <w:bottom w:val="single" w:sz="12" w:space="0" w:color="E35205" w:themeColor="accent1"/>
          <w:right w:val="nil"/>
          <w:insideV w:val="nil"/>
        </w:tcBorders>
      </w:tcPr>
    </w:tblStylePr>
    <w:tblStylePr w:type="firstCol">
      <w:pPr>
        <w:jc w:val="left"/>
      </w:pPr>
      <w:tblPr/>
      <w:tcPr>
        <w:shd w:val="clear" w:color="auto" w:fill="FFEAC9" w:themeFill="accent3" w:themeFillTint="33"/>
      </w:tcPr>
    </w:tblStylePr>
    <w:tblStylePr w:type="band1Vert">
      <w:pPr>
        <w:jc w:val="right"/>
      </w:pPr>
    </w:tblStylePr>
    <w:tblStylePr w:type="band2Vert">
      <w:pPr>
        <w:jc w:val="right"/>
      </w:pPr>
    </w:tblStylePr>
    <w:tblStylePr w:type="band2Horz">
      <w:tblPr/>
      <w:tcPr>
        <w:shd w:val="clear" w:color="auto" w:fill="FFEAC9" w:themeFill="accent3" w:themeFillTint="33"/>
      </w:tcPr>
    </w:tblStylePr>
  </w:style>
  <w:style w:type="paragraph" w:customStyle="1" w:styleId="Bulletindent">
    <w:name w:val="Bullet indent"/>
    <w:basedOn w:val="Bullet2"/>
    <w:uiPriority w:val="9"/>
    <w:qFormat/>
    <w:rsid w:val="006570FB"/>
    <w:pPr>
      <w:keepLines/>
      <w:numPr>
        <w:ilvl w:val="2"/>
      </w:numPr>
      <w:spacing w:line="264" w:lineRule="auto"/>
    </w:pPr>
  </w:style>
  <w:style w:type="paragraph" w:customStyle="1" w:styleId="Bulletindent2">
    <w:name w:val="Bullet indent 2"/>
    <w:basedOn w:val="Normal"/>
    <w:uiPriority w:val="9"/>
    <w:qFormat/>
    <w:rsid w:val="00A162C2"/>
    <w:pPr>
      <w:numPr>
        <w:ilvl w:val="3"/>
        <w:numId w:val="18"/>
      </w:numPr>
      <w:spacing w:before="100"/>
      <w:contextualSpacing/>
    </w:pPr>
  </w:style>
  <w:style w:type="table" w:customStyle="1" w:styleId="DTFfinancialtable">
    <w:name w:val="DTF financial table"/>
    <w:basedOn w:val="TableGrid"/>
    <w:uiPriority w:val="99"/>
    <w:rsid w:val="00A162C2"/>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E35205" w:themeFill="accent1"/>
        <w:vAlign w:val="bottom"/>
      </w:tcPr>
    </w:tblStylePr>
    <w:tblStylePr w:type="lastRow">
      <w:rPr>
        <w:b/>
      </w:rPr>
      <w:tblPr/>
      <w:tcPr>
        <w:tcBorders>
          <w:top w:val="single" w:sz="6" w:space="0" w:color="E35205" w:themeColor="accent1"/>
          <w:left w:val="nil"/>
          <w:bottom w:val="single" w:sz="12" w:space="0" w:color="E35205" w:themeColor="accent1"/>
          <w:right w:val="nil"/>
          <w:insideV w:val="nil"/>
        </w:tcBorders>
      </w:tcPr>
    </w:tblStylePr>
    <w:tblStylePr w:type="firstCol">
      <w:pPr>
        <w:jc w:val="left"/>
      </w:pPr>
      <w:tblPr/>
      <w:tcPr>
        <w:shd w:val="clear" w:color="auto" w:fill="FFEAC9" w:themeFill="accent3" w:themeFillTint="33"/>
      </w:tcPr>
    </w:tblStylePr>
    <w:tblStylePr w:type="band1Vert">
      <w:pPr>
        <w:jc w:val="right"/>
      </w:pPr>
    </w:tblStylePr>
    <w:tblStylePr w:type="band2Vert">
      <w:pPr>
        <w:jc w:val="right"/>
      </w:pPr>
    </w:tblStylePr>
    <w:tblStylePr w:type="band2Horz">
      <w:tblPr/>
      <w:tcPr>
        <w:shd w:val="clear" w:color="auto" w:fill="FFEAC9" w:themeFill="accent3" w:themeFillTint="33"/>
      </w:tcPr>
    </w:tblStylePr>
    <w:tblStylePr w:type="nwCell">
      <w:pPr>
        <w:jc w:val="left"/>
      </w:pPr>
      <w:tblPr/>
      <w:tcPr>
        <w:vAlign w:val="bottom"/>
      </w:tcPr>
    </w:tblStylePr>
  </w:style>
  <w:style w:type="table" w:customStyle="1" w:styleId="DTFfinancialtableindent">
    <w:name w:val="DTF financial table indent"/>
    <w:basedOn w:val="DTFfinancialtable"/>
    <w:uiPriority w:val="99"/>
    <w:rsid w:val="00A4220E"/>
    <w:pPr>
      <w:spacing w:after="0" w:line="240" w:lineRule="auto"/>
    </w:pPr>
    <w:tblPr>
      <w:tblInd w:w="821" w:type="dxa"/>
      <w:tblBorders>
        <w:bottom w:val="single" w:sz="12" w:space="0" w:color="E57200" w:themeColor="accent2"/>
        <w:insideH w:val="none" w:sz="0" w:space="0" w:color="auto"/>
      </w:tblBorders>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E57200" w:themeFill="accent2"/>
        <w:vAlign w:val="bottom"/>
      </w:tcPr>
    </w:tblStylePr>
    <w:tblStylePr w:type="lastRow">
      <w:rPr>
        <w:b/>
      </w:rPr>
      <w:tblPr/>
      <w:tcPr>
        <w:tcBorders>
          <w:top w:val="single" w:sz="6" w:space="0" w:color="E35205" w:themeColor="accent1"/>
          <w:left w:val="nil"/>
          <w:bottom w:val="single" w:sz="12" w:space="0" w:color="E35205" w:themeColor="accent1"/>
          <w:right w:val="nil"/>
          <w:insideV w:val="nil"/>
        </w:tcBorders>
      </w:tcPr>
    </w:tblStylePr>
    <w:tblStylePr w:type="firstCol">
      <w:pPr>
        <w:jc w:val="left"/>
      </w:pPr>
      <w:tblPr/>
      <w:tcPr>
        <w:shd w:val="clear" w:color="auto" w:fill="FFEAC9" w:themeFill="accent3" w:themeFillTint="33"/>
      </w:tcPr>
    </w:tblStylePr>
    <w:tblStylePr w:type="band1Vert">
      <w:pPr>
        <w:jc w:val="right"/>
      </w:pPr>
    </w:tblStylePr>
    <w:tblStylePr w:type="band2Vert">
      <w:pPr>
        <w:jc w:val="right"/>
      </w:pPr>
    </w:tblStylePr>
    <w:tblStylePr w:type="band2Horz">
      <w:tblPr/>
      <w:tcPr>
        <w:shd w:val="clear" w:color="auto" w:fill="FFEAC9" w:themeFill="accent3" w:themeFillTint="33"/>
      </w:tcPr>
    </w:tblStylePr>
    <w:tblStylePr w:type="nwCell">
      <w:pPr>
        <w:jc w:val="left"/>
      </w:pPr>
      <w:tblPr/>
      <w:tcPr>
        <w:vAlign w:val="bottom"/>
      </w:tcPr>
    </w:tblStylePr>
  </w:style>
  <w:style w:type="table" w:customStyle="1" w:styleId="DTFtexttable0">
    <w:name w:val="DTF text table"/>
    <w:basedOn w:val="TableGrid"/>
    <w:uiPriority w:val="99"/>
    <w:rsid w:val="00A162C2"/>
    <w:pPr>
      <w:spacing w:before="30" w:after="30" w:line="264" w:lineRule="auto"/>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E35205" w:themeFill="accent1"/>
        <w:vAlign w:val="bottom"/>
      </w:tcPr>
    </w:tblStylePr>
    <w:tblStylePr w:type="lastRow">
      <w:rPr>
        <w:b/>
      </w:rPr>
      <w:tblPr/>
      <w:tcPr>
        <w:tcBorders>
          <w:top w:val="single" w:sz="6" w:space="0" w:color="E35205" w:themeColor="accent1"/>
          <w:left w:val="nil"/>
          <w:bottom w:val="single" w:sz="12" w:space="0" w:color="E35205" w:themeColor="accent1"/>
          <w:right w:val="nil"/>
          <w:insideV w:val="nil"/>
        </w:tcBorders>
      </w:tcPr>
    </w:tblStylePr>
    <w:tblStylePr w:type="firstCol">
      <w:pPr>
        <w:jc w:val="left"/>
      </w:pPr>
      <w:tblPr/>
      <w:tcPr>
        <w:shd w:val="clear" w:color="auto" w:fill="FFEAC9"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FFEAC9"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texttableindent">
    <w:name w:val="DTF text table indent"/>
    <w:basedOn w:val="DTFtexttable0"/>
    <w:uiPriority w:val="99"/>
    <w:rsid w:val="005371EE"/>
    <w:pPr>
      <w:spacing w:after="0" w:line="240" w:lineRule="auto"/>
    </w:pPr>
    <w:tblPr>
      <w:tblInd w:w="821" w:type="dxa"/>
      <w:tblBorders>
        <w:top w:val="single" w:sz="24" w:space="0" w:color="FFFFFF" w:themeColor="background1"/>
        <w:bottom w:val="none" w:sz="0" w:space="0" w:color="auto"/>
        <w:insideH w:val="single" w:sz="24" w:space="0" w:color="FFFFFF" w:themeColor="background1"/>
        <w:insideV w:val="single" w:sz="24" w:space="0" w:color="FFFFFF" w:themeColor="background1"/>
      </w:tblBorders>
      <w:tblCellMar>
        <w:left w:w="86" w:type="dxa"/>
        <w:right w:w="86"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E35205" w:themeFill="accent1"/>
        <w:vAlign w:val="bottom"/>
      </w:tcPr>
    </w:tblStylePr>
    <w:tblStylePr w:type="lastRow">
      <w:rPr>
        <w:b/>
      </w:rPr>
      <w:tblPr/>
      <w:tcPr>
        <w:tcBorders>
          <w:top w:val="single" w:sz="6" w:space="0" w:color="E35205" w:themeColor="accent1"/>
          <w:left w:val="nil"/>
          <w:bottom w:val="single" w:sz="12" w:space="0" w:color="E35205" w:themeColor="accent1"/>
          <w:right w:val="nil"/>
          <w:insideV w:val="nil"/>
        </w:tcBorders>
      </w:tcPr>
    </w:tblStylePr>
    <w:tblStylePr w:type="firstCol">
      <w:pPr>
        <w:jc w:val="left"/>
      </w:pPr>
      <w:tblPr/>
      <w:tcPr>
        <w:shd w:val="clear" w:color="auto" w:fill="FFEAC9"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FFEAC9"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Heading1numbered">
    <w:name w:val="Heading 1 numbered"/>
    <w:basedOn w:val="Heading1"/>
    <w:next w:val="NormalIndent"/>
    <w:uiPriority w:val="8"/>
    <w:qFormat/>
    <w:rsid w:val="00A162C2"/>
    <w:pPr>
      <w:numPr>
        <w:ilvl w:val="2"/>
        <w:numId w:val="26"/>
      </w:numPr>
    </w:pPr>
  </w:style>
  <w:style w:type="paragraph" w:customStyle="1" w:styleId="Heading2numbered">
    <w:name w:val="Heading 2 numbered"/>
    <w:basedOn w:val="Heading2"/>
    <w:next w:val="NormalIndent"/>
    <w:uiPriority w:val="8"/>
    <w:qFormat/>
    <w:rsid w:val="00A162C2"/>
    <w:pPr>
      <w:numPr>
        <w:ilvl w:val="3"/>
        <w:numId w:val="26"/>
      </w:numPr>
    </w:pPr>
  </w:style>
  <w:style w:type="paragraph" w:customStyle="1" w:styleId="Heading3numbered">
    <w:name w:val="Heading 3 numbered"/>
    <w:basedOn w:val="Heading3"/>
    <w:next w:val="NormalIndent"/>
    <w:uiPriority w:val="8"/>
    <w:qFormat/>
    <w:rsid w:val="00A162C2"/>
    <w:pPr>
      <w:numPr>
        <w:ilvl w:val="4"/>
        <w:numId w:val="26"/>
      </w:numPr>
    </w:pPr>
  </w:style>
  <w:style w:type="paragraph" w:customStyle="1" w:styleId="Heading4numbered">
    <w:name w:val="Heading 4 numbered"/>
    <w:basedOn w:val="Heading4"/>
    <w:next w:val="NormalIndent"/>
    <w:uiPriority w:val="8"/>
    <w:qFormat/>
    <w:rsid w:val="00A162C2"/>
    <w:pPr>
      <w:numPr>
        <w:ilvl w:val="5"/>
        <w:numId w:val="26"/>
      </w:numPr>
    </w:pPr>
  </w:style>
  <w:style w:type="paragraph" w:customStyle="1" w:styleId="HighlightBoxcheckbox">
    <w:name w:val="Highlight Box checkbox"/>
    <w:basedOn w:val="HighlightBoxBullet"/>
    <w:uiPriority w:val="61"/>
    <w:qFormat/>
    <w:rsid w:val="00A162C2"/>
    <w:pPr>
      <w:numPr>
        <w:numId w:val="21"/>
      </w:numPr>
    </w:pPr>
  </w:style>
  <w:style w:type="paragraph" w:customStyle="1" w:styleId="NormalTight">
    <w:name w:val="Normal Tight"/>
    <w:uiPriority w:val="99"/>
    <w:semiHidden/>
    <w:rsid w:val="00A162C2"/>
    <w:pPr>
      <w:spacing w:before="0" w:after="0" w:line="240" w:lineRule="auto"/>
      <w:ind w:right="2366"/>
    </w:pPr>
    <w:rPr>
      <w:rFonts w:eastAsia="Times New Roman" w:cs="Calibri"/>
      <w:sz w:val="18"/>
      <w:szCs w:val="19"/>
    </w:rPr>
  </w:style>
  <w:style w:type="paragraph" w:customStyle="1" w:styleId="Insidecoverspacer">
    <w:name w:val="Inside cover spacer"/>
    <w:basedOn w:val="NormalTight"/>
    <w:uiPriority w:val="99"/>
    <w:semiHidden/>
    <w:qFormat/>
    <w:rsid w:val="00A162C2"/>
    <w:pPr>
      <w:spacing w:before="5800"/>
      <w:ind w:right="1382"/>
    </w:pPr>
  </w:style>
  <w:style w:type="paragraph" w:customStyle="1" w:styleId="Listnumindent">
    <w:name w:val="List num indent"/>
    <w:basedOn w:val="Normal"/>
    <w:uiPriority w:val="9"/>
    <w:qFormat/>
    <w:rsid w:val="00A162C2"/>
    <w:pPr>
      <w:numPr>
        <w:ilvl w:val="6"/>
        <w:numId w:val="26"/>
      </w:numPr>
      <w:spacing w:before="100"/>
    </w:pPr>
  </w:style>
  <w:style w:type="paragraph" w:customStyle="1" w:styleId="Listnumindent2">
    <w:name w:val="List num indent 2"/>
    <w:basedOn w:val="Normal"/>
    <w:uiPriority w:val="9"/>
    <w:qFormat/>
    <w:rsid w:val="00A162C2"/>
    <w:pPr>
      <w:numPr>
        <w:ilvl w:val="7"/>
        <w:numId w:val="26"/>
      </w:numPr>
      <w:spacing w:before="100"/>
      <w:contextualSpacing/>
    </w:pPr>
  </w:style>
  <w:style w:type="paragraph" w:customStyle="1" w:styleId="NoteNormal">
    <w:name w:val="Note Normal"/>
    <w:basedOn w:val="Normal"/>
    <w:rsid w:val="00A162C2"/>
    <w:pPr>
      <w:keepNext/>
      <w:spacing w:before="80" w:line="240" w:lineRule="auto"/>
    </w:pPr>
    <w:rPr>
      <w:rFonts w:eastAsia="Times New Roman" w:cstheme="minorHAnsi"/>
      <w:color w:val="000000"/>
      <w:spacing w:val="1"/>
      <w:sz w:val="16"/>
      <w:szCs w:val="16"/>
      <w:lang w:eastAsia="en-US"/>
    </w:rPr>
  </w:style>
  <w:style w:type="paragraph" w:customStyle="1" w:styleId="NoteNormalindent">
    <w:name w:val="Note Normal indent"/>
    <w:basedOn w:val="NoteNormal"/>
    <w:uiPriority w:val="9"/>
    <w:rsid w:val="00A162C2"/>
    <w:pPr>
      <w:ind w:left="792"/>
    </w:pPr>
  </w:style>
  <w:style w:type="paragraph" w:customStyle="1" w:styleId="Numpara">
    <w:name w:val="Num para"/>
    <w:basedOn w:val="Normal"/>
    <w:uiPriority w:val="2"/>
    <w:qFormat/>
    <w:rsid w:val="00A162C2"/>
    <w:pPr>
      <w:numPr>
        <w:numId w:val="25"/>
      </w:numPr>
      <w:tabs>
        <w:tab w:val="left" w:pos="540"/>
      </w:tabs>
      <w:contextualSpacing/>
    </w:pPr>
  </w:style>
  <w:style w:type="paragraph" w:customStyle="1" w:styleId="Numparaindent">
    <w:name w:val="Num para indent"/>
    <w:basedOn w:val="Numpara"/>
    <w:uiPriority w:val="9"/>
    <w:qFormat/>
    <w:rsid w:val="0015038D"/>
    <w:pPr>
      <w:numPr>
        <w:ilvl w:val="8"/>
        <w:numId w:val="26"/>
      </w:numPr>
      <w:tabs>
        <w:tab w:val="clear" w:pos="540"/>
      </w:tabs>
    </w:pPr>
  </w:style>
  <w:style w:type="paragraph" w:customStyle="1" w:styleId="Tablebullet">
    <w:name w:val="Table bullet"/>
    <w:basedOn w:val="Tabletext"/>
    <w:uiPriority w:val="6"/>
    <w:rsid w:val="00A162C2"/>
    <w:pPr>
      <w:numPr>
        <w:numId w:val="29"/>
      </w:numPr>
    </w:pPr>
  </w:style>
  <w:style w:type="paragraph" w:customStyle="1" w:styleId="Tabledash">
    <w:name w:val="Table dash"/>
    <w:basedOn w:val="Tablebullet"/>
    <w:uiPriority w:val="6"/>
    <w:rsid w:val="00A162C2"/>
    <w:pPr>
      <w:numPr>
        <w:ilvl w:val="1"/>
      </w:numPr>
    </w:pPr>
  </w:style>
  <w:style w:type="paragraph" w:customStyle="1" w:styleId="Tableheader">
    <w:name w:val="Table header"/>
    <w:basedOn w:val="Tabletext"/>
    <w:uiPriority w:val="5"/>
    <w:qFormat/>
    <w:rsid w:val="00A162C2"/>
    <w:pPr>
      <w:keepNext/>
      <w:spacing w:before="120"/>
    </w:pPr>
    <w:rPr>
      <w:rFonts w:eastAsiaTheme="minorHAnsi"/>
      <w:color w:val="FFFFFF" w:themeColor="background1"/>
      <w:sz w:val="20"/>
      <w:szCs w:val="21"/>
      <w:lang w:eastAsia="en-US"/>
    </w:rPr>
  </w:style>
  <w:style w:type="paragraph" w:customStyle="1" w:styleId="Tablenum1">
    <w:name w:val="Table num 1"/>
    <w:basedOn w:val="Normal"/>
    <w:uiPriority w:val="6"/>
    <w:rsid w:val="00A162C2"/>
    <w:pPr>
      <w:numPr>
        <w:ilvl w:val="2"/>
        <w:numId w:val="29"/>
      </w:numPr>
      <w:spacing w:before="60" w:after="60"/>
    </w:pPr>
    <w:rPr>
      <w:sz w:val="17"/>
    </w:rPr>
  </w:style>
  <w:style w:type="paragraph" w:customStyle="1" w:styleId="Tablenum2">
    <w:name w:val="Table num 2"/>
    <w:basedOn w:val="Normal"/>
    <w:uiPriority w:val="6"/>
    <w:rsid w:val="00A162C2"/>
    <w:pPr>
      <w:numPr>
        <w:ilvl w:val="3"/>
        <w:numId w:val="29"/>
      </w:numPr>
      <w:spacing w:before="60" w:after="60"/>
    </w:pPr>
    <w:rPr>
      <w:sz w:val="17"/>
    </w:rPr>
  </w:style>
  <w:style w:type="paragraph" w:customStyle="1" w:styleId="Tabletextcentred">
    <w:name w:val="Table text centred"/>
    <w:basedOn w:val="Tabletext"/>
    <w:uiPriority w:val="5"/>
    <w:qFormat/>
    <w:rsid w:val="00A162C2"/>
    <w:pPr>
      <w:jc w:val="center"/>
    </w:pPr>
  </w:style>
  <w:style w:type="paragraph" w:customStyle="1" w:styleId="Tabletextindent">
    <w:name w:val="Table text indent"/>
    <w:basedOn w:val="Tabletext"/>
    <w:uiPriority w:val="5"/>
    <w:qFormat/>
    <w:rsid w:val="005B42AE"/>
    <w:pPr>
      <w:ind w:left="360"/>
    </w:pPr>
    <w:rPr>
      <w:szCs w:val="21"/>
    </w:rPr>
  </w:style>
  <w:style w:type="paragraph" w:customStyle="1" w:styleId="Tabletextright">
    <w:name w:val="Table text right"/>
    <w:basedOn w:val="Tabletext"/>
    <w:uiPriority w:val="5"/>
    <w:qFormat/>
    <w:rsid w:val="00A162C2"/>
    <w:pPr>
      <w:jc w:val="right"/>
    </w:pPr>
  </w:style>
  <w:style w:type="paragraph" w:customStyle="1" w:styleId="TertiaryTitle">
    <w:name w:val="Tertiary Title"/>
    <w:next w:val="Normal"/>
    <w:uiPriority w:val="99"/>
    <w:rsid w:val="00845213"/>
    <w:pPr>
      <w:spacing w:before="0" w:after="0" w:line="276" w:lineRule="auto"/>
    </w:pPr>
    <w:rPr>
      <w:rFonts w:asciiTheme="majorHAnsi" w:eastAsia="Times New Roman" w:hAnsiTheme="majorHAnsi" w:cstheme="majorHAnsi"/>
      <w:caps/>
      <w:color w:val="E57200" w:themeColor="accent2"/>
      <w:sz w:val="24"/>
      <w:szCs w:val="40"/>
    </w:rPr>
  </w:style>
  <w:style w:type="paragraph" w:customStyle="1" w:styleId="Tabletextbullet">
    <w:name w:val="Table text bullet"/>
    <w:basedOn w:val="Normal"/>
    <w:qFormat/>
    <w:rsid w:val="00A5315C"/>
    <w:pPr>
      <w:numPr>
        <w:numId w:val="2"/>
      </w:numPr>
      <w:spacing w:before="30" w:after="0"/>
    </w:pPr>
    <w:rPr>
      <w:sz w:val="17"/>
      <w:szCs w:val="21"/>
    </w:rPr>
  </w:style>
  <w:style w:type="paragraph" w:styleId="ListParagraph">
    <w:name w:val="List Paragraph"/>
    <w:basedOn w:val="Normal"/>
    <w:uiPriority w:val="34"/>
    <w:qFormat/>
    <w:rsid w:val="00C407A7"/>
    <w:pPr>
      <w:ind w:left="720"/>
      <w:contextualSpacing/>
    </w:pPr>
  </w:style>
  <w:style w:type="paragraph" w:customStyle="1" w:styleId="Boxbullet">
    <w:name w:val="Box bullet"/>
    <w:basedOn w:val="Bullet1"/>
    <w:qFormat/>
    <w:rsid w:val="008E756A"/>
    <w:pPr>
      <w:numPr>
        <w:numId w:val="40"/>
      </w:numPr>
      <w:tabs>
        <w:tab w:val="left" w:pos="3510"/>
        <w:tab w:val="left" w:pos="3780"/>
      </w:tabs>
      <w:spacing w:after="0"/>
      <w:ind w:left="360" w:hanging="274"/>
      <w:contextualSpacing/>
    </w:pPr>
    <w:rPr>
      <w:sz w:val="17"/>
      <w:lang w:val="en-US"/>
    </w:rPr>
  </w:style>
  <w:style w:type="paragraph" w:customStyle="1" w:styleId="Boxdash">
    <w:name w:val="Box dash"/>
    <w:basedOn w:val="Bullet2"/>
    <w:qFormat/>
    <w:rsid w:val="008E756A"/>
    <w:pPr>
      <w:numPr>
        <w:ilvl w:val="0"/>
        <w:numId w:val="42"/>
      </w:numPr>
      <w:spacing w:before="0"/>
      <w:ind w:left="720" w:hanging="270"/>
      <w:contextualSpacing/>
    </w:pPr>
    <w:rPr>
      <w:rFonts w:hAnsi="Arial"/>
      <w:kern w:val="24"/>
      <w:sz w:val="17"/>
      <w:szCs w:val="17"/>
      <w:lang w:val="en-US"/>
    </w:rPr>
  </w:style>
  <w:style w:type="character" w:styleId="UnresolvedMention">
    <w:name w:val="Unresolved Mention"/>
    <w:basedOn w:val="DefaultParagraphFont"/>
    <w:uiPriority w:val="99"/>
    <w:semiHidden/>
    <w:unhideWhenUsed/>
    <w:rsid w:val="005228F2"/>
    <w:rPr>
      <w:color w:val="605E5C"/>
      <w:shd w:val="clear" w:color="auto" w:fill="E1DFDD"/>
    </w:rPr>
  </w:style>
  <w:style w:type="paragraph" w:customStyle="1" w:styleId="Tablechartdiagramheading">
    <w:name w:val="Table/chart/diagram heading"/>
    <w:uiPriority w:val="4"/>
    <w:qFormat/>
    <w:rsid w:val="005D0EAB"/>
    <w:pPr>
      <w:keepNext/>
      <w:tabs>
        <w:tab w:val="left" w:pos="1080"/>
        <w:tab w:val="right" w:pos="9639"/>
      </w:tabs>
    </w:pPr>
    <w:rPr>
      <w:rFonts w:eastAsiaTheme="minorEastAsia"/>
      <w:b/>
      <w:bCs/>
      <w:spacing w:val="2"/>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72938">
      <w:bodyDiv w:val="1"/>
      <w:marLeft w:val="0"/>
      <w:marRight w:val="0"/>
      <w:marTop w:val="0"/>
      <w:marBottom w:val="0"/>
      <w:divBdr>
        <w:top w:val="none" w:sz="0" w:space="0" w:color="auto"/>
        <w:left w:val="none" w:sz="0" w:space="0" w:color="auto"/>
        <w:bottom w:val="none" w:sz="0" w:space="0" w:color="auto"/>
        <w:right w:val="none" w:sz="0" w:space="0" w:color="auto"/>
      </w:divBdr>
    </w:div>
    <w:div w:id="1166627350">
      <w:bodyDiv w:val="1"/>
      <w:marLeft w:val="0"/>
      <w:marRight w:val="0"/>
      <w:marTop w:val="0"/>
      <w:marBottom w:val="0"/>
      <w:divBdr>
        <w:top w:val="none" w:sz="0" w:space="0" w:color="auto"/>
        <w:left w:val="none" w:sz="0" w:space="0" w:color="auto"/>
        <w:bottom w:val="none" w:sz="0" w:space="0" w:color="auto"/>
        <w:right w:val="none" w:sz="0" w:space="0" w:color="auto"/>
      </w:divBdr>
    </w:div>
    <w:div w:id="1218399888">
      <w:bodyDiv w:val="1"/>
      <w:marLeft w:val="0"/>
      <w:marRight w:val="0"/>
      <w:marTop w:val="0"/>
      <w:marBottom w:val="0"/>
      <w:divBdr>
        <w:top w:val="none" w:sz="0" w:space="0" w:color="auto"/>
        <w:left w:val="none" w:sz="0" w:space="0" w:color="auto"/>
        <w:bottom w:val="none" w:sz="0" w:space="0" w:color="auto"/>
        <w:right w:val="none" w:sz="0" w:space="0" w:color="auto"/>
      </w:divBdr>
    </w:div>
    <w:div w:id="1478185189">
      <w:bodyDiv w:val="1"/>
      <w:marLeft w:val="0"/>
      <w:marRight w:val="0"/>
      <w:marTop w:val="0"/>
      <w:marBottom w:val="0"/>
      <w:divBdr>
        <w:top w:val="none" w:sz="0" w:space="0" w:color="auto"/>
        <w:left w:val="none" w:sz="0" w:space="0" w:color="auto"/>
        <w:bottom w:val="none" w:sz="0" w:space="0" w:color="auto"/>
        <w:right w:val="none" w:sz="0" w:space="0" w:color="auto"/>
      </w:divBdr>
    </w:div>
    <w:div w:id="1624069246">
      <w:bodyDiv w:val="1"/>
      <w:marLeft w:val="0"/>
      <w:marRight w:val="0"/>
      <w:marTop w:val="0"/>
      <w:marBottom w:val="0"/>
      <w:divBdr>
        <w:top w:val="none" w:sz="0" w:space="0" w:color="auto"/>
        <w:left w:val="none" w:sz="0" w:space="0" w:color="auto"/>
        <w:bottom w:val="none" w:sz="0" w:space="0" w:color="auto"/>
        <w:right w:val="none" w:sz="0" w:space="0" w:color="auto"/>
      </w:divBdr>
    </w:div>
    <w:div w:id="1824468521">
      <w:bodyDiv w:val="1"/>
      <w:marLeft w:val="0"/>
      <w:marRight w:val="0"/>
      <w:marTop w:val="0"/>
      <w:marBottom w:val="0"/>
      <w:divBdr>
        <w:top w:val="none" w:sz="0" w:space="0" w:color="auto"/>
        <w:left w:val="none" w:sz="0" w:space="0" w:color="auto"/>
        <w:bottom w:val="none" w:sz="0" w:space="0" w:color="auto"/>
        <w:right w:val="none" w:sz="0" w:space="0" w:color="auto"/>
      </w:divBdr>
    </w:div>
    <w:div w:id="19104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3.0/au/" TargetMode="External"/><Relationship Id="rId26" Type="http://schemas.openxmlformats.org/officeDocument/2006/relationships/diagramData" Target="diagrams/data1.xml"/><Relationship Id="rId39" Type="http://schemas.openxmlformats.org/officeDocument/2006/relationships/hyperlink" Target="https://www.climatechange.vic.gov.au/" TargetMode="External"/><Relationship Id="rId21" Type="http://schemas.openxmlformats.org/officeDocument/2006/relationships/footer" Target="footer4.xml"/><Relationship Id="rId34" Type="http://schemas.openxmlformats.org/officeDocument/2006/relationships/package" Target="embeddings/Microsoft_Visio_Drawing.vsdx"/><Relationship Id="rId42" Type="http://schemas.openxmlformats.org/officeDocument/2006/relationships/image" Target="media/image8.jpeg"/><Relationship Id="rId47" Type="http://schemas.openxmlformats.org/officeDocument/2006/relationships/package" Target="embeddings/Microsoft_Visio_Drawing2.vsdx"/><Relationship Id="rId50" Type="http://schemas.openxmlformats.org/officeDocument/2006/relationships/header" Target="header7.xml"/><Relationship Id="rId55" Type="http://schemas.openxmlformats.org/officeDocument/2006/relationships/footer" Target="footer10.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image" Target="media/image5.emf"/><Relationship Id="rId38" Type="http://schemas.openxmlformats.org/officeDocument/2006/relationships/hyperlink" Target="https://www.vic.gov.au/value-creation-and-capture-framework" TargetMode="External"/><Relationship Id="rId46"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diagramColors" Target="diagrams/colors1.xml"/><Relationship Id="rId41" Type="http://schemas.openxmlformats.org/officeDocument/2006/relationships/image" Target="media/image7.png"/><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oleObject" Target="embeddings/Microsoft_Visio_2003-2010_Drawing.vsd"/><Relationship Id="rId37" Type="http://schemas.openxmlformats.org/officeDocument/2006/relationships/package" Target="embeddings/Microsoft_Visio_Drawing1.vsdx"/><Relationship Id="rId40" Type="http://schemas.openxmlformats.org/officeDocument/2006/relationships/hyperlink" Target="http://www.dtf.vic.gov.au/CA25713E0002EF43/pages/investment-management-support-in-adopting-the-practices-engaging-an-accredited-facilitator" TargetMode="External"/><Relationship Id="rId45" Type="http://schemas.openxmlformats.org/officeDocument/2006/relationships/oleObject" Target="embeddings/Microsoft_Visio_2003-2010_Drawing1.vsd"/><Relationship Id="rId53" Type="http://schemas.openxmlformats.org/officeDocument/2006/relationships/header" Target="header8.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diagramQuickStyle" Target="diagrams/quickStyle1.xml"/><Relationship Id="rId36" Type="http://schemas.openxmlformats.org/officeDocument/2006/relationships/image" Target="media/image6.emf"/><Relationship Id="rId49" Type="http://schemas.openxmlformats.org/officeDocument/2006/relationships/header" Target="header6.xm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4.emf"/><Relationship Id="rId44" Type="http://schemas.openxmlformats.org/officeDocument/2006/relationships/image" Target="media/image9.emf"/><Relationship Id="rId52"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s://www.dtf.vic.gov.au/infrastructure-investment/investment-lifecycle-and-high-value-high-risk-guidelines" TargetMode="External"/><Relationship Id="rId43" Type="http://schemas.microsoft.com/office/2007/relationships/hdphoto" Target="media/hdphoto1.wdp"/><Relationship Id="rId48" Type="http://schemas.openxmlformats.org/officeDocument/2006/relationships/hyperlink" Target="https://www.dtf.vic.gov.au/infrastructure%1einvestment/asset%1emanagement%1eaccountability%1eframework" TargetMode="External"/><Relationship Id="rId56" Type="http://schemas.openxmlformats.org/officeDocument/2006/relationships/footer" Target="footer11.xml"/><Relationship Id="rId8" Type="http://schemas.openxmlformats.org/officeDocument/2006/relationships/settings" Target="settings.xml"/><Relationship Id="rId51" Type="http://schemas.openxmlformats.org/officeDocument/2006/relationships/footer" Target="footer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dtf.vic.gov.au/infrastructure-investment/investment-lifecycle-and-high-value-high-risk-guidelin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43C0DA-FA5C-4859-A988-C2B21D2757F4}" type="doc">
      <dgm:prSet loTypeId="urn:microsoft.com/office/officeart/2005/8/layout/chevron1" loCatId="process" qsTypeId="urn:microsoft.com/office/officeart/2005/8/quickstyle/simple1" qsCatId="simple" csTypeId="urn:microsoft.com/office/officeart/2005/8/colors/accent1_2" csCatId="accent1" phldr="1"/>
      <dgm:spPr/>
    </dgm:pt>
    <dgm:pt modelId="{BA97D0EA-187D-41C9-9389-B8201CB948D8}">
      <dgm:prSet phldrT="[Text]" custT="1"/>
      <dgm:spPr>
        <a:solidFill>
          <a:schemeClr val="accent2"/>
        </a:solidFill>
      </dgm:spPr>
      <dgm:t>
        <a:bodyPr/>
        <a:lstStyle/>
        <a:p>
          <a:r>
            <a:rPr lang="en-AU" sz="1800" b="1"/>
            <a:t>1</a:t>
          </a:r>
        </a:p>
      </dgm:t>
    </dgm:pt>
    <dgm:pt modelId="{6394B2C0-6DBF-4A15-A06F-F3860802B1D5}" type="parTrans" cxnId="{A7E84BA8-97C9-4143-8C0A-34A52B19288F}">
      <dgm:prSet/>
      <dgm:spPr/>
      <dgm:t>
        <a:bodyPr/>
        <a:lstStyle/>
        <a:p>
          <a:endParaRPr lang="en-AU"/>
        </a:p>
      </dgm:t>
    </dgm:pt>
    <dgm:pt modelId="{CCEE9437-1450-4021-995A-C99D068241EF}" type="sibTrans" cxnId="{A7E84BA8-97C9-4143-8C0A-34A52B19288F}">
      <dgm:prSet/>
      <dgm:spPr/>
      <dgm:t>
        <a:bodyPr/>
        <a:lstStyle/>
        <a:p>
          <a:endParaRPr lang="en-AU"/>
        </a:p>
      </dgm:t>
    </dgm:pt>
    <dgm:pt modelId="{33C15BBC-A250-4E9B-9624-9842BDCAE9FF}">
      <dgm:prSet phldrT="[Text]" custT="1"/>
      <dgm:spPr>
        <a:solidFill>
          <a:schemeClr val="bg2"/>
        </a:solidFill>
      </dgm:spPr>
      <dgm:t>
        <a:bodyPr/>
        <a:lstStyle/>
        <a:p>
          <a:r>
            <a:rPr lang="en-AU" sz="1800" b="1"/>
            <a:t>2</a:t>
          </a:r>
        </a:p>
      </dgm:t>
    </dgm:pt>
    <dgm:pt modelId="{F07CCF96-07E0-4BB8-9731-E73393171161}" type="parTrans" cxnId="{B6ED2088-36FD-4AC2-8B2A-951069CBF278}">
      <dgm:prSet/>
      <dgm:spPr/>
      <dgm:t>
        <a:bodyPr/>
        <a:lstStyle/>
        <a:p>
          <a:endParaRPr lang="en-AU"/>
        </a:p>
      </dgm:t>
    </dgm:pt>
    <dgm:pt modelId="{19758408-C8B9-4116-A656-C4BBAEF2ADFE}" type="sibTrans" cxnId="{B6ED2088-36FD-4AC2-8B2A-951069CBF278}">
      <dgm:prSet/>
      <dgm:spPr/>
      <dgm:t>
        <a:bodyPr/>
        <a:lstStyle/>
        <a:p>
          <a:endParaRPr lang="en-AU"/>
        </a:p>
      </dgm:t>
    </dgm:pt>
    <dgm:pt modelId="{CAC68E5D-3A59-4E4C-8117-49B4C524900D}">
      <dgm:prSet phldrT="[Text]" custT="1"/>
      <dgm:spPr>
        <a:solidFill>
          <a:schemeClr val="bg2"/>
        </a:solidFill>
      </dgm:spPr>
      <dgm:t>
        <a:bodyPr/>
        <a:lstStyle/>
        <a:p>
          <a:r>
            <a:rPr lang="en-AU" sz="1800" b="1"/>
            <a:t>3</a:t>
          </a:r>
        </a:p>
      </dgm:t>
    </dgm:pt>
    <dgm:pt modelId="{8F725108-931B-4633-848F-A2CFE6541FA6}" type="parTrans" cxnId="{791B479F-C5E0-417B-B526-E5FEFE616339}">
      <dgm:prSet/>
      <dgm:spPr/>
      <dgm:t>
        <a:bodyPr/>
        <a:lstStyle/>
        <a:p>
          <a:endParaRPr lang="en-AU"/>
        </a:p>
      </dgm:t>
    </dgm:pt>
    <dgm:pt modelId="{B1A74DA2-E824-4190-92F5-EB06A08BE407}" type="sibTrans" cxnId="{791B479F-C5E0-417B-B526-E5FEFE616339}">
      <dgm:prSet/>
      <dgm:spPr/>
      <dgm:t>
        <a:bodyPr/>
        <a:lstStyle/>
        <a:p>
          <a:endParaRPr lang="en-AU"/>
        </a:p>
      </dgm:t>
    </dgm:pt>
    <dgm:pt modelId="{3504EBC2-360F-42E0-9C25-B86BFF327480}" type="pres">
      <dgm:prSet presAssocID="{BC43C0DA-FA5C-4859-A988-C2B21D2757F4}" presName="Name0" presStyleCnt="0">
        <dgm:presLayoutVars>
          <dgm:dir/>
          <dgm:animLvl val="lvl"/>
          <dgm:resizeHandles val="exact"/>
        </dgm:presLayoutVars>
      </dgm:prSet>
      <dgm:spPr/>
    </dgm:pt>
    <dgm:pt modelId="{3AA9DAAB-594B-478B-A792-47AEEDA801A1}" type="pres">
      <dgm:prSet presAssocID="{BA97D0EA-187D-41C9-9389-B8201CB948D8}" presName="parTxOnly" presStyleLbl="node1" presStyleIdx="0" presStyleCnt="3">
        <dgm:presLayoutVars>
          <dgm:chMax val="0"/>
          <dgm:chPref val="0"/>
          <dgm:bulletEnabled val="1"/>
        </dgm:presLayoutVars>
      </dgm:prSet>
      <dgm:spPr/>
    </dgm:pt>
    <dgm:pt modelId="{0AD98B9D-82E6-445A-861A-225EB6F4F580}" type="pres">
      <dgm:prSet presAssocID="{CCEE9437-1450-4021-995A-C99D068241EF}" presName="parTxOnlySpace" presStyleCnt="0"/>
      <dgm:spPr/>
    </dgm:pt>
    <dgm:pt modelId="{4E10C990-6A6E-4A01-84F7-7E857C8CAA37}" type="pres">
      <dgm:prSet presAssocID="{33C15BBC-A250-4E9B-9624-9842BDCAE9FF}" presName="parTxOnly" presStyleLbl="node1" presStyleIdx="1" presStyleCnt="3">
        <dgm:presLayoutVars>
          <dgm:chMax val="0"/>
          <dgm:chPref val="0"/>
          <dgm:bulletEnabled val="1"/>
        </dgm:presLayoutVars>
      </dgm:prSet>
      <dgm:spPr/>
    </dgm:pt>
    <dgm:pt modelId="{79D6F6D6-95E1-4233-B08E-4AFC252FCAC8}" type="pres">
      <dgm:prSet presAssocID="{19758408-C8B9-4116-A656-C4BBAEF2ADFE}" presName="parTxOnlySpace" presStyleCnt="0"/>
      <dgm:spPr/>
    </dgm:pt>
    <dgm:pt modelId="{743591B4-2D8B-4F0A-B562-18597AEFFD3B}" type="pres">
      <dgm:prSet presAssocID="{CAC68E5D-3A59-4E4C-8117-49B4C524900D}" presName="parTxOnly" presStyleLbl="node1" presStyleIdx="2" presStyleCnt="3">
        <dgm:presLayoutVars>
          <dgm:chMax val="0"/>
          <dgm:chPref val="0"/>
          <dgm:bulletEnabled val="1"/>
        </dgm:presLayoutVars>
      </dgm:prSet>
      <dgm:spPr/>
    </dgm:pt>
  </dgm:ptLst>
  <dgm:cxnLst>
    <dgm:cxn modelId="{88263E34-D40B-4799-8793-00C42339F1F6}" type="presOf" srcId="{BC43C0DA-FA5C-4859-A988-C2B21D2757F4}" destId="{3504EBC2-360F-42E0-9C25-B86BFF327480}" srcOrd="0" destOrd="0" presId="urn:microsoft.com/office/officeart/2005/8/layout/chevron1"/>
    <dgm:cxn modelId="{28945C6E-6DFA-441E-A0CF-AC5F20EB2B5B}" type="presOf" srcId="{33C15BBC-A250-4E9B-9624-9842BDCAE9FF}" destId="{4E10C990-6A6E-4A01-84F7-7E857C8CAA37}" srcOrd="0" destOrd="0" presId="urn:microsoft.com/office/officeart/2005/8/layout/chevron1"/>
    <dgm:cxn modelId="{B6ED2088-36FD-4AC2-8B2A-951069CBF278}" srcId="{BC43C0DA-FA5C-4859-A988-C2B21D2757F4}" destId="{33C15BBC-A250-4E9B-9624-9842BDCAE9FF}" srcOrd="1" destOrd="0" parTransId="{F07CCF96-07E0-4BB8-9731-E73393171161}" sibTransId="{19758408-C8B9-4116-A656-C4BBAEF2ADFE}"/>
    <dgm:cxn modelId="{68DF7E99-0E31-4F23-AB27-9E7DDBB5F0C1}" type="presOf" srcId="{BA97D0EA-187D-41C9-9389-B8201CB948D8}" destId="{3AA9DAAB-594B-478B-A792-47AEEDA801A1}" srcOrd="0" destOrd="0" presId="urn:microsoft.com/office/officeart/2005/8/layout/chevron1"/>
    <dgm:cxn modelId="{A7E84BA8-97C9-4143-8C0A-34A52B19288F}" srcId="{BC43C0DA-FA5C-4859-A988-C2B21D2757F4}" destId="{BA97D0EA-187D-41C9-9389-B8201CB948D8}" srcOrd="0" destOrd="0" parTransId="{6394B2C0-6DBF-4A15-A06F-F3860802B1D5}" sibTransId="{CCEE9437-1450-4021-995A-C99D068241EF}"/>
    <dgm:cxn modelId="{9CB95FFF-E5DD-4BA3-9841-8ABBF314FA11}" type="presOf" srcId="{CAC68E5D-3A59-4E4C-8117-49B4C524900D}" destId="{743591B4-2D8B-4F0A-B562-18597AEFFD3B}" srcOrd="0" destOrd="0" presId="urn:microsoft.com/office/officeart/2005/8/layout/chevron1"/>
    <dgm:cxn modelId="{791B479F-C5E0-417B-B526-E5FEFE616339}" srcId="{BC43C0DA-FA5C-4859-A988-C2B21D2757F4}" destId="{CAC68E5D-3A59-4E4C-8117-49B4C524900D}" srcOrd="2" destOrd="0" parTransId="{8F725108-931B-4633-848F-A2CFE6541FA6}" sibTransId="{B1A74DA2-E824-4190-92F5-EB06A08BE407}"/>
    <dgm:cxn modelId="{04B53E14-DB44-478C-BB97-1ABAD3601D48}" type="presParOf" srcId="{3504EBC2-360F-42E0-9C25-B86BFF327480}" destId="{3AA9DAAB-594B-478B-A792-47AEEDA801A1}" srcOrd="0" destOrd="0" presId="urn:microsoft.com/office/officeart/2005/8/layout/chevron1"/>
    <dgm:cxn modelId="{C58B2B9A-00D8-43D2-A526-CB612B8004CB}" type="presParOf" srcId="{3504EBC2-360F-42E0-9C25-B86BFF327480}" destId="{0AD98B9D-82E6-445A-861A-225EB6F4F580}" srcOrd="1" destOrd="0" presId="urn:microsoft.com/office/officeart/2005/8/layout/chevron1"/>
    <dgm:cxn modelId="{8ABDCD0D-64C0-46C7-A698-E7AE2E51C918}" type="presParOf" srcId="{3504EBC2-360F-42E0-9C25-B86BFF327480}" destId="{4E10C990-6A6E-4A01-84F7-7E857C8CAA37}" srcOrd="2" destOrd="0" presId="urn:microsoft.com/office/officeart/2005/8/layout/chevron1"/>
    <dgm:cxn modelId="{99D0DFD7-7DD2-4000-8FD1-6A0E9672B92D}" type="presParOf" srcId="{3504EBC2-360F-42E0-9C25-B86BFF327480}" destId="{79D6F6D6-95E1-4233-B08E-4AFC252FCAC8}" srcOrd="3" destOrd="0" presId="urn:microsoft.com/office/officeart/2005/8/layout/chevron1"/>
    <dgm:cxn modelId="{B1AE6CEB-59FE-481F-8CEC-883F962C016A}" type="presParOf" srcId="{3504EBC2-360F-42E0-9C25-B86BFF327480}" destId="{743591B4-2D8B-4F0A-B562-18597AEFFD3B}" srcOrd="4" destOrd="0" presId="urn:microsoft.com/office/officeart/2005/8/layout/chevro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A9DAAB-594B-478B-A792-47AEEDA801A1}">
      <dsp:nvSpPr>
        <dsp:cNvPr id="0" name=""/>
        <dsp:cNvSpPr/>
      </dsp:nvSpPr>
      <dsp:spPr>
        <a:xfrm>
          <a:off x="1302" y="0"/>
          <a:ext cx="1587023" cy="387350"/>
        </a:xfrm>
        <a:prstGeom prst="chevron">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b="1" kern="1200"/>
            <a:t>1</a:t>
          </a:r>
        </a:p>
      </dsp:txBody>
      <dsp:txXfrm>
        <a:off x="194977" y="0"/>
        <a:ext cx="1199673" cy="387350"/>
      </dsp:txXfrm>
    </dsp:sp>
    <dsp:sp modelId="{4E10C990-6A6E-4A01-84F7-7E857C8CAA37}">
      <dsp:nvSpPr>
        <dsp:cNvPr id="0" name=""/>
        <dsp:cNvSpPr/>
      </dsp:nvSpPr>
      <dsp:spPr>
        <a:xfrm>
          <a:off x="1429623" y="0"/>
          <a:ext cx="1587023" cy="387350"/>
        </a:xfrm>
        <a:prstGeom prst="chevron">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b="1" kern="1200"/>
            <a:t>2</a:t>
          </a:r>
        </a:p>
      </dsp:txBody>
      <dsp:txXfrm>
        <a:off x="1623298" y="0"/>
        <a:ext cx="1199673" cy="387350"/>
      </dsp:txXfrm>
    </dsp:sp>
    <dsp:sp modelId="{743591B4-2D8B-4F0A-B562-18597AEFFD3B}">
      <dsp:nvSpPr>
        <dsp:cNvPr id="0" name=""/>
        <dsp:cNvSpPr/>
      </dsp:nvSpPr>
      <dsp:spPr>
        <a:xfrm>
          <a:off x="2857944" y="0"/>
          <a:ext cx="1587023" cy="387350"/>
        </a:xfrm>
        <a:prstGeom prst="chevron">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marL="0" lvl="0" indent="0" algn="ctr" defTabSz="800100">
            <a:lnSpc>
              <a:spcPct val="90000"/>
            </a:lnSpc>
            <a:spcBef>
              <a:spcPct val="0"/>
            </a:spcBef>
            <a:spcAft>
              <a:spcPct val="35000"/>
            </a:spcAft>
            <a:buNone/>
          </a:pPr>
          <a:r>
            <a:rPr lang="en-AU" sz="1800" b="1" kern="1200"/>
            <a:t>3</a:t>
          </a:r>
        </a:p>
      </dsp:txBody>
      <dsp:txXfrm>
        <a:off x="3051619" y="0"/>
        <a:ext cx="1199673" cy="3873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TF standard">
  <a:themeElements>
    <a:clrScheme name="Brand Victoria - Orange">
      <a:dk1>
        <a:sysClr val="windowText" lastClr="000000"/>
      </a:dk1>
      <a:lt1>
        <a:sysClr val="window" lastClr="FFFFFF"/>
      </a:lt1>
      <a:dk2>
        <a:srgbClr val="53565A"/>
      </a:dk2>
      <a:lt2>
        <a:srgbClr val="D9D9D6"/>
      </a:lt2>
      <a:accent1>
        <a:srgbClr val="E35205"/>
      </a:accent1>
      <a:accent2>
        <a:srgbClr val="E57200"/>
      </a:accent2>
      <a:accent3>
        <a:srgbClr val="F49600"/>
      </a:accent3>
      <a:accent4>
        <a:srgbClr val="F1A882"/>
      </a:accent4>
      <a:accent5>
        <a:srgbClr val="F5C799"/>
      </a:accent5>
      <a:accent6>
        <a:srgbClr val="FDEACC"/>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2af59de-696a-40a9-b32d-6434431c85e0">
      <UserInfo>
        <DisplayName>Theo Kavouris (DTF)</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71DB98A356C4AAEDC30992D26E8D2" ma:contentTypeVersion="4" ma:contentTypeDescription="Create a new document." ma:contentTypeScope="" ma:versionID="a6966aa8d112fb86746980f4f8e7e606">
  <xsd:schema xmlns:xsd="http://www.w3.org/2001/XMLSchema" xmlns:xs="http://www.w3.org/2001/XMLSchema" xmlns:p="http://schemas.microsoft.com/office/2006/metadata/properties" xmlns:ns2="a2af59de-696a-40a9-b32d-6434431c85e0" xmlns:ns3="ae0bd4b9-0765-488f-88cd-0e30e88d6577" targetNamespace="http://schemas.microsoft.com/office/2006/metadata/properties" ma:root="true" ma:fieldsID="27cf8f5b2ae9c24b4e28fecb51eccfce" ns2:_="" ns3:_="">
    <xsd:import namespace="a2af59de-696a-40a9-b32d-6434431c85e0"/>
    <xsd:import namespace="ae0bd4b9-0765-488f-88cd-0e30e88d65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f59de-696a-40a9-b32d-6434431c85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bd4b9-0765-488f-88cd-0e30e88d65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31CF97A-5CB8-47F2-B580-F6BA713A62F2}">
  <ds:schemaRefs>
    <ds:schemaRef ds:uri="http://schemas.microsoft.com/sharepoint/v3/contenttype/forms"/>
  </ds:schemaRefs>
</ds:datastoreItem>
</file>

<file path=customXml/itemProps2.xml><?xml version="1.0" encoding="utf-8"?>
<ds:datastoreItem xmlns:ds="http://schemas.openxmlformats.org/officeDocument/2006/customXml" ds:itemID="{D2A55066-7B8D-4A1E-BEF9-70C0F3D58AFD}">
  <ds:schemaRefs>
    <ds:schemaRef ds:uri="http://schemas.microsoft.com/office/2006/metadata/properties"/>
    <ds:schemaRef ds:uri="http://schemas.microsoft.com/office/infopath/2007/PartnerControls"/>
    <ds:schemaRef ds:uri="a2af59de-696a-40a9-b32d-6434431c85e0"/>
  </ds:schemaRefs>
</ds:datastoreItem>
</file>

<file path=customXml/itemProps3.xml><?xml version="1.0" encoding="utf-8"?>
<ds:datastoreItem xmlns:ds="http://schemas.openxmlformats.org/officeDocument/2006/customXml" ds:itemID="{48B3FDFF-D9B0-4DA8-BD43-60AF97BFA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f59de-696a-40a9-b32d-6434431c85e0"/>
    <ds:schemaRef ds:uri="ae0bd4b9-0765-488f-88cd-0e30e88d6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74E08-2ED3-4435-B278-FF82E30F6755}">
  <ds:schemaRefs>
    <ds:schemaRef ds:uri="http://schemas.openxmlformats.org/officeDocument/2006/bibliography"/>
  </ds:schemaRefs>
</ds:datastoreItem>
</file>

<file path=customXml/itemProps5.xml><?xml version="1.0" encoding="utf-8"?>
<ds:datastoreItem xmlns:ds="http://schemas.openxmlformats.org/officeDocument/2006/customXml" ds:itemID="{863ABC6E-C219-47A4-BA79-141D7B526D2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31788</Words>
  <Characters>181194</Characters>
  <Application>Microsoft Office Word</Application>
  <DocSecurity>0</DocSecurity>
  <Lines>1509</Lines>
  <Paragraphs>425</Paragraphs>
  <ScaleCrop>false</ScaleCrop>
  <HeadingPairs>
    <vt:vector size="2" baseType="variant">
      <vt:variant>
        <vt:lpstr>Title</vt:lpstr>
      </vt:variant>
      <vt:variant>
        <vt:i4>1</vt:i4>
      </vt:variant>
    </vt:vector>
  </HeadingPairs>
  <TitlesOfParts>
    <vt:vector size="1" baseType="lpstr">
      <vt:lpstr>[chapter title]</vt:lpstr>
    </vt:vector>
  </TitlesOfParts>
  <Company>Victorian Government</Company>
  <LinksUpToDate>false</LinksUpToDate>
  <CharactersWithSpaces>212557</CharactersWithSpaces>
  <SharedDoc>false</SharedDoc>
  <HLinks>
    <vt:vector size="468" baseType="variant">
      <vt:variant>
        <vt:i4>8060967</vt:i4>
      </vt:variant>
      <vt:variant>
        <vt:i4>507</vt:i4>
      </vt:variant>
      <vt:variant>
        <vt:i4>0</vt:i4>
      </vt:variant>
      <vt:variant>
        <vt:i4>5</vt:i4>
      </vt:variant>
      <vt:variant>
        <vt:lpwstr>https://www.dtf.vic.gov.au/infrastructure%1einvestment/asset%1emanagement%1eaccountability%1eframework</vt:lpwstr>
      </vt:variant>
      <vt:variant>
        <vt:lpwstr/>
      </vt:variant>
      <vt:variant>
        <vt:i4>2424932</vt:i4>
      </vt:variant>
      <vt:variant>
        <vt:i4>477</vt:i4>
      </vt:variant>
      <vt:variant>
        <vt:i4>0</vt:i4>
      </vt:variant>
      <vt:variant>
        <vt:i4>5</vt:i4>
      </vt:variant>
      <vt:variant>
        <vt:lpwstr>http://www.dtf.vic.gov.au/CA25713E0002EF43/pages/investment-management-support-in-adopting-the-practices-engaging-an-accredited-facilitator</vt:lpwstr>
      </vt:variant>
      <vt:variant>
        <vt:lpwstr/>
      </vt:variant>
      <vt:variant>
        <vt:i4>327752</vt:i4>
      </vt:variant>
      <vt:variant>
        <vt:i4>471</vt:i4>
      </vt:variant>
      <vt:variant>
        <vt:i4>0</vt:i4>
      </vt:variant>
      <vt:variant>
        <vt:i4>5</vt:i4>
      </vt:variant>
      <vt:variant>
        <vt:lpwstr>https://www.climatechange.vic.gov.au/</vt:lpwstr>
      </vt:variant>
      <vt:variant>
        <vt:lpwstr/>
      </vt:variant>
      <vt:variant>
        <vt:i4>6750252</vt:i4>
      </vt:variant>
      <vt:variant>
        <vt:i4>468</vt:i4>
      </vt:variant>
      <vt:variant>
        <vt:i4>0</vt:i4>
      </vt:variant>
      <vt:variant>
        <vt:i4>5</vt:i4>
      </vt:variant>
      <vt:variant>
        <vt:lpwstr>https://www.vic.gov.au/value-creation-and-capture-framework</vt:lpwstr>
      </vt:variant>
      <vt:variant>
        <vt:lpwstr/>
      </vt:variant>
      <vt:variant>
        <vt:i4>4653063</vt:i4>
      </vt:variant>
      <vt:variant>
        <vt:i4>447</vt:i4>
      </vt:variant>
      <vt:variant>
        <vt:i4>0</vt:i4>
      </vt:variant>
      <vt:variant>
        <vt:i4>5</vt:i4>
      </vt:variant>
      <vt:variant>
        <vt:lpwstr>https://www.dtf.vic.gov.au/infrastructure-investment/investment-lifecycle-and-high-value-high-risk-guidelines</vt:lpwstr>
      </vt:variant>
      <vt:variant>
        <vt:lpwstr/>
      </vt:variant>
      <vt:variant>
        <vt:i4>2031667</vt:i4>
      </vt:variant>
      <vt:variant>
        <vt:i4>428</vt:i4>
      </vt:variant>
      <vt:variant>
        <vt:i4>0</vt:i4>
      </vt:variant>
      <vt:variant>
        <vt:i4>5</vt:i4>
      </vt:variant>
      <vt:variant>
        <vt:lpwstr/>
      </vt:variant>
      <vt:variant>
        <vt:lpwstr>_Toc24627608</vt:lpwstr>
      </vt:variant>
      <vt:variant>
        <vt:i4>1048627</vt:i4>
      </vt:variant>
      <vt:variant>
        <vt:i4>422</vt:i4>
      </vt:variant>
      <vt:variant>
        <vt:i4>0</vt:i4>
      </vt:variant>
      <vt:variant>
        <vt:i4>5</vt:i4>
      </vt:variant>
      <vt:variant>
        <vt:lpwstr/>
      </vt:variant>
      <vt:variant>
        <vt:lpwstr>_Toc24627607</vt:lpwstr>
      </vt:variant>
      <vt:variant>
        <vt:i4>1114163</vt:i4>
      </vt:variant>
      <vt:variant>
        <vt:i4>416</vt:i4>
      </vt:variant>
      <vt:variant>
        <vt:i4>0</vt:i4>
      </vt:variant>
      <vt:variant>
        <vt:i4>5</vt:i4>
      </vt:variant>
      <vt:variant>
        <vt:lpwstr/>
      </vt:variant>
      <vt:variant>
        <vt:lpwstr>_Toc24627606</vt:lpwstr>
      </vt:variant>
      <vt:variant>
        <vt:i4>1179699</vt:i4>
      </vt:variant>
      <vt:variant>
        <vt:i4>410</vt:i4>
      </vt:variant>
      <vt:variant>
        <vt:i4>0</vt:i4>
      </vt:variant>
      <vt:variant>
        <vt:i4>5</vt:i4>
      </vt:variant>
      <vt:variant>
        <vt:lpwstr/>
      </vt:variant>
      <vt:variant>
        <vt:lpwstr>_Toc24627605</vt:lpwstr>
      </vt:variant>
      <vt:variant>
        <vt:i4>1245235</vt:i4>
      </vt:variant>
      <vt:variant>
        <vt:i4>404</vt:i4>
      </vt:variant>
      <vt:variant>
        <vt:i4>0</vt:i4>
      </vt:variant>
      <vt:variant>
        <vt:i4>5</vt:i4>
      </vt:variant>
      <vt:variant>
        <vt:lpwstr/>
      </vt:variant>
      <vt:variant>
        <vt:lpwstr>_Toc24627604</vt:lpwstr>
      </vt:variant>
      <vt:variant>
        <vt:i4>1310771</vt:i4>
      </vt:variant>
      <vt:variant>
        <vt:i4>398</vt:i4>
      </vt:variant>
      <vt:variant>
        <vt:i4>0</vt:i4>
      </vt:variant>
      <vt:variant>
        <vt:i4>5</vt:i4>
      </vt:variant>
      <vt:variant>
        <vt:lpwstr/>
      </vt:variant>
      <vt:variant>
        <vt:lpwstr>_Toc24627603</vt:lpwstr>
      </vt:variant>
      <vt:variant>
        <vt:i4>1376307</vt:i4>
      </vt:variant>
      <vt:variant>
        <vt:i4>392</vt:i4>
      </vt:variant>
      <vt:variant>
        <vt:i4>0</vt:i4>
      </vt:variant>
      <vt:variant>
        <vt:i4>5</vt:i4>
      </vt:variant>
      <vt:variant>
        <vt:lpwstr/>
      </vt:variant>
      <vt:variant>
        <vt:lpwstr>_Toc24627602</vt:lpwstr>
      </vt:variant>
      <vt:variant>
        <vt:i4>1441843</vt:i4>
      </vt:variant>
      <vt:variant>
        <vt:i4>386</vt:i4>
      </vt:variant>
      <vt:variant>
        <vt:i4>0</vt:i4>
      </vt:variant>
      <vt:variant>
        <vt:i4>5</vt:i4>
      </vt:variant>
      <vt:variant>
        <vt:lpwstr/>
      </vt:variant>
      <vt:variant>
        <vt:lpwstr>_Toc24627601</vt:lpwstr>
      </vt:variant>
      <vt:variant>
        <vt:i4>1507379</vt:i4>
      </vt:variant>
      <vt:variant>
        <vt:i4>380</vt:i4>
      </vt:variant>
      <vt:variant>
        <vt:i4>0</vt:i4>
      </vt:variant>
      <vt:variant>
        <vt:i4>5</vt:i4>
      </vt:variant>
      <vt:variant>
        <vt:lpwstr/>
      </vt:variant>
      <vt:variant>
        <vt:lpwstr>_Toc24627600</vt:lpwstr>
      </vt:variant>
      <vt:variant>
        <vt:i4>1900602</vt:i4>
      </vt:variant>
      <vt:variant>
        <vt:i4>374</vt:i4>
      </vt:variant>
      <vt:variant>
        <vt:i4>0</vt:i4>
      </vt:variant>
      <vt:variant>
        <vt:i4>5</vt:i4>
      </vt:variant>
      <vt:variant>
        <vt:lpwstr/>
      </vt:variant>
      <vt:variant>
        <vt:lpwstr>_Toc24627599</vt:lpwstr>
      </vt:variant>
      <vt:variant>
        <vt:i4>1835066</vt:i4>
      </vt:variant>
      <vt:variant>
        <vt:i4>368</vt:i4>
      </vt:variant>
      <vt:variant>
        <vt:i4>0</vt:i4>
      </vt:variant>
      <vt:variant>
        <vt:i4>5</vt:i4>
      </vt:variant>
      <vt:variant>
        <vt:lpwstr/>
      </vt:variant>
      <vt:variant>
        <vt:lpwstr>_Toc24627598</vt:lpwstr>
      </vt:variant>
      <vt:variant>
        <vt:i4>1245242</vt:i4>
      </vt:variant>
      <vt:variant>
        <vt:i4>362</vt:i4>
      </vt:variant>
      <vt:variant>
        <vt:i4>0</vt:i4>
      </vt:variant>
      <vt:variant>
        <vt:i4>5</vt:i4>
      </vt:variant>
      <vt:variant>
        <vt:lpwstr/>
      </vt:variant>
      <vt:variant>
        <vt:lpwstr>_Toc24627597</vt:lpwstr>
      </vt:variant>
      <vt:variant>
        <vt:i4>1179706</vt:i4>
      </vt:variant>
      <vt:variant>
        <vt:i4>356</vt:i4>
      </vt:variant>
      <vt:variant>
        <vt:i4>0</vt:i4>
      </vt:variant>
      <vt:variant>
        <vt:i4>5</vt:i4>
      </vt:variant>
      <vt:variant>
        <vt:lpwstr/>
      </vt:variant>
      <vt:variant>
        <vt:lpwstr>_Toc24627596</vt:lpwstr>
      </vt:variant>
      <vt:variant>
        <vt:i4>1114170</vt:i4>
      </vt:variant>
      <vt:variant>
        <vt:i4>350</vt:i4>
      </vt:variant>
      <vt:variant>
        <vt:i4>0</vt:i4>
      </vt:variant>
      <vt:variant>
        <vt:i4>5</vt:i4>
      </vt:variant>
      <vt:variant>
        <vt:lpwstr/>
      </vt:variant>
      <vt:variant>
        <vt:lpwstr>_Toc24627595</vt:lpwstr>
      </vt:variant>
      <vt:variant>
        <vt:i4>1048634</vt:i4>
      </vt:variant>
      <vt:variant>
        <vt:i4>344</vt:i4>
      </vt:variant>
      <vt:variant>
        <vt:i4>0</vt:i4>
      </vt:variant>
      <vt:variant>
        <vt:i4>5</vt:i4>
      </vt:variant>
      <vt:variant>
        <vt:lpwstr/>
      </vt:variant>
      <vt:variant>
        <vt:lpwstr>_Toc24627594</vt:lpwstr>
      </vt:variant>
      <vt:variant>
        <vt:i4>1507386</vt:i4>
      </vt:variant>
      <vt:variant>
        <vt:i4>338</vt:i4>
      </vt:variant>
      <vt:variant>
        <vt:i4>0</vt:i4>
      </vt:variant>
      <vt:variant>
        <vt:i4>5</vt:i4>
      </vt:variant>
      <vt:variant>
        <vt:lpwstr/>
      </vt:variant>
      <vt:variant>
        <vt:lpwstr>_Toc24627593</vt:lpwstr>
      </vt:variant>
      <vt:variant>
        <vt:i4>1441850</vt:i4>
      </vt:variant>
      <vt:variant>
        <vt:i4>332</vt:i4>
      </vt:variant>
      <vt:variant>
        <vt:i4>0</vt:i4>
      </vt:variant>
      <vt:variant>
        <vt:i4>5</vt:i4>
      </vt:variant>
      <vt:variant>
        <vt:lpwstr/>
      </vt:variant>
      <vt:variant>
        <vt:lpwstr>_Toc24627592</vt:lpwstr>
      </vt:variant>
      <vt:variant>
        <vt:i4>1376314</vt:i4>
      </vt:variant>
      <vt:variant>
        <vt:i4>326</vt:i4>
      </vt:variant>
      <vt:variant>
        <vt:i4>0</vt:i4>
      </vt:variant>
      <vt:variant>
        <vt:i4>5</vt:i4>
      </vt:variant>
      <vt:variant>
        <vt:lpwstr/>
      </vt:variant>
      <vt:variant>
        <vt:lpwstr>_Toc24627591</vt:lpwstr>
      </vt:variant>
      <vt:variant>
        <vt:i4>1310778</vt:i4>
      </vt:variant>
      <vt:variant>
        <vt:i4>320</vt:i4>
      </vt:variant>
      <vt:variant>
        <vt:i4>0</vt:i4>
      </vt:variant>
      <vt:variant>
        <vt:i4>5</vt:i4>
      </vt:variant>
      <vt:variant>
        <vt:lpwstr/>
      </vt:variant>
      <vt:variant>
        <vt:lpwstr>_Toc24627590</vt:lpwstr>
      </vt:variant>
      <vt:variant>
        <vt:i4>1900603</vt:i4>
      </vt:variant>
      <vt:variant>
        <vt:i4>314</vt:i4>
      </vt:variant>
      <vt:variant>
        <vt:i4>0</vt:i4>
      </vt:variant>
      <vt:variant>
        <vt:i4>5</vt:i4>
      </vt:variant>
      <vt:variant>
        <vt:lpwstr/>
      </vt:variant>
      <vt:variant>
        <vt:lpwstr>_Toc24627589</vt:lpwstr>
      </vt:variant>
      <vt:variant>
        <vt:i4>1835067</vt:i4>
      </vt:variant>
      <vt:variant>
        <vt:i4>308</vt:i4>
      </vt:variant>
      <vt:variant>
        <vt:i4>0</vt:i4>
      </vt:variant>
      <vt:variant>
        <vt:i4>5</vt:i4>
      </vt:variant>
      <vt:variant>
        <vt:lpwstr/>
      </vt:variant>
      <vt:variant>
        <vt:lpwstr>_Toc24627588</vt:lpwstr>
      </vt:variant>
      <vt:variant>
        <vt:i4>1245243</vt:i4>
      </vt:variant>
      <vt:variant>
        <vt:i4>302</vt:i4>
      </vt:variant>
      <vt:variant>
        <vt:i4>0</vt:i4>
      </vt:variant>
      <vt:variant>
        <vt:i4>5</vt:i4>
      </vt:variant>
      <vt:variant>
        <vt:lpwstr/>
      </vt:variant>
      <vt:variant>
        <vt:lpwstr>_Toc24627587</vt:lpwstr>
      </vt:variant>
      <vt:variant>
        <vt:i4>1179707</vt:i4>
      </vt:variant>
      <vt:variant>
        <vt:i4>296</vt:i4>
      </vt:variant>
      <vt:variant>
        <vt:i4>0</vt:i4>
      </vt:variant>
      <vt:variant>
        <vt:i4>5</vt:i4>
      </vt:variant>
      <vt:variant>
        <vt:lpwstr/>
      </vt:variant>
      <vt:variant>
        <vt:lpwstr>_Toc24627586</vt:lpwstr>
      </vt:variant>
      <vt:variant>
        <vt:i4>1114171</vt:i4>
      </vt:variant>
      <vt:variant>
        <vt:i4>290</vt:i4>
      </vt:variant>
      <vt:variant>
        <vt:i4>0</vt:i4>
      </vt:variant>
      <vt:variant>
        <vt:i4>5</vt:i4>
      </vt:variant>
      <vt:variant>
        <vt:lpwstr/>
      </vt:variant>
      <vt:variant>
        <vt:lpwstr>_Toc24627585</vt:lpwstr>
      </vt:variant>
      <vt:variant>
        <vt:i4>1048635</vt:i4>
      </vt:variant>
      <vt:variant>
        <vt:i4>284</vt:i4>
      </vt:variant>
      <vt:variant>
        <vt:i4>0</vt:i4>
      </vt:variant>
      <vt:variant>
        <vt:i4>5</vt:i4>
      </vt:variant>
      <vt:variant>
        <vt:lpwstr/>
      </vt:variant>
      <vt:variant>
        <vt:lpwstr>_Toc24627584</vt:lpwstr>
      </vt:variant>
      <vt:variant>
        <vt:i4>1507387</vt:i4>
      </vt:variant>
      <vt:variant>
        <vt:i4>278</vt:i4>
      </vt:variant>
      <vt:variant>
        <vt:i4>0</vt:i4>
      </vt:variant>
      <vt:variant>
        <vt:i4>5</vt:i4>
      </vt:variant>
      <vt:variant>
        <vt:lpwstr/>
      </vt:variant>
      <vt:variant>
        <vt:lpwstr>_Toc24627583</vt:lpwstr>
      </vt:variant>
      <vt:variant>
        <vt:i4>1441851</vt:i4>
      </vt:variant>
      <vt:variant>
        <vt:i4>272</vt:i4>
      </vt:variant>
      <vt:variant>
        <vt:i4>0</vt:i4>
      </vt:variant>
      <vt:variant>
        <vt:i4>5</vt:i4>
      </vt:variant>
      <vt:variant>
        <vt:lpwstr/>
      </vt:variant>
      <vt:variant>
        <vt:lpwstr>_Toc24627582</vt:lpwstr>
      </vt:variant>
      <vt:variant>
        <vt:i4>1376315</vt:i4>
      </vt:variant>
      <vt:variant>
        <vt:i4>266</vt:i4>
      </vt:variant>
      <vt:variant>
        <vt:i4>0</vt:i4>
      </vt:variant>
      <vt:variant>
        <vt:i4>5</vt:i4>
      </vt:variant>
      <vt:variant>
        <vt:lpwstr/>
      </vt:variant>
      <vt:variant>
        <vt:lpwstr>_Toc24627581</vt:lpwstr>
      </vt:variant>
      <vt:variant>
        <vt:i4>1310779</vt:i4>
      </vt:variant>
      <vt:variant>
        <vt:i4>260</vt:i4>
      </vt:variant>
      <vt:variant>
        <vt:i4>0</vt:i4>
      </vt:variant>
      <vt:variant>
        <vt:i4>5</vt:i4>
      </vt:variant>
      <vt:variant>
        <vt:lpwstr/>
      </vt:variant>
      <vt:variant>
        <vt:lpwstr>_Toc24627580</vt:lpwstr>
      </vt:variant>
      <vt:variant>
        <vt:i4>1900596</vt:i4>
      </vt:variant>
      <vt:variant>
        <vt:i4>254</vt:i4>
      </vt:variant>
      <vt:variant>
        <vt:i4>0</vt:i4>
      </vt:variant>
      <vt:variant>
        <vt:i4>5</vt:i4>
      </vt:variant>
      <vt:variant>
        <vt:lpwstr/>
      </vt:variant>
      <vt:variant>
        <vt:lpwstr>_Toc24627579</vt:lpwstr>
      </vt:variant>
      <vt:variant>
        <vt:i4>1835060</vt:i4>
      </vt:variant>
      <vt:variant>
        <vt:i4>248</vt:i4>
      </vt:variant>
      <vt:variant>
        <vt:i4>0</vt:i4>
      </vt:variant>
      <vt:variant>
        <vt:i4>5</vt:i4>
      </vt:variant>
      <vt:variant>
        <vt:lpwstr/>
      </vt:variant>
      <vt:variant>
        <vt:lpwstr>_Toc24627578</vt:lpwstr>
      </vt:variant>
      <vt:variant>
        <vt:i4>1245236</vt:i4>
      </vt:variant>
      <vt:variant>
        <vt:i4>242</vt:i4>
      </vt:variant>
      <vt:variant>
        <vt:i4>0</vt:i4>
      </vt:variant>
      <vt:variant>
        <vt:i4>5</vt:i4>
      </vt:variant>
      <vt:variant>
        <vt:lpwstr/>
      </vt:variant>
      <vt:variant>
        <vt:lpwstr>_Toc24627577</vt:lpwstr>
      </vt:variant>
      <vt:variant>
        <vt:i4>1179700</vt:i4>
      </vt:variant>
      <vt:variant>
        <vt:i4>236</vt:i4>
      </vt:variant>
      <vt:variant>
        <vt:i4>0</vt:i4>
      </vt:variant>
      <vt:variant>
        <vt:i4>5</vt:i4>
      </vt:variant>
      <vt:variant>
        <vt:lpwstr/>
      </vt:variant>
      <vt:variant>
        <vt:lpwstr>_Toc24627576</vt:lpwstr>
      </vt:variant>
      <vt:variant>
        <vt:i4>1114164</vt:i4>
      </vt:variant>
      <vt:variant>
        <vt:i4>230</vt:i4>
      </vt:variant>
      <vt:variant>
        <vt:i4>0</vt:i4>
      </vt:variant>
      <vt:variant>
        <vt:i4>5</vt:i4>
      </vt:variant>
      <vt:variant>
        <vt:lpwstr/>
      </vt:variant>
      <vt:variant>
        <vt:lpwstr>_Toc24627575</vt:lpwstr>
      </vt:variant>
      <vt:variant>
        <vt:i4>1048628</vt:i4>
      </vt:variant>
      <vt:variant>
        <vt:i4>224</vt:i4>
      </vt:variant>
      <vt:variant>
        <vt:i4>0</vt:i4>
      </vt:variant>
      <vt:variant>
        <vt:i4>5</vt:i4>
      </vt:variant>
      <vt:variant>
        <vt:lpwstr/>
      </vt:variant>
      <vt:variant>
        <vt:lpwstr>_Toc24627574</vt:lpwstr>
      </vt:variant>
      <vt:variant>
        <vt:i4>1507380</vt:i4>
      </vt:variant>
      <vt:variant>
        <vt:i4>218</vt:i4>
      </vt:variant>
      <vt:variant>
        <vt:i4>0</vt:i4>
      </vt:variant>
      <vt:variant>
        <vt:i4>5</vt:i4>
      </vt:variant>
      <vt:variant>
        <vt:lpwstr/>
      </vt:variant>
      <vt:variant>
        <vt:lpwstr>_Toc24627573</vt:lpwstr>
      </vt:variant>
      <vt:variant>
        <vt:i4>1441844</vt:i4>
      </vt:variant>
      <vt:variant>
        <vt:i4>212</vt:i4>
      </vt:variant>
      <vt:variant>
        <vt:i4>0</vt:i4>
      </vt:variant>
      <vt:variant>
        <vt:i4>5</vt:i4>
      </vt:variant>
      <vt:variant>
        <vt:lpwstr/>
      </vt:variant>
      <vt:variant>
        <vt:lpwstr>_Toc24627572</vt:lpwstr>
      </vt:variant>
      <vt:variant>
        <vt:i4>1376308</vt:i4>
      </vt:variant>
      <vt:variant>
        <vt:i4>206</vt:i4>
      </vt:variant>
      <vt:variant>
        <vt:i4>0</vt:i4>
      </vt:variant>
      <vt:variant>
        <vt:i4>5</vt:i4>
      </vt:variant>
      <vt:variant>
        <vt:lpwstr/>
      </vt:variant>
      <vt:variant>
        <vt:lpwstr>_Toc24627571</vt:lpwstr>
      </vt:variant>
      <vt:variant>
        <vt:i4>1310772</vt:i4>
      </vt:variant>
      <vt:variant>
        <vt:i4>200</vt:i4>
      </vt:variant>
      <vt:variant>
        <vt:i4>0</vt:i4>
      </vt:variant>
      <vt:variant>
        <vt:i4>5</vt:i4>
      </vt:variant>
      <vt:variant>
        <vt:lpwstr/>
      </vt:variant>
      <vt:variant>
        <vt:lpwstr>_Toc24627570</vt:lpwstr>
      </vt:variant>
      <vt:variant>
        <vt:i4>1900597</vt:i4>
      </vt:variant>
      <vt:variant>
        <vt:i4>194</vt:i4>
      </vt:variant>
      <vt:variant>
        <vt:i4>0</vt:i4>
      </vt:variant>
      <vt:variant>
        <vt:i4>5</vt:i4>
      </vt:variant>
      <vt:variant>
        <vt:lpwstr/>
      </vt:variant>
      <vt:variant>
        <vt:lpwstr>_Toc24627569</vt:lpwstr>
      </vt:variant>
      <vt:variant>
        <vt:i4>1835061</vt:i4>
      </vt:variant>
      <vt:variant>
        <vt:i4>188</vt:i4>
      </vt:variant>
      <vt:variant>
        <vt:i4>0</vt:i4>
      </vt:variant>
      <vt:variant>
        <vt:i4>5</vt:i4>
      </vt:variant>
      <vt:variant>
        <vt:lpwstr/>
      </vt:variant>
      <vt:variant>
        <vt:lpwstr>_Toc24627568</vt:lpwstr>
      </vt:variant>
      <vt:variant>
        <vt:i4>1245237</vt:i4>
      </vt:variant>
      <vt:variant>
        <vt:i4>182</vt:i4>
      </vt:variant>
      <vt:variant>
        <vt:i4>0</vt:i4>
      </vt:variant>
      <vt:variant>
        <vt:i4>5</vt:i4>
      </vt:variant>
      <vt:variant>
        <vt:lpwstr/>
      </vt:variant>
      <vt:variant>
        <vt:lpwstr>_Toc24627567</vt:lpwstr>
      </vt:variant>
      <vt:variant>
        <vt:i4>1179701</vt:i4>
      </vt:variant>
      <vt:variant>
        <vt:i4>176</vt:i4>
      </vt:variant>
      <vt:variant>
        <vt:i4>0</vt:i4>
      </vt:variant>
      <vt:variant>
        <vt:i4>5</vt:i4>
      </vt:variant>
      <vt:variant>
        <vt:lpwstr/>
      </vt:variant>
      <vt:variant>
        <vt:lpwstr>_Toc24627566</vt:lpwstr>
      </vt:variant>
      <vt:variant>
        <vt:i4>1114165</vt:i4>
      </vt:variant>
      <vt:variant>
        <vt:i4>170</vt:i4>
      </vt:variant>
      <vt:variant>
        <vt:i4>0</vt:i4>
      </vt:variant>
      <vt:variant>
        <vt:i4>5</vt:i4>
      </vt:variant>
      <vt:variant>
        <vt:lpwstr/>
      </vt:variant>
      <vt:variant>
        <vt:lpwstr>_Toc24627565</vt:lpwstr>
      </vt:variant>
      <vt:variant>
        <vt:i4>1048629</vt:i4>
      </vt:variant>
      <vt:variant>
        <vt:i4>164</vt:i4>
      </vt:variant>
      <vt:variant>
        <vt:i4>0</vt:i4>
      </vt:variant>
      <vt:variant>
        <vt:i4>5</vt:i4>
      </vt:variant>
      <vt:variant>
        <vt:lpwstr/>
      </vt:variant>
      <vt:variant>
        <vt:lpwstr>_Toc24627564</vt:lpwstr>
      </vt:variant>
      <vt:variant>
        <vt:i4>1507381</vt:i4>
      </vt:variant>
      <vt:variant>
        <vt:i4>158</vt:i4>
      </vt:variant>
      <vt:variant>
        <vt:i4>0</vt:i4>
      </vt:variant>
      <vt:variant>
        <vt:i4>5</vt:i4>
      </vt:variant>
      <vt:variant>
        <vt:lpwstr/>
      </vt:variant>
      <vt:variant>
        <vt:lpwstr>_Toc24627563</vt:lpwstr>
      </vt:variant>
      <vt:variant>
        <vt:i4>1441845</vt:i4>
      </vt:variant>
      <vt:variant>
        <vt:i4>152</vt:i4>
      </vt:variant>
      <vt:variant>
        <vt:i4>0</vt:i4>
      </vt:variant>
      <vt:variant>
        <vt:i4>5</vt:i4>
      </vt:variant>
      <vt:variant>
        <vt:lpwstr/>
      </vt:variant>
      <vt:variant>
        <vt:lpwstr>_Toc24627562</vt:lpwstr>
      </vt:variant>
      <vt:variant>
        <vt:i4>1376309</vt:i4>
      </vt:variant>
      <vt:variant>
        <vt:i4>146</vt:i4>
      </vt:variant>
      <vt:variant>
        <vt:i4>0</vt:i4>
      </vt:variant>
      <vt:variant>
        <vt:i4>5</vt:i4>
      </vt:variant>
      <vt:variant>
        <vt:lpwstr/>
      </vt:variant>
      <vt:variant>
        <vt:lpwstr>_Toc24627561</vt:lpwstr>
      </vt:variant>
      <vt:variant>
        <vt:i4>1310773</vt:i4>
      </vt:variant>
      <vt:variant>
        <vt:i4>140</vt:i4>
      </vt:variant>
      <vt:variant>
        <vt:i4>0</vt:i4>
      </vt:variant>
      <vt:variant>
        <vt:i4>5</vt:i4>
      </vt:variant>
      <vt:variant>
        <vt:lpwstr/>
      </vt:variant>
      <vt:variant>
        <vt:lpwstr>_Toc24627560</vt:lpwstr>
      </vt:variant>
      <vt:variant>
        <vt:i4>1900598</vt:i4>
      </vt:variant>
      <vt:variant>
        <vt:i4>134</vt:i4>
      </vt:variant>
      <vt:variant>
        <vt:i4>0</vt:i4>
      </vt:variant>
      <vt:variant>
        <vt:i4>5</vt:i4>
      </vt:variant>
      <vt:variant>
        <vt:lpwstr/>
      </vt:variant>
      <vt:variant>
        <vt:lpwstr>_Toc24627559</vt:lpwstr>
      </vt:variant>
      <vt:variant>
        <vt:i4>1835062</vt:i4>
      </vt:variant>
      <vt:variant>
        <vt:i4>128</vt:i4>
      </vt:variant>
      <vt:variant>
        <vt:i4>0</vt:i4>
      </vt:variant>
      <vt:variant>
        <vt:i4>5</vt:i4>
      </vt:variant>
      <vt:variant>
        <vt:lpwstr/>
      </vt:variant>
      <vt:variant>
        <vt:lpwstr>_Toc24627558</vt:lpwstr>
      </vt:variant>
      <vt:variant>
        <vt:i4>1245238</vt:i4>
      </vt:variant>
      <vt:variant>
        <vt:i4>122</vt:i4>
      </vt:variant>
      <vt:variant>
        <vt:i4>0</vt:i4>
      </vt:variant>
      <vt:variant>
        <vt:i4>5</vt:i4>
      </vt:variant>
      <vt:variant>
        <vt:lpwstr/>
      </vt:variant>
      <vt:variant>
        <vt:lpwstr>_Toc24627557</vt:lpwstr>
      </vt:variant>
      <vt:variant>
        <vt:i4>1179702</vt:i4>
      </vt:variant>
      <vt:variant>
        <vt:i4>116</vt:i4>
      </vt:variant>
      <vt:variant>
        <vt:i4>0</vt:i4>
      </vt:variant>
      <vt:variant>
        <vt:i4>5</vt:i4>
      </vt:variant>
      <vt:variant>
        <vt:lpwstr/>
      </vt:variant>
      <vt:variant>
        <vt:lpwstr>_Toc24627556</vt:lpwstr>
      </vt:variant>
      <vt:variant>
        <vt:i4>1114166</vt:i4>
      </vt:variant>
      <vt:variant>
        <vt:i4>110</vt:i4>
      </vt:variant>
      <vt:variant>
        <vt:i4>0</vt:i4>
      </vt:variant>
      <vt:variant>
        <vt:i4>5</vt:i4>
      </vt:variant>
      <vt:variant>
        <vt:lpwstr/>
      </vt:variant>
      <vt:variant>
        <vt:lpwstr>_Toc24627555</vt:lpwstr>
      </vt:variant>
      <vt:variant>
        <vt:i4>1048630</vt:i4>
      </vt:variant>
      <vt:variant>
        <vt:i4>104</vt:i4>
      </vt:variant>
      <vt:variant>
        <vt:i4>0</vt:i4>
      </vt:variant>
      <vt:variant>
        <vt:i4>5</vt:i4>
      </vt:variant>
      <vt:variant>
        <vt:lpwstr/>
      </vt:variant>
      <vt:variant>
        <vt:lpwstr>_Toc24627554</vt:lpwstr>
      </vt:variant>
      <vt:variant>
        <vt:i4>1507382</vt:i4>
      </vt:variant>
      <vt:variant>
        <vt:i4>98</vt:i4>
      </vt:variant>
      <vt:variant>
        <vt:i4>0</vt:i4>
      </vt:variant>
      <vt:variant>
        <vt:i4>5</vt:i4>
      </vt:variant>
      <vt:variant>
        <vt:lpwstr/>
      </vt:variant>
      <vt:variant>
        <vt:lpwstr>_Toc24627553</vt:lpwstr>
      </vt:variant>
      <vt:variant>
        <vt:i4>1441846</vt:i4>
      </vt:variant>
      <vt:variant>
        <vt:i4>92</vt:i4>
      </vt:variant>
      <vt:variant>
        <vt:i4>0</vt:i4>
      </vt:variant>
      <vt:variant>
        <vt:i4>5</vt:i4>
      </vt:variant>
      <vt:variant>
        <vt:lpwstr/>
      </vt:variant>
      <vt:variant>
        <vt:lpwstr>_Toc24627552</vt:lpwstr>
      </vt:variant>
      <vt:variant>
        <vt:i4>1376310</vt:i4>
      </vt:variant>
      <vt:variant>
        <vt:i4>86</vt:i4>
      </vt:variant>
      <vt:variant>
        <vt:i4>0</vt:i4>
      </vt:variant>
      <vt:variant>
        <vt:i4>5</vt:i4>
      </vt:variant>
      <vt:variant>
        <vt:lpwstr/>
      </vt:variant>
      <vt:variant>
        <vt:lpwstr>_Toc24627551</vt:lpwstr>
      </vt:variant>
      <vt:variant>
        <vt:i4>1310774</vt:i4>
      </vt:variant>
      <vt:variant>
        <vt:i4>80</vt:i4>
      </vt:variant>
      <vt:variant>
        <vt:i4>0</vt:i4>
      </vt:variant>
      <vt:variant>
        <vt:i4>5</vt:i4>
      </vt:variant>
      <vt:variant>
        <vt:lpwstr/>
      </vt:variant>
      <vt:variant>
        <vt:lpwstr>_Toc24627550</vt:lpwstr>
      </vt:variant>
      <vt:variant>
        <vt:i4>1900599</vt:i4>
      </vt:variant>
      <vt:variant>
        <vt:i4>74</vt:i4>
      </vt:variant>
      <vt:variant>
        <vt:i4>0</vt:i4>
      </vt:variant>
      <vt:variant>
        <vt:i4>5</vt:i4>
      </vt:variant>
      <vt:variant>
        <vt:lpwstr/>
      </vt:variant>
      <vt:variant>
        <vt:lpwstr>_Toc24627549</vt:lpwstr>
      </vt:variant>
      <vt:variant>
        <vt:i4>1835063</vt:i4>
      </vt:variant>
      <vt:variant>
        <vt:i4>68</vt:i4>
      </vt:variant>
      <vt:variant>
        <vt:i4>0</vt:i4>
      </vt:variant>
      <vt:variant>
        <vt:i4>5</vt:i4>
      </vt:variant>
      <vt:variant>
        <vt:lpwstr/>
      </vt:variant>
      <vt:variant>
        <vt:lpwstr>_Toc24627548</vt:lpwstr>
      </vt:variant>
      <vt:variant>
        <vt:i4>1245239</vt:i4>
      </vt:variant>
      <vt:variant>
        <vt:i4>62</vt:i4>
      </vt:variant>
      <vt:variant>
        <vt:i4>0</vt:i4>
      </vt:variant>
      <vt:variant>
        <vt:i4>5</vt:i4>
      </vt:variant>
      <vt:variant>
        <vt:lpwstr/>
      </vt:variant>
      <vt:variant>
        <vt:lpwstr>_Toc24627547</vt:lpwstr>
      </vt:variant>
      <vt:variant>
        <vt:i4>1179703</vt:i4>
      </vt:variant>
      <vt:variant>
        <vt:i4>56</vt:i4>
      </vt:variant>
      <vt:variant>
        <vt:i4>0</vt:i4>
      </vt:variant>
      <vt:variant>
        <vt:i4>5</vt:i4>
      </vt:variant>
      <vt:variant>
        <vt:lpwstr/>
      </vt:variant>
      <vt:variant>
        <vt:lpwstr>_Toc24627546</vt:lpwstr>
      </vt:variant>
      <vt:variant>
        <vt:i4>1114167</vt:i4>
      </vt:variant>
      <vt:variant>
        <vt:i4>50</vt:i4>
      </vt:variant>
      <vt:variant>
        <vt:i4>0</vt:i4>
      </vt:variant>
      <vt:variant>
        <vt:i4>5</vt:i4>
      </vt:variant>
      <vt:variant>
        <vt:lpwstr/>
      </vt:variant>
      <vt:variant>
        <vt:lpwstr>_Toc24627545</vt:lpwstr>
      </vt:variant>
      <vt:variant>
        <vt:i4>1048631</vt:i4>
      </vt:variant>
      <vt:variant>
        <vt:i4>44</vt:i4>
      </vt:variant>
      <vt:variant>
        <vt:i4>0</vt:i4>
      </vt:variant>
      <vt:variant>
        <vt:i4>5</vt:i4>
      </vt:variant>
      <vt:variant>
        <vt:lpwstr/>
      </vt:variant>
      <vt:variant>
        <vt:lpwstr>_Toc24627544</vt:lpwstr>
      </vt:variant>
      <vt:variant>
        <vt:i4>1507383</vt:i4>
      </vt:variant>
      <vt:variant>
        <vt:i4>38</vt:i4>
      </vt:variant>
      <vt:variant>
        <vt:i4>0</vt:i4>
      </vt:variant>
      <vt:variant>
        <vt:i4>5</vt:i4>
      </vt:variant>
      <vt:variant>
        <vt:lpwstr/>
      </vt:variant>
      <vt:variant>
        <vt:lpwstr>_Toc24627543</vt:lpwstr>
      </vt:variant>
      <vt:variant>
        <vt:i4>1441847</vt:i4>
      </vt:variant>
      <vt:variant>
        <vt:i4>32</vt:i4>
      </vt:variant>
      <vt:variant>
        <vt:i4>0</vt:i4>
      </vt:variant>
      <vt:variant>
        <vt:i4>5</vt:i4>
      </vt:variant>
      <vt:variant>
        <vt:lpwstr/>
      </vt:variant>
      <vt:variant>
        <vt:lpwstr>_Toc24627542</vt:lpwstr>
      </vt:variant>
      <vt:variant>
        <vt:i4>1376311</vt:i4>
      </vt:variant>
      <vt:variant>
        <vt:i4>26</vt:i4>
      </vt:variant>
      <vt:variant>
        <vt:i4>0</vt:i4>
      </vt:variant>
      <vt:variant>
        <vt:i4>5</vt:i4>
      </vt:variant>
      <vt:variant>
        <vt:lpwstr/>
      </vt:variant>
      <vt:variant>
        <vt:lpwstr>_Toc24627541</vt:lpwstr>
      </vt:variant>
      <vt:variant>
        <vt:i4>1310775</vt:i4>
      </vt:variant>
      <vt:variant>
        <vt:i4>20</vt:i4>
      </vt:variant>
      <vt:variant>
        <vt:i4>0</vt:i4>
      </vt:variant>
      <vt:variant>
        <vt:i4>5</vt:i4>
      </vt:variant>
      <vt:variant>
        <vt:lpwstr/>
      </vt:variant>
      <vt:variant>
        <vt:lpwstr>_Toc24627540</vt:lpwstr>
      </vt:variant>
      <vt:variant>
        <vt:i4>1900592</vt:i4>
      </vt:variant>
      <vt:variant>
        <vt:i4>14</vt:i4>
      </vt:variant>
      <vt:variant>
        <vt:i4>0</vt:i4>
      </vt:variant>
      <vt:variant>
        <vt:i4>5</vt:i4>
      </vt:variant>
      <vt:variant>
        <vt:lpwstr/>
      </vt:variant>
      <vt:variant>
        <vt:lpwstr>_Toc24627539</vt:lpwstr>
      </vt:variant>
      <vt:variant>
        <vt:i4>1835056</vt:i4>
      </vt:variant>
      <vt:variant>
        <vt:i4>8</vt:i4>
      </vt:variant>
      <vt:variant>
        <vt:i4>0</vt:i4>
      </vt:variant>
      <vt:variant>
        <vt:i4>5</vt:i4>
      </vt:variant>
      <vt:variant>
        <vt:lpwstr/>
      </vt:variant>
      <vt:variant>
        <vt:lpwstr>_Toc24627538</vt:lpwstr>
      </vt:variant>
      <vt:variant>
        <vt:i4>1245232</vt:i4>
      </vt:variant>
      <vt:variant>
        <vt:i4>2</vt:i4>
      </vt:variant>
      <vt:variant>
        <vt:i4>0</vt:i4>
      </vt:variant>
      <vt:variant>
        <vt:i4>5</vt:i4>
      </vt:variant>
      <vt:variant>
        <vt:lpwstr/>
      </vt:variant>
      <vt:variant>
        <vt:lpwstr>_Toc24627537</vt:lpwstr>
      </vt:variant>
      <vt:variant>
        <vt:i4>4653063</vt:i4>
      </vt:variant>
      <vt:variant>
        <vt:i4>0</vt:i4>
      </vt:variant>
      <vt:variant>
        <vt:i4>0</vt:i4>
      </vt:variant>
      <vt:variant>
        <vt:i4>5</vt:i4>
      </vt:variant>
      <vt:variant>
        <vt:lpwstr>https://www.dtf.vic.gov.au/infrastructure-investment/investment-lifecycle-and-high-value-high-risk-guidelines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title]</dc:title>
  <dc:subject>[publication name]</dc:subject>
  <dc:creator>Julie Marsal</dc:creator>
  <cp:keywords/>
  <dc:description/>
  <cp:lastModifiedBy>Paul Bowerman (DTF)</cp:lastModifiedBy>
  <cp:revision>3</cp:revision>
  <cp:lastPrinted>2022-12-19T03:07:00Z</cp:lastPrinted>
  <dcterms:created xsi:type="dcterms:W3CDTF">2023-01-25T04:17:00Z</dcterms:created>
  <dcterms:modified xsi:type="dcterms:W3CDTF">2023-01-25T04:18:00Z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number]</vt:lpwstr>
  </property>
  <property fmtid="{D5CDD505-2E9C-101B-9397-08002B2CF9AE}" pid="3" name="TitusGUID">
    <vt:lpwstr>7a47b9a8-9bbb-4940-b2c6-49160e89dffb</vt:lpwstr>
  </property>
  <property fmtid="{D5CDD505-2E9C-101B-9397-08002B2CF9AE}" pid="4" name="PSPFClassification">
    <vt:lpwstr>Do Not Mark</vt:lpwstr>
  </property>
  <property fmtid="{D5CDD505-2E9C-101B-9397-08002B2CF9AE}" pid="5" name="Classification">
    <vt:lpwstr>Do Not Mark</vt:lpwstr>
  </property>
  <property fmtid="{D5CDD505-2E9C-101B-9397-08002B2CF9AE}" pid="6" name="ContentTypeId">
    <vt:lpwstr>0x01010016071DB98A356C4AAEDC30992D26E8D2</vt:lpwstr>
  </property>
  <property fmtid="{D5CDD505-2E9C-101B-9397-08002B2CF9AE}" pid="7" name="MSIP_Label_bb4ee517-5ca4-4fff-98d2-ed4f906edd6d_Enabled">
    <vt:lpwstr>true</vt:lpwstr>
  </property>
  <property fmtid="{D5CDD505-2E9C-101B-9397-08002B2CF9AE}" pid="8" name="MSIP_Label_bb4ee517-5ca4-4fff-98d2-ed4f906edd6d_SetDate">
    <vt:lpwstr>2022-12-22T00:03:14Z</vt:lpwstr>
  </property>
  <property fmtid="{D5CDD505-2E9C-101B-9397-08002B2CF9AE}" pid="9" name="MSIP_Label_bb4ee517-5ca4-4fff-98d2-ed4f906edd6d_Method">
    <vt:lpwstr>Privileged</vt:lpwstr>
  </property>
  <property fmtid="{D5CDD505-2E9C-101B-9397-08002B2CF9AE}" pid="10" name="MSIP_Label_bb4ee517-5ca4-4fff-98d2-ed4f906edd6d_Name">
    <vt:lpwstr>bb4ee517-5ca4-4fff-98d2-ed4f906edd6d</vt:lpwstr>
  </property>
  <property fmtid="{D5CDD505-2E9C-101B-9397-08002B2CF9AE}" pid="11" name="MSIP_Label_bb4ee517-5ca4-4fff-98d2-ed4f906edd6d_SiteId">
    <vt:lpwstr>722ea0be-3e1c-4b11-ad6f-9401d6856e24</vt:lpwstr>
  </property>
  <property fmtid="{D5CDD505-2E9C-101B-9397-08002B2CF9AE}" pid="12" name="MSIP_Label_bb4ee517-5ca4-4fff-98d2-ed4f906edd6d_ContentBits">
    <vt:lpwstr>0</vt:lpwstr>
  </property>
</Properties>
</file>