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A4" w14:textId="55E8820E" w:rsidR="001B4A85" w:rsidRPr="001B4A85" w:rsidRDefault="001B4A85" w:rsidP="00311985">
      <w:pPr>
        <w:pStyle w:val="Title"/>
        <w:spacing w:before="440"/>
      </w:pPr>
      <w:bookmarkStart w:id="0" w:name="_Hlk141362008"/>
      <w:bookmarkStart w:id="1" w:name="_Hlk78891486"/>
      <w:r>
        <w:t>Incentivised Target Cost Contract Suite</w:t>
      </w:r>
    </w:p>
    <w:p w14:paraId="7F959CFE" w14:textId="54E79853" w:rsidR="001B4A85" w:rsidRPr="001B4A85" w:rsidRDefault="001B4A85" w:rsidP="001B4A85">
      <w:pPr>
        <w:pStyle w:val="Subtitle"/>
      </w:pPr>
      <w:r w:rsidRPr="00E125AE">
        <w:t>Guidance Notes</w:t>
      </w:r>
    </w:p>
    <w:p w14:paraId="29B4BE0D" w14:textId="77777777" w:rsidR="001B4A85" w:rsidRPr="00B2671F" w:rsidRDefault="001B4A85" w:rsidP="001B4A85">
      <w:pPr>
        <w:spacing w:before="0"/>
      </w:pPr>
      <w:bookmarkStart w:id="2" w:name="_Hlk49853564"/>
      <w:bookmarkStart w:id="3" w:name="_Hlk143000878"/>
    </w:p>
    <w:bookmarkEnd w:id="2"/>
    <w:p w14:paraId="15EBC347" w14:textId="77777777" w:rsidR="001B4A85" w:rsidRDefault="001B4A85" w:rsidP="001B4A85">
      <w:pPr>
        <w:sectPr w:rsidR="001B4A85" w:rsidSect="001B4A85">
          <w:headerReference w:type="default" r:id="rId12"/>
          <w:footerReference w:type="even" r:id="rId13"/>
          <w:footerReference w:type="default" r:id="rId14"/>
          <w:pgSz w:w="11906" w:h="16838" w:code="9"/>
          <w:pgMar w:top="1512" w:right="864" w:bottom="1440" w:left="1152" w:header="706" w:footer="1152" w:gutter="0"/>
          <w:pgNumType w:fmt="lowerRoman" w:start="1"/>
          <w:cols w:space="708"/>
          <w:docGrid w:linePitch="360"/>
        </w:sectPr>
      </w:pPr>
    </w:p>
    <w:p w14:paraId="2C28EF0D" w14:textId="77777777" w:rsidR="001B4A85" w:rsidRPr="00C92338" w:rsidRDefault="001B4A85" w:rsidP="00833BCE">
      <w:pPr>
        <w:pStyle w:val="NormalTight"/>
        <w:spacing w:before="700"/>
        <w:ind w:right="0"/>
      </w:pPr>
      <w:r w:rsidRPr="00C92338">
        <w:lastRenderedPageBreak/>
        <w:t>The Secretary</w:t>
      </w:r>
    </w:p>
    <w:p w14:paraId="396786FC" w14:textId="77777777" w:rsidR="001B4A85" w:rsidRPr="00C92338" w:rsidRDefault="001B4A85" w:rsidP="00932606">
      <w:pPr>
        <w:pStyle w:val="NormalTight"/>
        <w:ind w:right="0"/>
      </w:pPr>
      <w:r w:rsidRPr="00C92338">
        <w:t>Department of Treasury and Finance</w:t>
      </w:r>
    </w:p>
    <w:p w14:paraId="53B25367" w14:textId="77777777" w:rsidR="001B4A85" w:rsidRPr="00C92338" w:rsidRDefault="001B4A85" w:rsidP="00932606">
      <w:pPr>
        <w:pStyle w:val="NormalTight"/>
        <w:ind w:right="0"/>
      </w:pPr>
      <w:r w:rsidRPr="00C92338">
        <w:t>1 Treasury Place</w:t>
      </w:r>
    </w:p>
    <w:p w14:paraId="7B3678CC" w14:textId="77777777" w:rsidR="001B4A85" w:rsidRPr="00C92338" w:rsidRDefault="001B4A85" w:rsidP="00932606">
      <w:pPr>
        <w:pStyle w:val="NormalTight"/>
        <w:ind w:right="0"/>
      </w:pPr>
      <w:r w:rsidRPr="00C92338">
        <w:t>Melbourne Victoria 3002</w:t>
      </w:r>
    </w:p>
    <w:p w14:paraId="73C516E7" w14:textId="77777777" w:rsidR="001B4A85" w:rsidRPr="00C92338" w:rsidRDefault="001B4A85" w:rsidP="00932606">
      <w:pPr>
        <w:pStyle w:val="NormalTight"/>
        <w:ind w:right="0"/>
      </w:pPr>
      <w:r w:rsidRPr="00C92338">
        <w:t>Australia</w:t>
      </w:r>
    </w:p>
    <w:p w14:paraId="6B0C923A" w14:textId="77777777" w:rsidR="001B4A85" w:rsidRPr="00C92338" w:rsidRDefault="001B4A85" w:rsidP="00932606">
      <w:pPr>
        <w:pStyle w:val="NormalTight"/>
        <w:ind w:right="0"/>
      </w:pPr>
      <w:r w:rsidRPr="00C92338">
        <w:t>Telephone: +61 3 9651 5111</w:t>
      </w:r>
    </w:p>
    <w:p w14:paraId="5C52B414" w14:textId="17F22364" w:rsidR="001B4A85" w:rsidRPr="00C92338" w:rsidRDefault="003B6DB4" w:rsidP="00932606">
      <w:pPr>
        <w:pStyle w:val="NormalTight"/>
        <w:ind w:right="0"/>
      </w:pPr>
      <w:hyperlink r:id="rId15">
        <w:r w:rsidR="00FA695E" w:rsidRPr="2C5D2C8B">
          <w:rPr>
            <w:rStyle w:val="Hyperlink"/>
          </w:rPr>
          <w:t>dtf.vic.gov.au</w:t>
        </w:r>
      </w:hyperlink>
    </w:p>
    <w:p w14:paraId="6BD34A97" w14:textId="77777777" w:rsidR="001B4A85" w:rsidRPr="00C92338" w:rsidRDefault="001B4A85" w:rsidP="00932606">
      <w:pPr>
        <w:pStyle w:val="NormalTight"/>
        <w:ind w:right="0"/>
      </w:pPr>
    </w:p>
    <w:p w14:paraId="23E16F34" w14:textId="77777777" w:rsidR="001B4A85" w:rsidRPr="00C92338" w:rsidRDefault="001B4A85" w:rsidP="00932606">
      <w:pPr>
        <w:pStyle w:val="NormalTight"/>
        <w:ind w:right="0"/>
      </w:pPr>
      <w:r w:rsidRPr="00C92338">
        <w:t>Authorised by the Victorian Government</w:t>
      </w:r>
    </w:p>
    <w:p w14:paraId="1A73EA8B" w14:textId="090C5254" w:rsidR="001B4A85" w:rsidRPr="00C92338" w:rsidRDefault="001B4A85" w:rsidP="00932606">
      <w:pPr>
        <w:pStyle w:val="NormalTight"/>
        <w:ind w:right="0"/>
      </w:pPr>
      <w:r w:rsidRPr="00C92338">
        <w:t>1 Treasury Place, Melbourne, 3002</w:t>
      </w:r>
    </w:p>
    <w:p w14:paraId="6BF9A95D" w14:textId="77777777" w:rsidR="001B4A85" w:rsidRPr="00C92338" w:rsidRDefault="001B4A85" w:rsidP="00932606">
      <w:pPr>
        <w:pStyle w:val="NormalTight"/>
        <w:ind w:right="0"/>
      </w:pPr>
    </w:p>
    <w:p w14:paraId="63E350F1" w14:textId="3E628586" w:rsidR="001B4A85" w:rsidRDefault="2DBCEFA2" w:rsidP="00932606">
      <w:r>
        <w:t>© State of Victoria</w:t>
      </w:r>
      <w:r w:rsidR="001B4A85">
        <w:fldChar w:fldCharType="begin"/>
      </w:r>
      <w:r w:rsidR="001B4A85">
        <w:instrText xml:space="preserve"> DATE  \@ "yyyy" </w:instrText>
      </w:r>
      <w:r w:rsidR="001B4A85">
        <w:fldChar w:fldCharType="separate"/>
      </w:r>
      <w:r w:rsidR="00EE1577">
        <w:rPr>
          <w:noProof/>
        </w:rPr>
        <w:t>2023</w:t>
      </w:r>
      <w:r w:rsidR="001B4A85">
        <w:fldChar w:fldCharType="end"/>
      </w:r>
    </w:p>
    <w:p w14:paraId="22A506A5" w14:textId="310F765B" w:rsidR="001B4A85" w:rsidRPr="00C92338" w:rsidRDefault="2DBCEFA2" w:rsidP="00932606">
      <w:r>
        <w:rPr>
          <w:noProof/>
        </w:rPr>
        <w:drawing>
          <wp:inline distT="0" distB="0" distL="0" distR="0" wp14:anchorId="3D1F62DE" wp14:editId="6FFAD928">
            <wp:extent cx="1117460" cy="390972"/>
            <wp:effectExtent l="0" t="0" r="6985" b="9525"/>
            <wp:docPr id="236" name="Picture 236" descr="Creative Commons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reative Commons logo">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2FFC9A4B" w14:textId="6AE89C41" w:rsidR="001B4A85" w:rsidRPr="00C92338" w:rsidRDefault="001B4A85" w:rsidP="00932606">
      <w:pPr>
        <w:pStyle w:val="NormalTight"/>
        <w:ind w:right="0"/>
      </w:pPr>
      <w:r w:rsidRPr="00C92338">
        <w:t xml:space="preserve">You are free to re-use this work under a </w:t>
      </w:r>
      <w:hyperlink r:id="rId18"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8B80B7D" w14:textId="77777777" w:rsidR="001B4A85" w:rsidRPr="00C92338" w:rsidRDefault="001B4A85" w:rsidP="001B4A85">
      <w:pPr>
        <w:pStyle w:val="NormalTight"/>
      </w:pPr>
    </w:p>
    <w:p w14:paraId="179D5E87" w14:textId="631890A6" w:rsidR="001B4A85" w:rsidRPr="00C92338" w:rsidRDefault="2DBCEFA2" w:rsidP="00932606">
      <w:pPr>
        <w:pStyle w:val="NormalTight"/>
        <w:ind w:right="0"/>
      </w:pPr>
      <w:r>
        <w:t xml:space="preserve">Copyright queries may be directed to </w:t>
      </w:r>
      <w:hyperlink r:id="rId19">
        <w:r w:rsidRPr="2C5D2C8B">
          <w:rPr>
            <w:rStyle w:val="Hyperlink"/>
            <w:rFonts w:cstheme="minorBidi"/>
          </w:rPr>
          <w:t>IPpolicy@dtf.vic.gov.au</w:t>
        </w:r>
      </w:hyperlink>
      <w:r w:rsidR="615D6EC3" w:rsidRPr="2C5D2C8B">
        <w:rPr>
          <w:rStyle w:val="Hyperlink"/>
          <w:rFonts w:cstheme="minorBidi"/>
        </w:rPr>
        <w:t>.</w:t>
      </w:r>
    </w:p>
    <w:p w14:paraId="0B4029A7" w14:textId="77777777" w:rsidR="001B4A85" w:rsidRPr="00C92338" w:rsidRDefault="001B4A85" w:rsidP="00932606">
      <w:pPr>
        <w:pStyle w:val="NormalTight"/>
        <w:ind w:right="0"/>
      </w:pPr>
    </w:p>
    <w:p w14:paraId="3BDC96FF" w14:textId="6209B20D" w:rsidR="003920F5" w:rsidRDefault="003920F5" w:rsidP="00932606">
      <w:pPr>
        <w:pStyle w:val="NormalTight"/>
        <w:ind w:right="0"/>
      </w:pPr>
      <w:r>
        <w:t xml:space="preserve">ISBN </w:t>
      </w:r>
      <w:r w:rsidR="1DB885B7">
        <w:t>978-1-925551-93-8</w:t>
      </w:r>
    </w:p>
    <w:p w14:paraId="189991B3" w14:textId="40DB433E" w:rsidR="003920F5" w:rsidRDefault="003920F5" w:rsidP="00932606">
      <w:pPr>
        <w:pStyle w:val="NormalTight"/>
        <w:ind w:right="0"/>
      </w:pPr>
      <w:r>
        <w:t xml:space="preserve">Published </w:t>
      </w:r>
      <w:r w:rsidR="49D5F53C">
        <w:t xml:space="preserve">September </w:t>
      </w:r>
      <w:r>
        <w:t>2023</w:t>
      </w:r>
    </w:p>
    <w:p w14:paraId="6624E360" w14:textId="77777777" w:rsidR="001B4A85" w:rsidRPr="00C92338" w:rsidRDefault="001B4A85" w:rsidP="00932606">
      <w:pPr>
        <w:pStyle w:val="NormalTight"/>
        <w:ind w:right="0"/>
      </w:pPr>
    </w:p>
    <w:p w14:paraId="3033D057" w14:textId="375A23D6" w:rsidR="001B4A85" w:rsidRPr="00C92338" w:rsidRDefault="2DBCEFA2" w:rsidP="00932606">
      <w:pPr>
        <w:pStyle w:val="NormalTight"/>
        <w:ind w:right="0"/>
      </w:pPr>
      <w:r>
        <w:t>If you would like to receive this publication in an accessible format</w:t>
      </w:r>
      <w:r w:rsidR="4B12D0D0">
        <w:t>,</w:t>
      </w:r>
      <w:r>
        <w:t xml:space="preserve"> please email </w:t>
      </w:r>
      <w:hyperlink r:id="rId20">
        <w:r>
          <w:t>information@dtf.vic.gov.au</w:t>
        </w:r>
      </w:hyperlink>
      <w:r w:rsidR="4B12D0D0">
        <w:t>.</w:t>
      </w:r>
    </w:p>
    <w:p w14:paraId="4ECC53C0" w14:textId="77777777" w:rsidR="001B4A85" w:rsidRPr="00C92338" w:rsidRDefault="001B4A85" w:rsidP="001B4A85">
      <w:pPr>
        <w:pStyle w:val="NormalTight"/>
      </w:pPr>
    </w:p>
    <w:p w14:paraId="0FB5C4CB" w14:textId="7670020D" w:rsidR="001B4A85" w:rsidRPr="00FA695E" w:rsidRDefault="2DBCEFA2" w:rsidP="00932606">
      <w:pPr>
        <w:pStyle w:val="NormalTight"/>
        <w:ind w:right="0"/>
      </w:pPr>
      <w:r>
        <w:t xml:space="preserve">This document is also available in PDF format at </w:t>
      </w:r>
      <w:hyperlink r:id="rId21">
        <w:r w:rsidRPr="2C5D2C8B">
          <w:rPr>
            <w:rStyle w:val="Hyperlink"/>
          </w:rPr>
          <w:t>dtf.vic.gov.au</w:t>
        </w:r>
      </w:hyperlink>
      <w:r w:rsidR="4B12D0D0" w:rsidRPr="2C5D2C8B">
        <w:rPr>
          <w:rStyle w:val="Hyperlink"/>
        </w:rPr>
        <w:t>.</w:t>
      </w:r>
    </w:p>
    <w:p w14:paraId="38E80851" w14:textId="4EE0D960" w:rsidR="00932606" w:rsidRPr="00793909" w:rsidRDefault="00932606" w:rsidP="00932606">
      <w:pPr>
        <w:pStyle w:val="Heading3"/>
      </w:pPr>
      <w:r w:rsidRPr="00793909">
        <w:t>Disclaimer</w:t>
      </w:r>
    </w:p>
    <w:p w14:paraId="3893E245" w14:textId="3FEE80D3" w:rsidR="00932606" w:rsidRPr="001D6CD0" w:rsidRDefault="00932606" w:rsidP="00833BCE">
      <w:pPr>
        <w:keepNext/>
        <w:rPr>
          <w:sz w:val="18"/>
        </w:rPr>
      </w:pPr>
      <w:r w:rsidRPr="001D6CD0">
        <w:rPr>
          <w:sz w:val="18"/>
        </w:rPr>
        <w:t>The material contained in the Department of Treasury and Finance (DTF) Incentivised Target Cost (ITC) Contract Suite – Guidance Notes (Guidance Notes) is made available on the understanding that:</w:t>
      </w:r>
    </w:p>
    <w:p w14:paraId="1C5C388D" w14:textId="0CA6E233" w:rsidR="00932606" w:rsidRPr="001D6CD0" w:rsidRDefault="5FF09591" w:rsidP="00833BCE">
      <w:pPr>
        <w:pStyle w:val="Bullet1"/>
        <w:keepNext/>
        <w:ind w:left="288" w:hanging="288"/>
        <w:rPr>
          <w:sz w:val="18"/>
          <w:szCs w:val="18"/>
        </w:rPr>
      </w:pPr>
      <w:r w:rsidRPr="2C5D2C8B">
        <w:rPr>
          <w:sz w:val="18"/>
          <w:szCs w:val="18"/>
        </w:rPr>
        <w:t xml:space="preserve">the </w:t>
      </w:r>
      <w:r w:rsidR="0028D0B9" w:rsidRPr="2C5D2C8B">
        <w:rPr>
          <w:sz w:val="18"/>
          <w:szCs w:val="18"/>
        </w:rPr>
        <w:t>S</w:t>
      </w:r>
      <w:r w:rsidRPr="2C5D2C8B">
        <w:rPr>
          <w:sz w:val="18"/>
          <w:szCs w:val="18"/>
        </w:rPr>
        <w:t>tate is not providing professional advice</w:t>
      </w:r>
      <w:r w:rsidR="497E9B29" w:rsidRPr="2C5D2C8B">
        <w:rPr>
          <w:sz w:val="18"/>
          <w:szCs w:val="18"/>
        </w:rPr>
        <w:t>;</w:t>
      </w:r>
    </w:p>
    <w:p w14:paraId="18F237A4" w14:textId="32C37C56" w:rsidR="00932606" w:rsidRPr="001D6CD0" w:rsidRDefault="5FF09591" w:rsidP="00833BCE">
      <w:pPr>
        <w:pStyle w:val="Bullet1"/>
        <w:ind w:left="288" w:hanging="288"/>
        <w:rPr>
          <w:sz w:val="18"/>
          <w:szCs w:val="18"/>
        </w:rPr>
      </w:pPr>
      <w:r w:rsidRPr="2C5D2C8B">
        <w:rPr>
          <w:sz w:val="18"/>
          <w:szCs w:val="18"/>
        </w:rPr>
        <w:t>users exercise their own skill and care with respect to its use</w:t>
      </w:r>
      <w:r w:rsidR="497E9B29" w:rsidRPr="2C5D2C8B">
        <w:rPr>
          <w:sz w:val="18"/>
          <w:szCs w:val="18"/>
        </w:rPr>
        <w:t>;</w:t>
      </w:r>
      <w:r w:rsidR="68F77E4A" w:rsidRPr="2C5D2C8B">
        <w:rPr>
          <w:sz w:val="18"/>
          <w:szCs w:val="18"/>
        </w:rPr>
        <w:t xml:space="preserve"> and</w:t>
      </w:r>
    </w:p>
    <w:p w14:paraId="1F4D4DD2" w14:textId="43B11D98" w:rsidR="00932606" w:rsidRPr="001D6CD0" w:rsidRDefault="5FF09591" w:rsidP="00833BCE">
      <w:pPr>
        <w:pStyle w:val="Bullet1"/>
        <w:ind w:left="288" w:hanging="288"/>
        <w:rPr>
          <w:sz w:val="18"/>
          <w:szCs w:val="18"/>
        </w:rPr>
      </w:pPr>
      <w:r w:rsidRPr="2C5D2C8B">
        <w:rPr>
          <w:sz w:val="18"/>
          <w:szCs w:val="18"/>
        </w:rPr>
        <w:t>users will seek independent advice as necessary.</w:t>
      </w:r>
    </w:p>
    <w:p w14:paraId="73AF3073" w14:textId="7658EEF0" w:rsidR="00932606" w:rsidRPr="001D6CD0" w:rsidRDefault="00932606" w:rsidP="00932606">
      <w:pPr>
        <w:rPr>
          <w:sz w:val="18"/>
          <w:szCs w:val="18"/>
        </w:rPr>
      </w:pPr>
      <w:r w:rsidRPr="6C692D8C">
        <w:rPr>
          <w:sz w:val="18"/>
          <w:szCs w:val="18"/>
        </w:rPr>
        <w:t xml:space="preserve">The </w:t>
      </w:r>
      <w:r w:rsidR="0007240E">
        <w:rPr>
          <w:sz w:val="18"/>
          <w:szCs w:val="18"/>
        </w:rPr>
        <w:t>S</w:t>
      </w:r>
      <w:r w:rsidRPr="6C692D8C">
        <w:rPr>
          <w:sz w:val="18"/>
          <w:szCs w:val="18"/>
        </w:rPr>
        <w:t xml:space="preserve">tate gives no warranty and does not make any representation, express or implied, as to the contents or accuracy of the information contained in this publication. The </w:t>
      </w:r>
      <w:r w:rsidR="0007240E">
        <w:rPr>
          <w:sz w:val="18"/>
          <w:szCs w:val="18"/>
        </w:rPr>
        <w:t>S</w:t>
      </w:r>
      <w:r w:rsidRPr="6C692D8C">
        <w:rPr>
          <w:sz w:val="18"/>
          <w:szCs w:val="18"/>
        </w:rPr>
        <w:t>tate expressly disclaims any and all liability relating to or resulting from:</w:t>
      </w:r>
    </w:p>
    <w:p w14:paraId="22E2B0B4" w14:textId="1BC8F0DC" w:rsidR="00932606" w:rsidRPr="001D6CD0" w:rsidRDefault="5FF09591" w:rsidP="00833BCE">
      <w:pPr>
        <w:pStyle w:val="Bullet1"/>
        <w:ind w:left="288" w:hanging="288"/>
        <w:rPr>
          <w:sz w:val="18"/>
          <w:szCs w:val="18"/>
        </w:rPr>
      </w:pPr>
      <w:r w:rsidRPr="2C5D2C8B">
        <w:rPr>
          <w:sz w:val="18"/>
          <w:szCs w:val="18"/>
        </w:rPr>
        <w:t>the use of these Guidance Notes by any person</w:t>
      </w:r>
      <w:r w:rsidR="68F77E4A" w:rsidRPr="2C5D2C8B">
        <w:rPr>
          <w:sz w:val="18"/>
          <w:szCs w:val="18"/>
        </w:rPr>
        <w:t>; and</w:t>
      </w:r>
    </w:p>
    <w:p w14:paraId="6DA1A5DB" w14:textId="77777777" w:rsidR="00932606" w:rsidRPr="001D6CD0" w:rsidRDefault="00932606" w:rsidP="00833BCE">
      <w:pPr>
        <w:pStyle w:val="Bullet1"/>
        <w:ind w:left="288" w:hanging="288"/>
        <w:rPr>
          <w:sz w:val="18"/>
        </w:rPr>
      </w:pPr>
      <w:r w:rsidRPr="001D6CD0">
        <w:rPr>
          <w:sz w:val="18"/>
        </w:rPr>
        <w:t>anything done, or omitted to be done, in reliance upon information contained in these Guidance Notes.</w:t>
      </w:r>
    </w:p>
    <w:p w14:paraId="6D64B2CC" w14:textId="44537CB5" w:rsidR="00932606" w:rsidRPr="001D6CD0" w:rsidRDefault="5FF09591" w:rsidP="00932606">
      <w:pPr>
        <w:rPr>
          <w:sz w:val="18"/>
          <w:szCs w:val="18"/>
        </w:rPr>
      </w:pPr>
      <w:r w:rsidRPr="2C5D2C8B">
        <w:rPr>
          <w:sz w:val="18"/>
          <w:szCs w:val="18"/>
        </w:rPr>
        <w:t>These Guidance Notes must not be used for the interpretation of the ITC Contract Suite. Nothing in these Guidance Notes limits or affects the application, interpretation or enforcement of the terms and conditions in:</w:t>
      </w:r>
    </w:p>
    <w:p w14:paraId="4B2C4035" w14:textId="03A0AF70" w:rsidR="00932606" w:rsidRPr="001D6CD0" w:rsidRDefault="5FF09591" w:rsidP="00833BCE">
      <w:pPr>
        <w:pStyle w:val="Bullet1"/>
        <w:ind w:left="288" w:hanging="288"/>
        <w:rPr>
          <w:sz w:val="18"/>
          <w:szCs w:val="18"/>
        </w:rPr>
      </w:pPr>
      <w:r w:rsidRPr="2C5D2C8B">
        <w:rPr>
          <w:sz w:val="18"/>
          <w:szCs w:val="18"/>
        </w:rPr>
        <w:t>any Expression of Interest (EOI) or Request for Proposal (RFP)</w:t>
      </w:r>
      <w:r w:rsidR="087D5666" w:rsidRPr="2C5D2C8B">
        <w:rPr>
          <w:sz w:val="18"/>
          <w:szCs w:val="18"/>
        </w:rPr>
        <w:t>; or</w:t>
      </w:r>
    </w:p>
    <w:p w14:paraId="7BA81415" w14:textId="77777777" w:rsidR="00932606" w:rsidRPr="001D6CD0" w:rsidRDefault="00932606" w:rsidP="00833BCE">
      <w:pPr>
        <w:pStyle w:val="Bullet1"/>
        <w:ind w:left="288" w:hanging="288"/>
        <w:rPr>
          <w:sz w:val="18"/>
          <w:szCs w:val="18"/>
        </w:rPr>
      </w:pPr>
      <w:r w:rsidRPr="6C692D8C">
        <w:rPr>
          <w:sz w:val="18"/>
          <w:szCs w:val="18"/>
        </w:rPr>
        <w:t>the ITC Development Deed, ITC Delivery Deed or any Project Document entered into by the State.</w:t>
      </w:r>
    </w:p>
    <w:bookmarkEnd w:id="3"/>
    <w:p w14:paraId="4B4B63A1" w14:textId="77777777" w:rsidR="001B4A85" w:rsidRDefault="001B4A85" w:rsidP="001B4A85">
      <w:pPr>
        <w:sectPr w:rsidR="001B4A85" w:rsidSect="00833BCE">
          <w:headerReference w:type="default" r:id="rId22"/>
          <w:footerReference w:type="default" r:id="rId23"/>
          <w:pgSz w:w="11906" w:h="16838" w:code="9"/>
          <w:pgMar w:top="3326" w:right="1440" w:bottom="1080" w:left="1440" w:header="706" w:footer="461" w:gutter="0"/>
          <w:pgNumType w:fmt="lowerRoman" w:start="1"/>
          <w:cols w:num="2" w:space="432" w:equalWidth="0">
            <w:col w:w="4176" w:space="432"/>
            <w:col w:w="4418"/>
          </w:cols>
          <w:vAlign w:val="bottom"/>
          <w:docGrid w:linePitch="360"/>
        </w:sectPr>
      </w:pPr>
    </w:p>
    <w:p w14:paraId="263A070F" w14:textId="55919F2B" w:rsidR="001B4A85" w:rsidRPr="001E40EE" w:rsidRDefault="710DFC71" w:rsidP="001B4A85">
      <w:pPr>
        <w:pStyle w:val="TOCHeading"/>
      </w:pPr>
      <w:r>
        <w:t>Contents</w:t>
      </w:r>
    </w:p>
    <w:p w14:paraId="309E199F" w14:textId="1788E768" w:rsidR="00400321" w:rsidRDefault="001B4A85">
      <w:pPr>
        <w:pStyle w:val="TOC4"/>
        <w:rPr>
          <w:color w:val="auto"/>
          <w:sz w:val="22"/>
          <w:szCs w:val="22"/>
          <w:lang w:eastAsia="en-AU"/>
        </w:rPr>
      </w:pPr>
      <w:r>
        <w:rPr>
          <w:color w:val="auto"/>
        </w:rPr>
        <w:fldChar w:fldCharType="begin"/>
      </w:r>
      <w:r>
        <w:instrText xml:space="preserve"> TOC \h \z \t "Heading 1,1,Heading 2,2,</w:instrText>
      </w:r>
      <w:r w:rsidR="00A44FE1">
        <w:instrText xml:space="preserve"> </w:instrText>
      </w:r>
      <w:r>
        <w:instrText>Heading 1 numbered,4,Heading 2 numbered,5,</w:instrText>
      </w:r>
      <w:r w:rsidR="00AA2A9F">
        <w:instrText>Annexure heading,1</w:instrText>
      </w:r>
      <w:r>
        <w:instrText xml:space="preserve"> </w:instrText>
      </w:r>
      <w:r>
        <w:rPr>
          <w:color w:val="auto"/>
        </w:rPr>
        <w:fldChar w:fldCharType="separate"/>
      </w:r>
      <w:hyperlink w:anchor="_Toc145612557" w:history="1">
        <w:r w:rsidR="00400321" w:rsidRPr="0093517A">
          <w:rPr>
            <w:rStyle w:val="Hyperlink"/>
          </w:rPr>
          <w:t>1.</w:t>
        </w:r>
        <w:r w:rsidR="00400321">
          <w:rPr>
            <w:color w:val="auto"/>
            <w:sz w:val="22"/>
            <w:szCs w:val="22"/>
            <w:lang w:eastAsia="en-AU"/>
          </w:rPr>
          <w:tab/>
        </w:r>
        <w:r w:rsidR="00400321" w:rsidRPr="0093517A">
          <w:rPr>
            <w:rStyle w:val="Hyperlink"/>
          </w:rPr>
          <w:t>Introduction</w:t>
        </w:r>
        <w:r w:rsidR="00400321">
          <w:rPr>
            <w:webHidden/>
          </w:rPr>
          <w:tab/>
        </w:r>
        <w:r w:rsidR="00400321">
          <w:rPr>
            <w:webHidden/>
          </w:rPr>
          <w:fldChar w:fldCharType="begin"/>
        </w:r>
        <w:r w:rsidR="00400321">
          <w:rPr>
            <w:webHidden/>
          </w:rPr>
          <w:instrText xml:space="preserve"> PAGEREF _Toc145612557 \h </w:instrText>
        </w:r>
        <w:r w:rsidR="00400321">
          <w:rPr>
            <w:webHidden/>
          </w:rPr>
        </w:r>
        <w:r w:rsidR="00400321">
          <w:rPr>
            <w:webHidden/>
          </w:rPr>
          <w:fldChar w:fldCharType="separate"/>
        </w:r>
        <w:r w:rsidR="00131EE1">
          <w:rPr>
            <w:webHidden/>
          </w:rPr>
          <w:t>1</w:t>
        </w:r>
        <w:r w:rsidR="00400321">
          <w:rPr>
            <w:webHidden/>
          </w:rPr>
          <w:fldChar w:fldCharType="end"/>
        </w:r>
      </w:hyperlink>
    </w:p>
    <w:p w14:paraId="3C49C227" w14:textId="114F0AB5" w:rsidR="00400321" w:rsidRDefault="003B6DB4">
      <w:pPr>
        <w:pStyle w:val="TOC5"/>
        <w:tabs>
          <w:tab w:val="left" w:pos="1080"/>
        </w:tabs>
        <w:rPr>
          <w:color w:val="auto"/>
          <w:spacing w:val="0"/>
          <w:sz w:val="22"/>
          <w:szCs w:val="22"/>
          <w:lang w:eastAsia="en-AU"/>
        </w:rPr>
      </w:pPr>
      <w:hyperlink w:anchor="_Toc145612558" w:history="1">
        <w:r w:rsidR="00400321" w:rsidRPr="0093517A">
          <w:rPr>
            <w:rStyle w:val="Hyperlink"/>
          </w:rPr>
          <w:t>1.1</w:t>
        </w:r>
        <w:r w:rsidR="00400321">
          <w:rPr>
            <w:color w:val="auto"/>
            <w:spacing w:val="0"/>
            <w:sz w:val="22"/>
            <w:szCs w:val="22"/>
            <w:lang w:eastAsia="en-AU"/>
          </w:rPr>
          <w:tab/>
        </w:r>
        <w:r w:rsidR="00400321" w:rsidRPr="0093517A">
          <w:rPr>
            <w:rStyle w:val="Hyperlink"/>
          </w:rPr>
          <w:t>Purpose</w:t>
        </w:r>
        <w:r w:rsidR="00400321">
          <w:rPr>
            <w:webHidden/>
          </w:rPr>
          <w:tab/>
        </w:r>
        <w:r w:rsidR="00400321">
          <w:rPr>
            <w:webHidden/>
          </w:rPr>
          <w:fldChar w:fldCharType="begin"/>
        </w:r>
        <w:r w:rsidR="00400321">
          <w:rPr>
            <w:webHidden/>
          </w:rPr>
          <w:instrText xml:space="preserve"> PAGEREF _Toc145612558 \h </w:instrText>
        </w:r>
        <w:r w:rsidR="00400321">
          <w:rPr>
            <w:webHidden/>
          </w:rPr>
        </w:r>
        <w:r w:rsidR="00400321">
          <w:rPr>
            <w:webHidden/>
          </w:rPr>
          <w:fldChar w:fldCharType="separate"/>
        </w:r>
        <w:r w:rsidR="00131EE1">
          <w:rPr>
            <w:webHidden/>
          </w:rPr>
          <w:t>1</w:t>
        </w:r>
        <w:r w:rsidR="00400321">
          <w:rPr>
            <w:webHidden/>
          </w:rPr>
          <w:fldChar w:fldCharType="end"/>
        </w:r>
      </w:hyperlink>
    </w:p>
    <w:p w14:paraId="74AA2064" w14:textId="494A6A5D" w:rsidR="00400321" w:rsidRDefault="003B6DB4">
      <w:pPr>
        <w:pStyle w:val="TOC5"/>
        <w:tabs>
          <w:tab w:val="left" w:pos="1080"/>
        </w:tabs>
        <w:rPr>
          <w:color w:val="auto"/>
          <w:spacing w:val="0"/>
          <w:sz w:val="22"/>
          <w:szCs w:val="22"/>
          <w:lang w:eastAsia="en-AU"/>
        </w:rPr>
      </w:pPr>
      <w:hyperlink w:anchor="_Toc145612559" w:history="1">
        <w:r w:rsidR="00400321" w:rsidRPr="0093517A">
          <w:rPr>
            <w:rStyle w:val="Hyperlink"/>
          </w:rPr>
          <w:t>1.2</w:t>
        </w:r>
        <w:r w:rsidR="00400321">
          <w:rPr>
            <w:color w:val="auto"/>
            <w:spacing w:val="0"/>
            <w:sz w:val="22"/>
            <w:szCs w:val="22"/>
            <w:lang w:eastAsia="en-AU"/>
          </w:rPr>
          <w:tab/>
        </w:r>
        <w:r w:rsidR="00400321" w:rsidRPr="0093517A">
          <w:rPr>
            <w:rStyle w:val="Hyperlink"/>
          </w:rPr>
          <w:t>Context</w:t>
        </w:r>
        <w:r w:rsidR="00400321">
          <w:rPr>
            <w:webHidden/>
          </w:rPr>
          <w:tab/>
        </w:r>
        <w:r w:rsidR="00400321">
          <w:rPr>
            <w:webHidden/>
          </w:rPr>
          <w:fldChar w:fldCharType="begin"/>
        </w:r>
        <w:r w:rsidR="00400321">
          <w:rPr>
            <w:webHidden/>
          </w:rPr>
          <w:instrText xml:space="preserve"> PAGEREF _Toc145612559 \h </w:instrText>
        </w:r>
        <w:r w:rsidR="00400321">
          <w:rPr>
            <w:webHidden/>
          </w:rPr>
        </w:r>
        <w:r w:rsidR="00400321">
          <w:rPr>
            <w:webHidden/>
          </w:rPr>
          <w:fldChar w:fldCharType="separate"/>
        </w:r>
        <w:r w:rsidR="00131EE1">
          <w:rPr>
            <w:webHidden/>
          </w:rPr>
          <w:t>2</w:t>
        </w:r>
        <w:r w:rsidR="00400321">
          <w:rPr>
            <w:webHidden/>
          </w:rPr>
          <w:fldChar w:fldCharType="end"/>
        </w:r>
      </w:hyperlink>
    </w:p>
    <w:p w14:paraId="3DA98E72" w14:textId="008FFD5A" w:rsidR="00400321" w:rsidRDefault="003B6DB4">
      <w:pPr>
        <w:pStyle w:val="TOC5"/>
        <w:tabs>
          <w:tab w:val="left" w:pos="1080"/>
        </w:tabs>
        <w:rPr>
          <w:color w:val="auto"/>
          <w:spacing w:val="0"/>
          <w:sz w:val="22"/>
          <w:szCs w:val="22"/>
          <w:lang w:eastAsia="en-AU"/>
        </w:rPr>
      </w:pPr>
      <w:hyperlink w:anchor="_Toc145612560" w:history="1">
        <w:r w:rsidR="00400321" w:rsidRPr="0093517A">
          <w:rPr>
            <w:rStyle w:val="Hyperlink"/>
          </w:rPr>
          <w:t>1.3</w:t>
        </w:r>
        <w:r w:rsidR="00400321">
          <w:rPr>
            <w:color w:val="auto"/>
            <w:spacing w:val="0"/>
            <w:sz w:val="22"/>
            <w:szCs w:val="22"/>
            <w:lang w:eastAsia="en-AU"/>
          </w:rPr>
          <w:tab/>
        </w:r>
        <w:r w:rsidR="00400321" w:rsidRPr="0093517A">
          <w:rPr>
            <w:rStyle w:val="Hyperlink"/>
          </w:rPr>
          <w:t>ITC Contract Suite</w:t>
        </w:r>
        <w:r w:rsidR="00400321">
          <w:rPr>
            <w:webHidden/>
          </w:rPr>
          <w:tab/>
        </w:r>
        <w:r w:rsidR="00400321">
          <w:rPr>
            <w:webHidden/>
          </w:rPr>
          <w:fldChar w:fldCharType="begin"/>
        </w:r>
        <w:r w:rsidR="00400321">
          <w:rPr>
            <w:webHidden/>
          </w:rPr>
          <w:instrText xml:space="preserve"> PAGEREF _Toc145612560 \h </w:instrText>
        </w:r>
        <w:r w:rsidR="00400321">
          <w:rPr>
            <w:webHidden/>
          </w:rPr>
        </w:r>
        <w:r w:rsidR="00400321">
          <w:rPr>
            <w:webHidden/>
          </w:rPr>
          <w:fldChar w:fldCharType="separate"/>
        </w:r>
        <w:r w:rsidR="00131EE1">
          <w:rPr>
            <w:webHidden/>
          </w:rPr>
          <w:t>3</w:t>
        </w:r>
        <w:r w:rsidR="00400321">
          <w:rPr>
            <w:webHidden/>
          </w:rPr>
          <w:fldChar w:fldCharType="end"/>
        </w:r>
      </w:hyperlink>
    </w:p>
    <w:p w14:paraId="2CCA7778" w14:textId="577F4AD0" w:rsidR="00400321" w:rsidRDefault="003B6DB4">
      <w:pPr>
        <w:pStyle w:val="TOC5"/>
        <w:tabs>
          <w:tab w:val="left" w:pos="1080"/>
        </w:tabs>
        <w:rPr>
          <w:color w:val="auto"/>
          <w:spacing w:val="0"/>
          <w:sz w:val="22"/>
          <w:szCs w:val="22"/>
          <w:lang w:eastAsia="en-AU"/>
        </w:rPr>
      </w:pPr>
      <w:hyperlink w:anchor="_Toc145612561" w:history="1">
        <w:r w:rsidR="00400321" w:rsidRPr="0093517A">
          <w:rPr>
            <w:rStyle w:val="Hyperlink"/>
          </w:rPr>
          <w:t>1.4</w:t>
        </w:r>
        <w:r w:rsidR="00400321">
          <w:rPr>
            <w:color w:val="auto"/>
            <w:spacing w:val="0"/>
            <w:sz w:val="22"/>
            <w:szCs w:val="22"/>
            <w:lang w:eastAsia="en-AU"/>
          </w:rPr>
          <w:tab/>
        </w:r>
        <w:r w:rsidR="00400321" w:rsidRPr="0093517A">
          <w:rPr>
            <w:rStyle w:val="Hyperlink"/>
          </w:rPr>
          <w:t>Procurement process of the ITC Contract Suite</w:t>
        </w:r>
        <w:r w:rsidR="00400321">
          <w:rPr>
            <w:webHidden/>
          </w:rPr>
          <w:tab/>
        </w:r>
        <w:r w:rsidR="00400321">
          <w:rPr>
            <w:webHidden/>
          </w:rPr>
          <w:fldChar w:fldCharType="begin"/>
        </w:r>
        <w:r w:rsidR="00400321">
          <w:rPr>
            <w:webHidden/>
          </w:rPr>
          <w:instrText xml:space="preserve"> PAGEREF _Toc145612561 \h </w:instrText>
        </w:r>
        <w:r w:rsidR="00400321">
          <w:rPr>
            <w:webHidden/>
          </w:rPr>
        </w:r>
        <w:r w:rsidR="00400321">
          <w:rPr>
            <w:webHidden/>
          </w:rPr>
          <w:fldChar w:fldCharType="separate"/>
        </w:r>
        <w:r w:rsidR="00131EE1">
          <w:rPr>
            <w:webHidden/>
          </w:rPr>
          <w:t>6</w:t>
        </w:r>
        <w:r w:rsidR="00400321">
          <w:rPr>
            <w:webHidden/>
          </w:rPr>
          <w:fldChar w:fldCharType="end"/>
        </w:r>
      </w:hyperlink>
    </w:p>
    <w:p w14:paraId="6E55F814" w14:textId="67A2E295" w:rsidR="00400321" w:rsidRDefault="003B6DB4">
      <w:pPr>
        <w:pStyle w:val="TOC5"/>
        <w:tabs>
          <w:tab w:val="left" w:pos="1080"/>
        </w:tabs>
        <w:rPr>
          <w:color w:val="auto"/>
          <w:spacing w:val="0"/>
          <w:sz w:val="22"/>
          <w:szCs w:val="22"/>
          <w:lang w:eastAsia="en-AU"/>
        </w:rPr>
      </w:pPr>
      <w:hyperlink w:anchor="_Toc145612562" w:history="1">
        <w:r w:rsidR="00400321" w:rsidRPr="0093517A">
          <w:rPr>
            <w:rStyle w:val="Hyperlink"/>
          </w:rPr>
          <w:t>1.5</w:t>
        </w:r>
        <w:r w:rsidR="00400321">
          <w:rPr>
            <w:color w:val="auto"/>
            <w:spacing w:val="0"/>
            <w:sz w:val="22"/>
            <w:szCs w:val="22"/>
            <w:lang w:eastAsia="en-AU"/>
          </w:rPr>
          <w:tab/>
        </w:r>
        <w:r w:rsidR="00400321" w:rsidRPr="0093517A">
          <w:rPr>
            <w:rStyle w:val="Hyperlink"/>
          </w:rPr>
          <w:t>Form and structure of the ITC Contract Suite</w:t>
        </w:r>
        <w:r w:rsidR="00400321">
          <w:rPr>
            <w:webHidden/>
          </w:rPr>
          <w:tab/>
        </w:r>
        <w:r w:rsidR="00400321">
          <w:rPr>
            <w:webHidden/>
          </w:rPr>
          <w:fldChar w:fldCharType="begin"/>
        </w:r>
        <w:r w:rsidR="00400321">
          <w:rPr>
            <w:webHidden/>
          </w:rPr>
          <w:instrText xml:space="preserve"> PAGEREF _Toc145612562 \h </w:instrText>
        </w:r>
        <w:r w:rsidR="00400321">
          <w:rPr>
            <w:webHidden/>
          </w:rPr>
        </w:r>
        <w:r w:rsidR="00400321">
          <w:rPr>
            <w:webHidden/>
          </w:rPr>
          <w:fldChar w:fldCharType="separate"/>
        </w:r>
        <w:r w:rsidR="00131EE1">
          <w:rPr>
            <w:webHidden/>
          </w:rPr>
          <w:t>9</w:t>
        </w:r>
        <w:r w:rsidR="00400321">
          <w:rPr>
            <w:webHidden/>
          </w:rPr>
          <w:fldChar w:fldCharType="end"/>
        </w:r>
      </w:hyperlink>
    </w:p>
    <w:p w14:paraId="731B0E06" w14:textId="725B4D9A" w:rsidR="00400321" w:rsidRDefault="003B6DB4">
      <w:pPr>
        <w:pStyle w:val="TOC5"/>
        <w:tabs>
          <w:tab w:val="left" w:pos="1080"/>
        </w:tabs>
        <w:rPr>
          <w:color w:val="auto"/>
          <w:spacing w:val="0"/>
          <w:sz w:val="22"/>
          <w:szCs w:val="22"/>
          <w:lang w:eastAsia="en-AU"/>
        </w:rPr>
      </w:pPr>
      <w:hyperlink w:anchor="_Toc145612563" w:history="1">
        <w:r w:rsidR="00400321" w:rsidRPr="0093517A">
          <w:rPr>
            <w:rStyle w:val="Hyperlink"/>
          </w:rPr>
          <w:t>1.6</w:t>
        </w:r>
        <w:r w:rsidR="00400321">
          <w:rPr>
            <w:color w:val="auto"/>
            <w:spacing w:val="0"/>
            <w:sz w:val="22"/>
            <w:szCs w:val="22"/>
            <w:lang w:eastAsia="en-AU"/>
          </w:rPr>
          <w:tab/>
        </w:r>
        <w:r w:rsidR="00400321" w:rsidRPr="0093517A">
          <w:rPr>
            <w:rStyle w:val="Hyperlink"/>
          </w:rPr>
          <w:t>Legislative context</w:t>
        </w:r>
        <w:r w:rsidR="00400321">
          <w:rPr>
            <w:webHidden/>
          </w:rPr>
          <w:tab/>
        </w:r>
        <w:r w:rsidR="00400321">
          <w:rPr>
            <w:webHidden/>
          </w:rPr>
          <w:fldChar w:fldCharType="begin"/>
        </w:r>
        <w:r w:rsidR="00400321">
          <w:rPr>
            <w:webHidden/>
          </w:rPr>
          <w:instrText xml:space="preserve"> PAGEREF _Toc145612563 \h </w:instrText>
        </w:r>
        <w:r w:rsidR="00400321">
          <w:rPr>
            <w:webHidden/>
          </w:rPr>
        </w:r>
        <w:r w:rsidR="00400321">
          <w:rPr>
            <w:webHidden/>
          </w:rPr>
          <w:fldChar w:fldCharType="separate"/>
        </w:r>
        <w:r w:rsidR="00131EE1">
          <w:rPr>
            <w:webHidden/>
          </w:rPr>
          <w:t>10</w:t>
        </w:r>
        <w:r w:rsidR="00400321">
          <w:rPr>
            <w:webHidden/>
          </w:rPr>
          <w:fldChar w:fldCharType="end"/>
        </w:r>
      </w:hyperlink>
    </w:p>
    <w:p w14:paraId="6FF5F8A2" w14:textId="73D9DD24" w:rsidR="00400321" w:rsidRDefault="003B6DB4">
      <w:pPr>
        <w:pStyle w:val="TOC4"/>
        <w:rPr>
          <w:color w:val="auto"/>
          <w:sz w:val="22"/>
          <w:szCs w:val="22"/>
          <w:lang w:eastAsia="en-AU"/>
        </w:rPr>
      </w:pPr>
      <w:hyperlink w:anchor="_Toc145612564" w:history="1">
        <w:r w:rsidR="00400321" w:rsidRPr="0093517A">
          <w:rPr>
            <w:rStyle w:val="Hyperlink"/>
          </w:rPr>
          <w:t>2.</w:t>
        </w:r>
        <w:r w:rsidR="00400321">
          <w:rPr>
            <w:color w:val="auto"/>
            <w:sz w:val="22"/>
            <w:szCs w:val="22"/>
            <w:lang w:eastAsia="en-AU"/>
          </w:rPr>
          <w:tab/>
        </w:r>
        <w:r w:rsidR="00400321" w:rsidRPr="0093517A">
          <w:rPr>
            <w:rStyle w:val="Hyperlink"/>
          </w:rPr>
          <w:t>Governance, approvals and assurance</w:t>
        </w:r>
        <w:r w:rsidR="00400321">
          <w:rPr>
            <w:webHidden/>
          </w:rPr>
          <w:tab/>
        </w:r>
        <w:r w:rsidR="00400321">
          <w:rPr>
            <w:webHidden/>
          </w:rPr>
          <w:fldChar w:fldCharType="begin"/>
        </w:r>
        <w:r w:rsidR="00400321">
          <w:rPr>
            <w:webHidden/>
          </w:rPr>
          <w:instrText xml:space="preserve"> PAGEREF _Toc145612564 \h </w:instrText>
        </w:r>
        <w:r w:rsidR="00400321">
          <w:rPr>
            <w:webHidden/>
          </w:rPr>
        </w:r>
        <w:r w:rsidR="00400321">
          <w:rPr>
            <w:webHidden/>
          </w:rPr>
          <w:fldChar w:fldCharType="separate"/>
        </w:r>
        <w:r w:rsidR="00131EE1">
          <w:rPr>
            <w:webHidden/>
          </w:rPr>
          <w:t>12</w:t>
        </w:r>
        <w:r w:rsidR="00400321">
          <w:rPr>
            <w:webHidden/>
          </w:rPr>
          <w:fldChar w:fldCharType="end"/>
        </w:r>
      </w:hyperlink>
    </w:p>
    <w:p w14:paraId="4A5053D0" w14:textId="589DA449" w:rsidR="00400321" w:rsidRDefault="003B6DB4">
      <w:pPr>
        <w:pStyle w:val="TOC5"/>
        <w:tabs>
          <w:tab w:val="left" w:pos="1080"/>
        </w:tabs>
        <w:rPr>
          <w:color w:val="auto"/>
          <w:spacing w:val="0"/>
          <w:sz w:val="22"/>
          <w:szCs w:val="22"/>
          <w:lang w:eastAsia="en-AU"/>
        </w:rPr>
      </w:pPr>
      <w:hyperlink w:anchor="_Toc145612565" w:history="1">
        <w:r w:rsidR="00400321" w:rsidRPr="0093517A">
          <w:rPr>
            <w:rStyle w:val="Hyperlink"/>
          </w:rPr>
          <w:t>2.1</w:t>
        </w:r>
        <w:r w:rsidR="00400321">
          <w:rPr>
            <w:color w:val="auto"/>
            <w:spacing w:val="0"/>
            <w:sz w:val="22"/>
            <w:szCs w:val="22"/>
            <w:lang w:eastAsia="en-AU"/>
          </w:rPr>
          <w:tab/>
        </w:r>
        <w:r w:rsidR="00400321" w:rsidRPr="0093517A">
          <w:rPr>
            <w:rStyle w:val="Hyperlink"/>
          </w:rPr>
          <w:t>Governance arrangements</w:t>
        </w:r>
        <w:r w:rsidR="00400321">
          <w:rPr>
            <w:webHidden/>
          </w:rPr>
          <w:tab/>
        </w:r>
        <w:r w:rsidR="00400321">
          <w:rPr>
            <w:webHidden/>
          </w:rPr>
          <w:fldChar w:fldCharType="begin"/>
        </w:r>
        <w:r w:rsidR="00400321">
          <w:rPr>
            <w:webHidden/>
          </w:rPr>
          <w:instrText xml:space="preserve"> PAGEREF _Toc145612565 \h </w:instrText>
        </w:r>
        <w:r w:rsidR="00400321">
          <w:rPr>
            <w:webHidden/>
          </w:rPr>
        </w:r>
        <w:r w:rsidR="00400321">
          <w:rPr>
            <w:webHidden/>
          </w:rPr>
          <w:fldChar w:fldCharType="separate"/>
        </w:r>
        <w:r w:rsidR="00131EE1">
          <w:rPr>
            <w:webHidden/>
          </w:rPr>
          <w:t>12</w:t>
        </w:r>
        <w:r w:rsidR="00400321">
          <w:rPr>
            <w:webHidden/>
          </w:rPr>
          <w:fldChar w:fldCharType="end"/>
        </w:r>
      </w:hyperlink>
    </w:p>
    <w:p w14:paraId="06AC413C" w14:textId="4D60D7E9" w:rsidR="00400321" w:rsidRDefault="003B6DB4">
      <w:pPr>
        <w:pStyle w:val="TOC5"/>
        <w:tabs>
          <w:tab w:val="left" w:pos="1080"/>
        </w:tabs>
        <w:rPr>
          <w:color w:val="auto"/>
          <w:spacing w:val="0"/>
          <w:sz w:val="22"/>
          <w:szCs w:val="22"/>
          <w:lang w:eastAsia="en-AU"/>
        </w:rPr>
      </w:pPr>
      <w:hyperlink w:anchor="_Toc145612566" w:history="1">
        <w:r w:rsidR="00400321" w:rsidRPr="0093517A">
          <w:rPr>
            <w:rStyle w:val="Hyperlink"/>
          </w:rPr>
          <w:t>2.2</w:t>
        </w:r>
        <w:r w:rsidR="00400321">
          <w:rPr>
            <w:color w:val="auto"/>
            <w:spacing w:val="0"/>
            <w:sz w:val="22"/>
            <w:szCs w:val="22"/>
            <w:lang w:eastAsia="en-AU"/>
          </w:rPr>
          <w:tab/>
        </w:r>
        <w:r w:rsidR="00400321" w:rsidRPr="0093517A">
          <w:rPr>
            <w:rStyle w:val="Hyperlink"/>
          </w:rPr>
          <w:t>Role of the informed and engaged client</w:t>
        </w:r>
        <w:r w:rsidR="00400321">
          <w:rPr>
            <w:webHidden/>
          </w:rPr>
          <w:tab/>
        </w:r>
        <w:r w:rsidR="00400321">
          <w:rPr>
            <w:webHidden/>
          </w:rPr>
          <w:fldChar w:fldCharType="begin"/>
        </w:r>
        <w:r w:rsidR="00400321">
          <w:rPr>
            <w:webHidden/>
          </w:rPr>
          <w:instrText xml:space="preserve"> PAGEREF _Toc145612566 \h </w:instrText>
        </w:r>
        <w:r w:rsidR="00400321">
          <w:rPr>
            <w:webHidden/>
          </w:rPr>
        </w:r>
        <w:r w:rsidR="00400321">
          <w:rPr>
            <w:webHidden/>
          </w:rPr>
          <w:fldChar w:fldCharType="separate"/>
        </w:r>
        <w:r w:rsidR="00131EE1">
          <w:rPr>
            <w:webHidden/>
          </w:rPr>
          <w:t>13</w:t>
        </w:r>
        <w:r w:rsidR="00400321">
          <w:rPr>
            <w:webHidden/>
          </w:rPr>
          <w:fldChar w:fldCharType="end"/>
        </w:r>
      </w:hyperlink>
    </w:p>
    <w:p w14:paraId="194F5924" w14:textId="3D6931CB" w:rsidR="00400321" w:rsidRDefault="003B6DB4">
      <w:pPr>
        <w:pStyle w:val="TOC5"/>
        <w:tabs>
          <w:tab w:val="left" w:pos="1080"/>
        </w:tabs>
        <w:rPr>
          <w:color w:val="auto"/>
          <w:spacing w:val="0"/>
          <w:sz w:val="22"/>
          <w:szCs w:val="22"/>
          <w:lang w:eastAsia="en-AU"/>
        </w:rPr>
      </w:pPr>
      <w:hyperlink w:anchor="_Toc145612567" w:history="1">
        <w:r w:rsidR="00400321" w:rsidRPr="0093517A">
          <w:rPr>
            <w:rStyle w:val="Hyperlink"/>
          </w:rPr>
          <w:t>2.3</w:t>
        </w:r>
        <w:r w:rsidR="00400321">
          <w:rPr>
            <w:color w:val="auto"/>
            <w:spacing w:val="0"/>
            <w:sz w:val="22"/>
            <w:szCs w:val="22"/>
            <w:lang w:eastAsia="en-AU"/>
          </w:rPr>
          <w:tab/>
        </w:r>
        <w:r w:rsidR="00400321" w:rsidRPr="0093517A">
          <w:rPr>
            <w:rStyle w:val="Hyperlink"/>
          </w:rPr>
          <w:t>Approvals and project assurance</w:t>
        </w:r>
        <w:r w:rsidR="00400321">
          <w:rPr>
            <w:webHidden/>
          </w:rPr>
          <w:tab/>
        </w:r>
        <w:r w:rsidR="00400321">
          <w:rPr>
            <w:webHidden/>
          </w:rPr>
          <w:fldChar w:fldCharType="begin"/>
        </w:r>
        <w:r w:rsidR="00400321">
          <w:rPr>
            <w:webHidden/>
          </w:rPr>
          <w:instrText xml:space="preserve"> PAGEREF _Toc145612567 \h </w:instrText>
        </w:r>
        <w:r w:rsidR="00400321">
          <w:rPr>
            <w:webHidden/>
          </w:rPr>
        </w:r>
        <w:r w:rsidR="00400321">
          <w:rPr>
            <w:webHidden/>
          </w:rPr>
          <w:fldChar w:fldCharType="separate"/>
        </w:r>
        <w:r w:rsidR="00131EE1">
          <w:rPr>
            <w:webHidden/>
          </w:rPr>
          <w:t>14</w:t>
        </w:r>
        <w:r w:rsidR="00400321">
          <w:rPr>
            <w:webHidden/>
          </w:rPr>
          <w:fldChar w:fldCharType="end"/>
        </w:r>
      </w:hyperlink>
    </w:p>
    <w:p w14:paraId="141B725A" w14:textId="56876E88" w:rsidR="00400321" w:rsidRDefault="003B6DB4">
      <w:pPr>
        <w:pStyle w:val="TOC5"/>
        <w:tabs>
          <w:tab w:val="left" w:pos="1080"/>
        </w:tabs>
        <w:rPr>
          <w:color w:val="auto"/>
          <w:spacing w:val="0"/>
          <w:sz w:val="22"/>
          <w:szCs w:val="22"/>
          <w:lang w:eastAsia="en-AU"/>
        </w:rPr>
      </w:pPr>
      <w:hyperlink w:anchor="_Toc145612568" w:history="1">
        <w:r w:rsidR="00400321" w:rsidRPr="0093517A">
          <w:rPr>
            <w:rStyle w:val="Hyperlink"/>
          </w:rPr>
          <w:t>2.4</w:t>
        </w:r>
        <w:r w:rsidR="00400321">
          <w:rPr>
            <w:color w:val="auto"/>
            <w:spacing w:val="0"/>
            <w:sz w:val="22"/>
            <w:szCs w:val="22"/>
            <w:lang w:eastAsia="en-AU"/>
          </w:rPr>
          <w:tab/>
        </w:r>
        <w:r w:rsidR="00400321" w:rsidRPr="0093517A">
          <w:rPr>
            <w:rStyle w:val="Hyperlink"/>
          </w:rPr>
          <w:t>Principal Representative</w:t>
        </w:r>
        <w:r w:rsidR="00400321">
          <w:rPr>
            <w:webHidden/>
          </w:rPr>
          <w:tab/>
        </w:r>
        <w:r w:rsidR="00400321">
          <w:rPr>
            <w:webHidden/>
          </w:rPr>
          <w:fldChar w:fldCharType="begin"/>
        </w:r>
        <w:r w:rsidR="00400321">
          <w:rPr>
            <w:webHidden/>
          </w:rPr>
          <w:instrText xml:space="preserve"> PAGEREF _Toc145612568 \h </w:instrText>
        </w:r>
        <w:r w:rsidR="00400321">
          <w:rPr>
            <w:webHidden/>
          </w:rPr>
        </w:r>
        <w:r w:rsidR="00400321">
          <w:rPr>
            <w:webHidden/>
          </w:rPr>
          <w:fldChar w:fldCharType="separate"/>
        </w:r>
        <w:r w:rsidR="00131EE1">
          <w:rPr>
            <w:webHidden/>
          </w:rPr>
          <w:t>15</w:t>
        </w:r>
        <w:r w:rsidR="00400321">
          <w:rPr>
            <w:webHidden/>
          </w:rPr>
          <w:fldChar w:fldCharType="end"/>
        </w:r>
      </w:hyperlink>
    </w:p>
    <w:p w14:paraId="7BFEA9FA" w14:textId="6733447E" w:rsidR="00400321" w:rsidRDefault="003B6DB4">
      <w:pPr>
        <w:pStyle w:val="TOC4"/>
        <w:rPr>
          <w:color w:val="auto"/>
          <w:sz w:val="22"/>
          <w:szCs w:val="22"/>
          <w:lang w:eastAsia="en-AU"/>
        </w:rPr>
      </w:pPr>
      <w:hyperlink w:anchor="_Toc145612569" w:history="1">
        <w:r w:rsidR="00400321" w:rsidRPr="0093517A">
          <w:rPr>
            <w:rStyle w:val="Hyperlink"/>
          </w:rPr>
          <w:t>3.</w:t>
        </w:r>
        <w:r w:rsidR="00400321">
          <w:rPr>
            <w:color w:val="auto"/>
            <w:sz w:val="22"/>
            <w:szCs w:val="22"/>
            <w:lang w:eastAsia="en-AU"/>
          </w:rPr>
          <w:tab/>
        </w:r>
        <w:r w:rsidR="00400321" w:rsidRPr="0093517A">
          <w:rPr>
            <w:rStyle w:val="Hyperlink"/>
          </w:rPr>
          <w:t>Commercial framework</w:t>
        </w:r>
        <w:r w:rsidR="00400321">
          <w:rPr>
            <w:webHidden/>
          </w:rPr>
          <w:tab/>
        </w:r>
        <w:r w:rsidR="00400321">
          <w:rPr>
            <w:webHidden/>
          </w:rPr>
          <w:fldChar w:fldCharType="begin"/>
        </w:r>
        <w:r w:rsidR="00400321">
          <w:rPr>
            <w:webHidden/>
          </w:rPr>
          <w:instrText xml:space="preserve"> PAGEREF _Toc145612569 \h </w:instrText>
        </w:r>
        <w:r w:rsidR="00400321">
          <w:rPr>
            <w:webHidden/>
          </w:rPr>
        </w:r>
        <w:r w:rsidR="00400321">
          <w:rPr>
            <w:webHidden/>
          </w:rPr>
          <w:fldChar w:fldCharType="separate"/>
        </w:r>
        <w:r w:rsidR="00131EE1">
          <w:rPr>
            <w:webHidden/>
          </w:rPr>
          <w:t>16</w:t>
        </w:r>
        <w:r w:rsidR="00400321">
          <w:rPr>
            <w:webHidden/>
          </w:rPr>
          <w:fldChar w:fldCharType="end"/>
        </w:r>
      </w:hyperlink>
    </w:p>
    <w:p w14:paraId="73CBE05E" w14:textId="4920BD5A" w:rsidR="00400321" w:rsidRDefault="003B6DB4">
      <w:pPr>
        <w:pStyle w:val="TOC5"/>
        <w:tabs>
          <w:tab w:val="left" w:pos="1080"/>
        </w:tabs>
        <w:rPr>
          <w:color w:val="auto"/>
          <w:spacing w:val="0"/>
          <w:sz w:val="22"/>
          <w:szCs w:val="22"/>
          <w:lang w:eastAsia="en-AU"/>
        </w:rPr>
      </w:pPr>
      <w:hyperlink w:anchor="_Toc145612570" w:history="1">
        <w:r w:rsidR="00400321" w:rsidRPr="0093517A">
          <w:rPr>
            <w:rStyle w:val="Hyperlink"/>
          </w:rPr>
          <w:t>3.1</w:t>
        </w:r>
        <w:r w:rsidR="00400321">
          <w:rPr>
            <w:color w:val="auto"/>
            <w:spacing w:val="0"/>
            <w:sz w:val="22"/>
            <w:szCs w:val="22"/>
            <w:lang w:eastAsia="en-AU"/>
          </w:rPr>
          <w:tab/>
        </w:r>
        <w:r w:rsidR="00400321" w:rsidRPr="0093517A">
          <w:rPr>
            <w:rStyle w:val="Hyperlink"/>
          </w:rPr>
          <w:t>Value-for-Money</w:t>
        </w:r>
        <w:r w:rsidR="00400321">
          <w:rPr>
            <w:webHidden/>
          </w:rPr>
          <w:tab/>
        </w:r>
        <w:r w:rsidR="00400321">
          <w:rPr>
            <w:webHidden/>
          </w:rPr>
          <w:fldChar w:fldCharType="begin"/>
        </w:r>
        <w:r w:rsidR="00400321">
          <w:rPr>
            <w:webHidden/>
          </w:rPr>
          <w:instrText xml:space="preserve"> PAGEREF _Toc145612570 \h </w:instrText>
        </w:r>
        <w:r w:rsidR="00400321">
          <w:rPr>
            <w:webHidden/>
          </w:rPr>
        </w:r>
        <w:r w:rsidR="00400321">
          <w:rPr>
            <w:webHidden/>
          </w:rPr>
          <w:fldChar w:fldCharType="separate"/>
        </w:r>
        <w:r w:rsidR="00131EE1">
          <w:rPr>
            <w:webHidden/>
          </w:rPr>
          <w:t>16</w:t>
        </w:r>
        <w:r w:rsidR="00400321">
          <w:rPr>
            <w:webHidden/>
          </w:rPr>
          <w:fldChar w:fldCharType="end"/>
        </w:r>
      </w:hyperlink>
    </w:p>
    <w:p w14:paraId="6F6B5C6C" w14:textId="7612D82C" w:rsidR="00400321" w:rsidRDefault="003B6DB4">
      <w:pPr>
        <w:pStyle w:val="TOC5"/>
        <w:tabs>
          <w:tab w:val="left" w:pos="1080"/>
        </w:tabs>
        <w:rPr>
          <w:color w:val="auto"/>
          <w:spacing w:val="0"/>
          <w:sz w:val="22"/>
          <w:szCs w:val="22"/>
          <w:lang w:eastAsia="en-AU"/>
        </w:rPr>
      </w:pPr>
      <w:hyperlink w:anchor="_Toc145612571" w:history="1">
        <w:r w:rsidR="00400321" w:rsidRPr="0093517A">
          <w:rPr>
            <w:rStyle w:val="Hyperlink"/>
          </w:rPr>
          <w:t>3.2</w:t>
        </w:r>
        <w:r w:rsidR="00400321">
          <w:rPr>
            <w:color w:val="auto"/>
            <w:spacing w:val="0"/>
            <w:sz w:val="22"/>
            <w:szCs w:val="22"/>
            <w:lang w:eastAsia="en-AU"/>
          </w:rPr>
          <w:tab/>
        </w:r>
        <w:r w:rsidR="00400321" w:rsidRPr="0093517A">
          <w:rPr>
            <w:rStyle w:val="Hyperlink"/>
          </w:rPr>
          <w:t>Assessing the Delivery Phase Offer</w:t>
        </w:r>
        <w:r w:rsidR="00400321">
          <w:rPr>
            <w:webHidden/>
          </w:rPr>
          <w:tab/>
        </w:r>
        <w:r w:rsidR="00400321">
          <w:rPr>
            <w:webHidden/>
          </w:rPr>
          <w:fldChar w:fldCharType="begin"/>
        </w:r>
        <w:r w:rsidR="00400321">
          <w:rPr>
            <w:webHidden/>
          </w:rPr>
          <w:instrText xml:space="preserve"> PAGEREF _Toc145612571 \h </w:instrText>
        </w:r>
        <w:r w:rsidR="00400321">
          <w:rPr>
            <w:webHidden/>
          </w:rPr>
        </w:r>
        <w:r w:rsidR="00400321">
          <w:rPr>
            <w:webHidden/>
          </w:rPr>
          <w:fldChar w:fldCharType="separate"/>
        </w:r>
        <w:r w:rsidR="00131EE1">
          <w:rPr>
            <w:webHidden/>
          </w:rPr>
          <w:t>16</w:t>
        </w:r>
        <w:r w:rsidR="00400321">
          <w:rPr>
            <w:webHidden/>
          </w:rPr>
          <w:fldChar w:fldCharType="end"/>
        </w:r>
      </w:hyperlink>
    </w:p>
    <w:p w14:paraId="04C59931" w14:textId="1CD2981F" w:rsidR="00400321" w:rsidRDefault="003B6DB4">
      <w:pPr>
        <w:pStyle w:val="TOC5"/>
        <w:tabs>
          <w:tab w:val="left" w:pos="1080"/>
        </w:tabs>
        <w:rPr>
          <w:color w:val="auto"/>
          <w:spacing w:val="0"/>
          <w:sz w:val="22"/>
          <w:szCs w:val="22"/>
          <w:lang w:eastAsia="en-AU"/>
        </w:rPr>
      </w:pPr>
      <w:hyperlink w:anchor="_Toc145612572" w:history="1">
        <w:r w:rsidR="00400321" w:rsidRPr="0093517A">
          <w:rPr>
            <w:rStyle w:val="Hyperlink"/>
          </w:rPr>
          <w:t>3.3</w:t>
        </w:r>
        <w:r w:rsidR="00400321">
          <w:rPr>
            <w:color w:val="auto"/>
            <w:spacing w:val="0"/>
            <w:sz w:val="22"/>
            <w:szCs w:val="22"/>
            <w:lang w:eastAsia="en-AU"/>
          </w:rPr>
          <w:tab/>
        </w:r>
        <w:r w:rsidR="00400321" w:rsidRPr="0093517A">
          <w:rPr>
            <w:rStyle w:val="Hyperlink"/>
          </w:rPr>
          <w:t>Principal’s Benchmark</w:t>
        </w:r>
        <w:r w:rsidR="00400321">
          <w:rPr>
            <w:webHidden/>
          </w:rPr>
          <w:tab/>
        </w:r>
        <w:r w:rsidR="00400321">
          <w:rPr>
            <w:webHidden/>
          </w:rPr>
          <w:fldChar w:fldCharType="begin"/>
        </w:r>
        <w:r w:rsidR="00400321">
          <w:rPr>
            <w:webHidden/>
          </w:rPr>
          <w:instrText xml:space="preserve"> PAGEREF _Toc145612572 \h </w:instrText>
        </w:r>
        <w:r w:rsidR="00400321">
          <w:rPr>
            <w:webHidden/>
          </w:rPr>
        </w:r>
        <w:r w:rsidR="00400321">
          <w:rPr>
            <w:webHidden/>
          </w:rPr>
          <w:fldChar w:fldCharType="separate"/>
        </w:r>
        <w:r w:rsidR="00131EE1">
          <w:rPr>
            <w:webHidden/>
          </w:rPr>
          <w:t>17</w:t>
        </w:r>
        <w:r w:rsidR="00400321">
          <w:rPr>
            <w:webHidden/>
          </w:rPr>
          <w:fldChar w:fldCharType="end"/>
        </w:r>
      </w:hyperlink>
    </w:p>
    <w:p w14:paraId="2B92AD51" w14:textId="06E69689" w:rsidR="00400321" w:rsidRDefault="003B6DB4">
      <w:pPr>
        <w:pStyle w:val="TOC5"/>
        <w:tabs>
          <w:tab w:val="left" w:pos="1080"/>
        </w:tabs>
        <w:rPr>
          <w:color w:val="auto"/>
          <w:spacing w:val="0"/>
          <w:sz w:val="22"/>
          <w:szCs w:val="22"/>
          <w:lang w:eastAsia="en-AU"/>
        </w:rPr>
      </w:pPr>
      <w:hyperlink w:anchor="_Toc145612573" w:history="1">
        <w:r w:rsidR="00400321" w:rsidRPr="0093517A">
          <w:rPr>
            <w:rStyle w:val="Hyperlink"/>
          </w:rPr>
          <w:t>3.4</w:t>
        </w:r>
        <w:r w:rsidR="00400321">
          <w:rPr>
            <w:color w:val="auto"/>
            <w:spacing w:val="0"/>
            <w:sz w:val="22"/>
            <w:szCs w:val="22"/>
            <w:lang w:eastAsia="en-AU"/>
          </w:rPr>
          <w:tab/>
        </w:r>
        <w:r w:rsidR="00400321" w:rsidRPr="0093517A">
          <w:rPr>
            <w:rStyle w:val="Hyperlink"/>
          </w:rPr>
          <w:t>Role of competition</w:t>
        </w:r>
        <w:r w:rsidR="00400321">
          <w:rPr>
            <w:webHidden/>
          </w:rPr>
          <w:tab/>
        </w:r>
        <w:r w:rsidR="00400321">
          <w:rPr>
            <w:webHidden/>
          </w:rPr>
          <w:fldChar w:fldCharType="begin"/>
        </w:r>
        <w:r w:rsidR="00400321">
          <w:rPr>
            <w:webHidden/>
          </w:rPr>
          <w:instrText xml:space="preserve"> PAGEREF _Toc145612573 \h </w:instrText>
        </w:r>
        <w:r w:rsidR="00400321">
          <w:rPr>
            <w:webHidden/>
          </w:rPr>
        </w:r>
        <w:r w:rsidR="00400321">
          <w:rPr>
            <w:webHidden/>
          </w:rPr>
          <w:fldChar w:fldCharType="separate"/>
        </w:r>
        <w:r w:rsidR="00131EE1">
          <w:rPr>
            <w:webHidden/>
          </w:rPr>
          <w:t>18</w:t>
        </w:r>
        <w:r w:rsidR="00400321">
          <w:rPr>
            <w:webHidden/>
          </w:rPr>
          <w:fldChar w:fldCharType="end"/>
        </w:r>
      </w:hyperlink>
    </w:p>
    <w:p w14:paraId="350FBEF7" w14:textId="75A363D7" w:rsidR="00400321" w:rsidRDefault="003B6DB4">
      <w:pPr>
        <w:pStyle w:val="TOC5"/>
        <w:tabs>
          <w:tab w:val="left" w:pos="1080"/>
        </w:tabs>
        <w:rPr>
          <w:color w:val="auto"/>
          <w:spacing w:val="0"/>
          <w:sz w:val="22"/>
          <w:szCs w:val="22"/>
          <w:lang w:eastAsia="en-AU"/>
        </w:rPr>
      </w:pPr>
      <w:hyperlink w:anchor="_Toc145612574" w:history="1">
        <w:r w:rsidR="00400321" w:rsidRPr="0093517A">
          <w:rPr>
            <w:rStyle w:val="Hyperlink"/>
          </w:rPr>
          <w:t>3.5</w:t>
        </w:r>
        <w:r w:rsidR="00400321">
          <w:rPr>
            <w:color w:val="auto"/>
            <w:spacing w:val="0"/>
            <w:sz w:val="22"/>
            <w:szCs w:val="22"/>
            <w:lang w:eastAsia="en-AU"/>
          </w:rPr>
          <w:tab/>
        </w:r>
        <w:r w:rsidR="00400321" w:rsidRPr="0093517A">
          <w:rPr>
            <w:rStyle w:val="Hyperlink"/>
          </w:rPr>
          <w:t>Expectations for TOC development</w:t>
        </w:r>
        <w:r w:rsidR="00400321">
          <w:rPr>
            <w:webHidden/>
          </w:rPr>
          <w:tab/>
        </w:r>
        <w:r w:rsidR="00400321">
          <w:rPr>
            <w:webHidden/>
          </w:rPr>
          <w:fldChar w:fldCharType="begin"/>
        </w:r>
        <w:r w:rsidR="00400321">
          <w:rPr>
            <w:webHidden/>
          </w:rPr>
          <w:instrText xml:space="preserve"> PAGEREF _Toc145612574 \h </w:instrText>
        </w:r>
        <w:r w:rsidR="00400321">
          <w:rPr>
            <w:webHidden/>
          </w:rPr>
        </w:r>
        <w:r w:rsidR="00400321">
          <w:rPr>
            <w:webHidden/>
          </w:rPr>
          <w:fldChar w:fldCharType="separate"/>
        </w:r>
        <w:r w:rsidR="00131EE1">
          <w:rPr>
            <w:webHidden/>
          </w:rPr>
          <w:t>19</w:t>
        </w:r>
        <w:r w:rsidR="00400321">
          <w:rPr>
            <w:webHidden/>
          </w:rPr>
          <w:fldChar w:fldCharType="end"/>
        </w:r>
      </w:hyperlink>
    </w:p>
    <w:p w14:paraId="381DC899" w14:textId="0C524EB9" w:rsidR="00400321" w:rsidRDefault="003B6DB4">
      <w:pPr>
        <w:pStyle w:val="TOC5"/>
        <w:tabs>
          <w:tab w:val="left" w:pos="1080"/>
        </w:tabs>
        <w:rPr>
          <w:color w:val="auto"/>
          <w:spacing w:val="0"/>
          <w:sz w:val="22"/>
          <w:szCs w:val="22"/>
          <w:lang w:eastAsia="en-AU"/>
        </w:rPr>
      </w:pPr>
      <w:hyperlink w:anchor="_Toc145612575" w:history="1">
        <w:r w:rsidR="00400321" w:rsidRPr="0093517A">
          <w:rPr>
            <w:rStyle w:val="Hyperlink"/>
          </w:rPr>
          <w:t>3.6</w:t>
        </w:r>
        <w:r w:rsidR="00400321">
          <w:rPr>
            <w:color w:val="auto"/>
            <w:spacing w:val="0"/>
            <w:sz w:val="22"/>
            <w:szCs w:val="22"/>
            <w:lang w:eastAsia="en-AU"/>
          </w:rPr>
          <w:tab/>
        </w:r>
        <w:r w:rsidR="00400321" w:rsidRPr="0093517A">
          <w:rPr>
            <w:rStyle w:val="Hyperlink"/>
          </w:rPr>
          <w:t>Expectations for Design Development</w:t>
        </w:r>
        <w:r w:rsidR="00400321">
          <w:rPr>
            <w:webHidden/>
          </w:rPr>
          <w:tab/>
        </w:r>
        <w:r w:rsidR="00400321">
          <w:rPr>
            <w:webHidden/>
          </w:rPr>
          <w:fldChar w:fldCharType="begin"/>
        </w:r>
        <w:r w:rsidR="00400321">
          <w:rPr>
            <w:webHidden/>
          </w:rPr>
          <w:instrText xml:space="preserve"> PAGEREF _Toc145612575 \h </w:instrText>
        </w:r>
        <w:r w:rsidR="00400321">
          <w:rPr>
            <w:webHidden/>
          </w:rPr>
        </w:r>
        <w:r w:rsidR="00400321">
          <w:rPr>
            <w:webHidden/>
          </w:rPr>
          <w:fldChar w:fldCharType="separate"/>
        </w:r>
        <w:r w:rsidR="00131EE1">
          <w:rPr>
            <w:webHidden/>
          </w:rPr>
          <w:t>21</w:t>
        </w:r>
        <w:r w:rsidR="00400321">
          <w:rPr>
            <w:webHidden/>
          </w:rPr>
          <w:fldChar w:fldCharType="end"/>
        </w:r>
      </w:hyperlink>
    </w:p>
    <w:p w14:paraId="69A55844" w14:textId="1972B800" w:rsidR="00400321" w:rsidRDefault="003B6DB4">
      <w:pPr>
        <w:pStyle w:val="TOC5"/>
        <w:tabs>
          <w:tab w:val="left" w:pos="1080"/>
        </w:tabs>
        <w:rPr>
          <w:color w:val="auto"/>
          <w:spacing w:val="0"/>
          <w:sz w:val="22"/>
          <w:szCs w:val="22"/>
          <w:lang w:eastAsia="en-AU"/>
        </w:rPr>
      </w:pPr>
      <w:hyperlink w:anchor="_Toc145612576" w:history="1">
        <w:r w:rsidR="00400321" w:rsidRPr="0093517A">
          <w:rPr>
            <w:rStyle w:val="Hyperlink"/>
          </w:rPr>
          <w:t>3.7</w:t>
        </w:r>
        <w:r w:rsidR="00400321">
          <w:rPr>
            <w:color w:val="auto"/>
            <w:spacing w:val="0"/>
            <w:sz w:val="22"/>
            <w:szCs w:val="22"/>
            <w:lang w:eastAsia="en-AU"/>
          </w:rPr>
          <w:tab/>
        </w:r>
        <w:r w:rsidR="00400321" w:rsidRPr="0093517A">
          <w:rPr>
            <w:rStyle w:val="Hyperlink"/>
          </w:rPr>
          <w:t>Administering the payment regime</w:t>
        </w:r>
        <w:r w:rsidR="00400321">
          <w:rPr>
            <w:webHidden/>
          </w:rPr>
          <w:tab/>
        </w:r>
        <w:r w:rsidR="00400321">
          <w:rPr>
            <w:webHidden/>
          </w:rPr>
          <w:fldChar w:fldCharType="begin"/>
        </w:r>
        <w:r w:rsidR="00400321">
          <w:rPr>
            <w:webHidden/>
          </w:rPr>
          <w:instrText xml:space="preserve"> PAGEREF _Toc145612576 \h </w:instrText>
        </w:r>
        <w:r w:rsidR="00400321">
          <w:rPr>
            <w:webHidden/>
          </w:rPr>
        </w:r>
        <w:r w:rsidR="00400321">
          <w:rPr>
            <w:webHidden/>
          </w:rPr>
          <w:fldChar w:fldCharType="separate"/>
        </w:r>
        <w:r w:rsidR="00131EE1">
          <w:rPr>
            <w:webHidden/>
          </w:rPr>
          <w:t>22</w:t>
        </w:r>
        <w:r w:rsidR="00400321">
          <w:rPr>
            <w:webHidden/>
          </w:rPr>
          <w:fldChar w:fldCharType="end"/>
        </w:r>
      </w:hyperlink>
    </w:p>
    <w:p w14:paraId="07381BDF" w14:textId="4977539E" w:rsidR="00400321" w:rsidRDefault="003B6DB4">
      <w:pPr>
        <w:pStyle w:val="TOC5"/>
        <w:tabs>
          <w:tab w:val="left" w:pos="1080"/>
        </w:tabs>
        <w:rPr>
          <w:color w:val="auto"/>
          <w:spacing w:val="0"/>
          <w:sz w:val="22"/>
          <w:szCs w:val="22"/>
          <w:lang w:eastAsia="en-AU"/>
        </w:rPr>
      </w:pPr>
      <w:hyperlink w:anchor="_Toc145612577" w:history="1">
        <w:r w:rsidR="00400321" w:rsidRPr="0093517A">
          <w:rPr>
            <w:rStyle w:val="Hyperlink"/>
          </w:rPr>
          <w:t>3.8</w:t>
        </w:r>
        <w:r w:rsidR="00400321">
          <w:rPr>
            <w:color w:val="auto"/>
            <w:spacing w:val="0"/>
            <w:sz w:val="22"/>
            <w:szCs w:val="22"/>
            <w:lang w:eastAsia="en-AU"/>
          </w:rPr>
          <w:tab/>
        </w:r>
        <w:r w:rsidR="00400321" w:rsidRPr="0093517A">
          <w:rPr>
            <w:rStyle w:val="Hyperlink"/>
          </w:rPr>
          <w:t>Monitoring and reporting</w:t>
        </w:r>
        <w:r w:rsidR="00400321">
          <w:rPr>
            <w:webHidden/>
          </w:rPr>
          <w:tab/>
        </w:r>
        <w:r w:rsidR="00400321">
          <w:rPr>
            <w:webHidden/>
          </w:rPr>
          <w:fldChar w:fldCharType="begin"/>
        </w:r>
        <w:r w:rsidR="00400321">
          <w:rPr>
            <w:webHidden/>
          </w:rPr>
          <w:instrText xml:space="preserve"> PAGEREF _Toc145612577 \h </w:instrText>
        </w:r>
        <w:r w:rsidR="00400321">
          <w:rPr>
            <w:webHidden/>
          </w:rPr>
        </w:r>
        <w:r w:rsidR="00400321">
          <w:rPr>
            <w:webHidden/>
          </w:rPr>
          <w:fldChar w:fldCharType="separate"/>
        </w:r>
        <w:r w:rsidR="00131EE1">
          <w:rPr>
            <w:webHidden/>
          </w:rPr>
          <w:t>25</w:t>
        </w:r>
        <w:r w:rsidR="00400321">
          <w:rPr>
            <w:webHidden/>
          </w:rPr>
          <w:fldChar w:fldCharType="end"/>
        </w:r>
      </w:hyperlink>
    </w:p>
    <w:p w14:paraId="0E91F476" w14:textId="1708CF96" w:rsidR="00400321" w:rsidRDefault="003B6DB4">
      <w:pPr>
        <w:pStyle w:val="TOC4"/>
        <w:rPr>
          <w:color w:val="auto"/>
          <w:sz w:val="22"/>
          <w:szCs w:val="22"/>
          <w:lang w:eastAsia="en-AU"/>
        </w:rPr>
      </w:pPr>
      <w:hyperlink w:anchor="_Toc145612578" w:history="1">
        <w:r w:rsidR="00400321" w:rsidRPr="0093517A">
          <w:rPr>
            <w:rStyle w:val="Hyperlink"/>
          </w:rPr>
          <w:t>4.</w:t>
        </w:r>
        <w:r w:rsidR="00400321">
          <w:rPr>
            <w:color w:val="auto"/>
            <w:sz w:val="22"/>
            <w:szCs w:val="22"/>
            <w:lang w:eastAsia="en-AU"/>
          </w:rPr>
          <w:tab/>
        </w:r>
        <w:r w:rsidR="00400321" w:rsidRPr="0093517A">
          <w:rPr>
            <w:rStyle w:val="Hyperlink"/>
          </w:rPr>
          <w:t>ITC Development Deed guidance</w:t>
        </w:r>
        <w:r w:rsidR="00400321">
          <w:rPr>
            <w:webHidden/>
          </w:rPr>
          <w:tab/>
        </w:r>
        <w:r w:rsidR="00400321">
          <w:rPr>
            <w:webHidden/>
          </w:rPr>
          <w:fldChar w:fldCharType="begin"/>
        </w:r>
        <w:r w:rsidR="00400321">
          <w:rPr>
            <w:webHidden/>
          </w:rPr>
          <w:instrText xml:space="preserve"> PAGEREF _Toc145612578 \h </w:instrText>
        </w:r>
        <w:r w:rsidR="00400321">
          <w:rPr>
            <w:webHidden/>
          </w:rPr>
        </w:r>
        <w:r w:rsidR="00400321">
          <w:rPr>
            <w:webHidden/>
          </w:rPr>
          <w:fldChar w:fldCharType="separate"/>
        </w:r>
        <w:r w:rsidR="00131EE1">
          <w:rPr>
            <w:webHidden/>
          </w:rPr>
          <w:t>27</w:t>
        </w:r>
        <w:r w:rsidR="00400321">
          <w:rPr>
            <w:webHidden/>
          </w:rPr>
          <w:fldChar w:fldCharType="end"/>
        </w:r>
      </w:hyperlink>
    </w:p>
    <w:p w14:paraId="105BFA0F" w14:textId="37FD4BEA" w:rsidR="00400321" w:rsidRDefault="003B6DB4">
      <w:pPr>
        <w:pStyle w:val="TOC5"/>
        <w:tabs>
          <w:tab w:val="left" w:pos="1080"/>
        </w:tabs>
        <w:rPr>
          <w:color w:val="auto"/>
          <w:spacing w:val="0"/>
          <w:sz w:val="22"/>
          <w:szCs w:val="22"/>
          <w:lang w:eastAsia="en-AU"/>
        </w:rPr>
      </w:pPr>
      <w:hyperlink w:anchor="_Toc145612579" w:history="1">
        <w:r w:rsidR="00400321" w:rsidRPr="0093517A">
          <w:rPr>
            <w:rStyle w:val="Hyperlink"/>
          </w:rPr>
          <w:t>4.2</w:t>
        </w:r>
        <w:r w:rsidR="00400321">
          <w:rPr>
            <w:color w:val="auto"/>
            <w:spacing w:val="0"/>
            <w:sz w:val="22"/>
            <w:szCs w:val="22"/>
            <w:lang w:eastAsia="en-AU"/>
          </w:rPr>
          <w:tab/>
        </w:r>
        <w:r w:rsidR="00400321" w:rsidRPr="0093517A">
          <w:rPr>
            <w:rStyle w:val="Hyperlink"/>
          </w:rPr>
          <w:t>Early Delivery Activities (clause</w:t>
        </w:r>
        <w:r w:rsidR="00400321" w:rsidRPr="0093517A">
          <w:rPr>
            <w:rStyle w:val="Hyperlink"/>
            <w:rFonts w:ascii="Calibri" w:hAnsi="Calibri" w:cs="Calibri"/>
          </w:rPr>
          <w:t> </w:t>
        </w:r>
        <w:r w:rsidR="00400321" w:rsidRPr="0093517A">
          <w:rPr>
            <w:rStyle w:val="Hyperlink"/>
          </w:rPr>
          <w:t>9 of the ITC Development Deed)</w:t>
        </w:r>
        <w:r w:rsidR="00400321">
          <w:rPr>
            <w:webHidden/>
          </w:rPr>
          <w:tab/>
        </w:r>
        <w:r w:rsidR="00400321">
          <w:rPr>
            <w:webHidden/>
          </w:rPr>
          <w:fldChar w:fldCharType="begin"/>
        </w:r>
        <w:r w:rsidR="00400321">
          <w:rPr>
            <w:webHidden/>
          </w:rPr>
          <w:instrText xml:space="preserve"> PAGEREF _Toc145612579 \h </w:instrText>
        </w:r>
        <w:r w:rsidR="00400321">
          <w:rPr>
            <w:webHidden/>
          </w:rPr>
        </w:r>
        <w:r w:rsidR="00400321">
          <w:rPr>
            <w:webHidden/>
          </w:rPr>
          <w:fldChar w:fldCharType="separate"/>
        </w:r>
        <w:r w:rsidR="00131EE1">
          <w:rPr>
            <w:webHidden/>
          </w:rPr>
          <w:t>29</w:t>
        </w:r>
        <w:r w:rsidR="00400321">
          <w:rPr>
            <w:webHidden/>
          </w:rPr>
          <w:fldChar w:fldCharType="end"/>
        </w:r>
      </w:hyperlink>
    </w:p>
    <w:p w14:paraId="3394C4DA" w14:textId="03E677A1" w:rsidR="00400321" w:rsidRDefault="003B6DB4">
      <w:pPr>
        <w:pStyle w:val="TOC5"/>
        <w:tabs>
          <w:tab w:val="left" w:pos="1080"/>
        </w:tabs>
        <w:rPr>
          <w:color w:val="auto"/>
          <w:spacing w:val="0"/>
          <w:sz w:val="22"/>
          <w:szCs w:val="22"/>
          <w:lang w:eastAsia="en-AU"/>
        </w:rPr>
      </w:pPr>
      <w:hyperlink w:anchor="_Toc145612580" w:history="1">
        <w:r w:rsidR="00400321" w:rsidRPr="0093517A">
          <w:rPr>
            <w:rStyle w:val="Hyperlink"/>
          </w:rPr>
          <w:t>4.3</w:t>
        </w:r>
        <w:r w:rsidR="00400321">
          <w:rPr>
            <w:color w:val="auto"/>
            <w:spacing w:val="0"/>
            <w:sz w:val="22"/>
            <w:szCs w:val="22"/>
            <w:lang w:eastAsia="en-AU"/>
          </w:rPr>
          <w:tab/>
        </w:r>
        <w:r w:rsidR="00400321" w:rsidRPr="0093517A">
          <w:rPr>
            <w:rStyle w:val="Hyperlink"/>
          </w:rPr>
          <w:t>Payment (clause</w:t>
        </w:r>
        <w:r w:rsidR="00400321" w:rsidRPr="0093517A">
          <w:rPr>
            <w:rStyle w:val="Hyperlink"/>
            <w:rFonts w:ascii="Calibri" w:hAnsi="Calibri" w:cs="Calibri"/>
          </w:rPr>
          <w:t> </w:t>
        </w:r>
        <w:r w:rsidR="00400321" w:rsidRPr="0093517A">
          <w:rPr>
            <w:rStyle w:val="Hyperlink"/>
          </w:rPr>
          <w:t>16 of the ITC Development Deed)</w:t>
        </w:r>
        <w:r w:rsidR="00400321">
          <w:rPr>
            <w:webHidden/>
          </w:rPr>
          <w:tab/>
        </w:r>
        <w:r w:rsidR="00400321">
          <w:rPr>
            <w:webHidden/>
          </w:rPr>
          <w:fldChar w:fldCharType="begin"/>
        </w:r>
        <w:r w:rsidR="00400321">
          <w:rPr>
            <w:webHidden/>
          </w:rPr>
          <w:instrText xml:space="preserve"> PAGEREF _Toc145612580 \h </w:instrText>
        </w:r>
        <w:r w:rsidR="00400321">
          <w:rPr>
            <w:webHidden/>
          </w:rPr>
        </w:r>
        <w:r w:rsidR="00400321">
          <w:rPr>
            <w:webHidden/>
          </w:rPr>
          <w:fldChar w:fldCharType="separate"/>
        </w:r>
        <w:r w:rsidR="00131EE1">
          <w:rPr>
            <w:webHidden/>
          </w:rPr>
          <w:t>31</w:t>
        </w:r>
        <w:r w:rsidR="00400321">
          <w:rPr>
            <w:webHidden/>
          </w:rPr>
          <w:fldChar w:fldCharType="end"/>
        </w:r>
      </w:hyperlink>
    </w:p>
    <w:p w14:paraId="6D50A9E5" w14:textId="6C59FAEB" w:rsidR="00400321" w:rsidRDefault="003B6DB4">
      <w:pPr>
        <w:pStyle w:val="TOC5"/>
        <w:tabs>
          <w:tab w:val="left" w:pos="1080"/>
        </w:tabs>
        <w:rPr>
          <w:color w:val="auto"/>
          <w:spacing w:val="0"/>
          <w:sz w:val="22"/>
          <w:szCs w:val="22"/>
          <w:lang w:eastAsia="en-AU"/>
        </w:rPr>
      </w:pPr>
      <w:hyperlink w:anchor="_Toc145612581" w:history="1">
        <w:r w:rsidR="00400321" w:rsidRPr="0093517A">
          <w:rPr>
            <w:rStyle w:val="Hyperlink"/>
          </w:rPr>
          <w:t>4.4</w:t>
        </w:r>
        <w:r w:rsidR="00400321">
          <w:rPr>
            <w:color w:val="auto"/>
            <w:spacing w:val="0"/>
            <w:sz w:val="22"/>
            <w:szCs w:val="22"/>
            <w:lang w:eastAsia="en-AU"/>
          </w:rPr>
          <w:tab/>
        </w:r>
        <w:r w:rsidR="00400321" w:rsidRPr="0093517A">
          <w:rPr>
            <w:rStyle w:val="Hyperlink"/>
          </w:rPr>
          <w:t>TOC Estimate (clause</w:t>
        </w:r>
        <w:r w:rsidR="00400321" w:rsidRPr="0093517A">
          <w:rPr>
            <w:rStyle w:val="Hyperlink"/>
            <w:rFonts w:ascii="Calibri" w:hAnsi="Calibri" w:cs="Calibri"/>
          </w:rPr>
          <w:t> </w:t>
        </w:r>
        <w:r w:rsidR="00400321" w:rsidRPr="0093517A">
          <w:rPr>
            <w:rStyle w:val="Hyperlink"/>
          </w:rPr>
          <w:t>12 of the ITC Development Deed)</w:t>
        </w:r>
        <w:r w:rsidR="00400321">
          <w:rPr>
            <w:webHidden/>
          </w:rPr>
          <w:tab/>
        </w:r>
        <w:r w:rsidR="00400321">
          <w:rPr>
            <w:webHidden/>
          </w:rPr>
          <w:fldChar w:fldCharType="begin"/>
        </w:r>
        <w:r w:rsidR="00400321">
          <w:rPr>
            <w:webHidden/>
          </w:rPr>
          <w:instrText xml:space="preserve"> PAGEREF _Toc145612581 \h </w:instrText>
        </w:r>
        <w:r w:rsidR="00400321">
          <w:rPr>
            <w:webHidden/>
          </w:rPr>
        </w:r>
        <w:r w:rsidR="00400321">
          <w:rPr>
            <w:webHidden/>
          </w:rPr>
          <w:fldChar w:fldCharType="separate"/>
        </w:r>
        <w:r w:rsidR="00131EE1">
          <w:rPr>
            <w:webHidden/>
          </w:rPr>
          <w:t>32</w:t>
        </w:r>
        <w:r w:rsidR="00400321">
          <w:rPr>
            <w:webHidden/>
          </w:rPr>
          <w:fldChar w:fldCharType="end"/>
        </w:r>
      </w:hyperlink>
    </w:p>
    <w:p w14:paraId="4A92BA11" w14:textId="2955E62B" w:rsidR="00400321" w:rsidRDefault="003B6DB4">
      <w:pPr>
        <w:pStyle w:val="TOC5"/>
        <w:tabs>
          <w:tab w:val="left" w:pos="1080"/>
        </w:tabs>
        <w:rPr>
          <w:color w:val="auto"/>
          <w:spacing w:val="0"/>
          <w:sz w:val="22"/>
          <w:szCs w:val="22"/>
          <w:lang w:eastAsia="en-AU"/>
        </w:rPr>
      </w:pPr>
      <w:hyperlink w:anchor="_Toc145612582" w:history="1">
        <w:r w:rsidR="00400321" w:rsidRPr="0093517A">
          <w:rPr>
            <w:rStyle w:val="Hyperlink"/>
          </w:rPr>
          <w:t>4.5</w:t>
        </w:r>
        <w:r w:rsidR="00400321">
          <w:rPr>
            <w:color w:val="auto"/>
            <w:spacing w:val="0"/>
            <w:sz w:val="22"/>
            <w:szCs w:val="22"/>
            <w:lang w:eastAsia="en-AU"/>
          </w:rPr>
          <w:tab/>
        </w:r>
        <w:r w:rsidR="00400321" w:rsidRPr="0093517A">
          <w:rPr>
            <w:rStyle w:val="Hyperlink"/>
          </w:rPr>
          <w:t>Process for entry into ITC Delivery Deed (clause</w:t>
        </w:r>
        <w:r w:rsidR="00400321" w:rsidRPr="0093517A">
          <w:rPr>
            <w:rStyle w:val="Hyperlink"/>
            <w:rFonts w:ascii="Calibri" w:hAnsi="Calibri" w:cs="Calibri"/>
          </w:rPr>
          <w:t> </w:t>
        </w:r>
        <w:r w:rsidR="00400321" w:rsidRPr="0093517A">
          <w:rPr>
            <w:rStyle w:val="Hyperlink"/>
          </w:rPr>
          <w:t>14 of the ITC Development Deed)</w:t>
        </w:r>
        <w:r w:rsidR="00400321">
          <w:rPr>
            <w:webHidden/>
          </w:rPr>
          <w:tab/>
        </w:r>
        <w:r w:rsidR="00400321">
          <w:rPr>
            <w:webHidden/>
          </w:rPr>
          <w:fldChar w:fldCharType="begin"/>
        </w:r>
        <w:r w:rsidR="00400321">
          <w:rPr>
            <w:webHidden/>
          </w:rPr>
          <w:instrText xml:space="preserve"> PAGEREF _Toc145612582 \h </w:instrText>
        </w:r>
        <w:r w:rsidR="00400321">
          <w:rPr>
            <w:webHidden/>
          </w:rPr>
        </w:r>
        <w:r w:rsidR="00400321">
          <w:rPr>
            <w:webHidden/>
          </w:rPr>
          <w:fldChar w:fldCharType="separate"/>
        </w:r>
        <w:r w:rsidR="00131EE1">
          <w:rPr>
            <w:webHidden/>
          </w:rPr>
          <w:t>35</w:t>
        </w:r>
        <w:r w:rsidR="00400321">
          <w:rPr>
            <w:webHidden/>
          </w:rPr>
          <w:fldChar w:fldCharType="end"/>
        </w:r>
      </w:hyperlink>
    </w:p>
    <w:p w14:paraId="79F8EC06" w14:textId="468840CA" w:rsidR="00400321" w:rsidRDefault="003B6DB4">
      <w:pPr>
        <w:pStyle w:val="TOC5"/>
        <w:tabs>
          <w:tab w:val="left" w:pos="1080"/>
        </w:tabs>
        <w:rPr>
          <w:color w:val="auto"/>
          <w:spacing w:val="0"/>
          <w:sz w:val="22"/>
          <w:szCs w:val="22"/>
          <w:lang w:eastAsia="en-AU"/>
        </w:rPr>
      </w:pPr>
      <w:hyperlink w:anchor="_Toc145612583" w:history="1">
        <w:r w:rsidR="00400321" w:rsidRPr="0093517A">
          <w:rPr>
            <w:rStyle w:val="Hyperlink"/>
          </w:rPr>
          <w:t>4.6</w:t>
        </w:r>
        <w:r w:rsidR="00400321">
          <w:rPr>
            <w:color w:val="auto"/>
            <w:spacing w:val="0"/>
            <w:sz w:val="22"/>
            <w:szCs w:val="22"/>
            <w:lang w:eastAsia="en-AU"/>
          </w:rPr>
          <w:tab/>
        </w:r>
        <w:r w:rsidR="00400321" w:rsidRPr="0093517A">
          <w:rPr>
            <w:rStyle w:val="Hyperlink"/>
          </w:rPr>
          <w:t>Time (clause</w:t>
        </w:r>
        <w:r w:rsidR="00400321" w:rsidRPr="0093517A">
          <w:rPr>
            <w:rStyle w:val="Hyperlink"/>
            <w:rFonts w:ascii="Calibri" w:hAnsi="Calibri" w:cs="Calibri"/>
          </w:rPr>
          <w:t> </w:t>
        </w:r>
        <w:r w:rsidR="00400321" w:rsidRPr="0093517A">
          <w:rPr>
            <w:rStyle w:val="Hyperlink"/>
          </w:rPr>
          <w:t>15 of the ITC Development Deed)</w:t>
        </w:r>
        <w:r w:rsidR="00400321">
          <w:rPr>
            <w:webHidden/>
          </w:rPr>
          <w:tab/>
        </w:r>
        <w:r w:rsidR="00400321">
          <w:rPr>
            <w:webHidden/>
          </w:rPr>
          <w:fldChar w:fldCharType="begin"/>
        </w:r>
        <w:r w:rsidR="00400321">
          <w:rPr>
            <w:webHidden/>
          </w:rPr>
          <w:instrText xml:space="preserve"> PAGEREF _Toc145612583 \h </w:instrText>
        </w:r>
        <w:r w:rsidR="00400321">
          <w:rPr>
            <w:webHidden/>
          </w:rPr>
        </w:r>
        <w:r w:rsidR="00400321">
          <w:rPr>
            <w:webHidden/>
          </w:rPr>
          <w:fldChar w:fldCharType="separate"/>
        </w:r>
        <w:r w:rsidR="00131EE1">
          <w:rPr>
            <w:webHidden/>
          </w:rPr>
          <w:t>40</w:t>
        </w:r>
        <w:r w:rsidR="00400321">
          <w:rPr>
            <w:webHidden/>
          </w:rPr>
          <w:fldChar w:fldCharType="end"/>
        </w:r>
      </w:hyperlink>
    </w:p>
    <w:p w14:paraId="5D8397D1" w14:textId="1A7F6944" w:rsidR="00400321" w:rsidRDefault="003B6DB4">
      <w:pPr>
        <w:pStyle w:val="TOC5"/>
        <w:tabs>
          <w:tab w:val="left" w:pos="1080"/>
        </w:tabs>
        <w:rPr>
          <w:color w:val="auto"/>
          <w:spacing w:val="0"/>
          <w:sz w:val="22"/>
          <w:szCs w:val="22"/>
          <w:lang w:eastAsia="en-AU"/>
        </w:rPr>
      </w:pPr>
      <w:hyperlink w:anchor="_Toc145612584" w:history="1">
        <w:r w:rsidR="00400321" w:rsidRPr="0093517A">
          <w:rPr>
            <w:rStyle w:val="Hyperlink"/>
          </w:rPr>
          <w:t>4.7</w:t>
        </w:r>
        <w:r w:rsidR="00400321">
          <w:rPr>
            <w:color w:val="auto"/>
            <w:spacing w:val="0"/>
            <w:sz w:val="22"/>
            <w:szCs w:val="22"/>
            <w:lang w:eastAsia="en-AU"/>
          </w:rPr>
          <w:tab/>
        </w:r>
        <w:r w:rsidR="00400321" w:rsidRPr="0093517A">
          <w:rPr>
            <w:rStyle w:val="Hyperlink"/>
          </w:rPr>
          <w:t>Indemnities (clause</w:t>
        </w:r>
        <w:r w:rsidR="00400321" w:rsidRPr="0093517A">
          <w:rPr>
            <w:rStyle w:val="Hyperlink"/>
            <w:rFonts w:ascii="Calibri" w:hAnsi="Calibri" w:cs="Calibri"/>
          </w:rPr>
          <w:t> </w:t>
        </w:r>
        <w:r w:rsidR="00400321" w:rsidRPr="0093517A">
          <w:rPr>
            <w:rStyle w:val="Hyperlink"/>
          </w:rPr>
          <w:t>19.1 of the ITC Development Deed)</w:t>
        </w:r>
        <w:r w:rsidR="00400321">
          <w:rPr>
            <w:webHidden/>
          </w:rPr>
          <w:tab/>
        </w:r>
        <w:r w:rsidR="00400321">
          <w:rPr>
            <w:webHidden/>
          </w:rPr>
          <w:fldChar w:fldCharType="begin"/>
        </w:r>
        <w:r w:rsidR="00400321">
          <w:rPr>
            <w:webHidden/>
          </w:rPr>
          <w:instrText xml:space="preserve"> PAGEREF _Toc145612584 \h </w:instrText>
        </w:r>
        <w:r w:rsidR="00400321">
          <w:rPr>
            <w:webHidden/>
          </w:rPr>
        </w:r>
        <w:r w:rsidR="00400321">
          <w:rPr>
            <w:webHidden/>
          </w:rPr>
          <w:fldChar w:fldCharType="separate"/>
        </w:r>
        <w:r w:rsidR="00131EE1">
          <w:rPr>
            <w:webHidden/>
          </w:rPr>
          <w:t>40</w:t>
        </w:r>
        <w:r w:rsidR="00400321">
          <w:rPr>
            <w:webHidden/>
          </w:rPr>
          <w:fldChar w:fldCharType="end"/>
        </w:r>
      </w:hyperlink>
    </w:p>
    <w:p w14:paraId="1C640DA9" w14:textId="115D1243" w:rsidR="00400321" w:rsidRDefault="003B6DB4" w:rsidP="00400321">
      <w:pPr>
        <w:pStyle w:val="TOC5"/>
        <w:keepNext/>
        <w:tabs>
          <w:tab w:val="left" w:pos="1080"/>
        </w:tabs>
        <w:rPr>
          <w:color w:val="auto"/>
          <w:spacing w:val="0"/>
          <w:sz w:val="22"/>
          <w:szCs w:val="22"/>
          <w:lang w:eastAsia="en-AU"/>
        </w:rPr>
      </w:pPr>
      <w:hyperlink w:anchor="_Toc145612585" w:history="1">
        <w:r w:rsidR="00400321" w:rsidRPr="0093517A">
          <w:rPr>
            <w:rStyle w:val="Hyperlink"/>
          </w:rPr>
          <w:t>4.8</w:t>
        </w:r>
        <w:r w:rsidR="00400321">
          <w:rPr>
            <w:color w:val="auto"/>
            <w:spacing w:val="0"/>
            <w:sz w:val="22"/>
            <w:szCs w:val="22"/>
            <w:lang w:eastAsia="en-AU"/>
          </w:rPr>
          <w:tab/>
        </w:r>
        <w:r w:rsidR="00400321" w:rsidRPr="0093517A">
          <w:rPr>
            <w:rStyle w:val="Hyperlink"/>
          </w:rPr>
          <w:t>Limitation and exclusion of Liability (clauses</w:t>
        </w:r>
        <w:r w:rsidR="00400321" w:rsidRPr="0093517A">
          <w:rPr>
            <w:rStyle w:val="Hyperlink"/>
            <w:rFonts w:ascii="Calibri" w:hAnsi="Calibri" w:cs="Calibri"/>
          </w:rPr>
          <w:t> </w:t>
        </w:r>
        <w:r w:rsidR="00400321" w:rsidRPr="0093517A">
          <w:rPr>
            <w:rStyle w:val="Hyperlink"/>
          </w:rPr>
          <w:t>19.3, 19.4 and 19.5 of the ITC Development Deed)</w:t>
        </w:r>
        <w:r w:rsidR="00400321">
          <w:rPr>
            <w:webHidden/>
          </w:rPr>
          <w:tab/>
        </w:r>
        <w:r w:rsidR="00400321">
          <w:rPr>
            <w:webHidden/>
          </w:rPr>
          <w:fldChar w:fldCharType="begin"/>
        </w:r>
        <w:r w:rsidR="00400321">
          <w:rPr>
            <w:webHidden/>
          </w:rPr>
          <w:instrText xml:space="preserve"> PAGEREF _Toc145612585 \h </w:instrText>
        </w:r>
        <w:r w:rsidR="00400321">
          <w:rPr>
            <w:webHidden/>
          </w:rPr>
        </w:r>
        <w:r w:rsidR="00400321">
          <w:rPr>
            <w:webHidden/>
          </w:rPr>
          <w:fldChar w:fldCharType="separate"/>
        </w:r>
        <w:r w:rsidR="00131EE1">
          <w:rPr>
            <w:webHidden/>
          </w:rPr>
          <w:t>41</w:t>
        </w:r>
        <w:r w:rsidR="00400321">
          <w:rPr>
            <w:webHidden/>
          </w:rPr>
          <w:fldChar w:fldCharType="end"/>
        </w:r>
      </w:hyperlink>
    </w:p>
    <w:p w14:paraId="456CD2FA" w14:textId="17DCF9FB" w:rsidR="00400321" w:rsidRDefault="003B6DB4" w:rsidP="00400321">
      <w:pPr>
        <w:pStyle w:val="TOC5"/>
        <w:keepNext/>
        <w:tabs>
          <w:tab w:val="left" w:pos="1080"/>
        </w:tabs>
        <w:rPr>
          <w:color w:val="auto"/>
          <w:spacing w:val="0"/>
          <w:sz w:val="22"/>
          <w:szCs w:val="22"/>
          <w:lang w:eastAsia="en-AU"/>
        </w:rPr>
      </w:pPr>
      <w:hyperlink w:anchor="_Toc145612586" w:history="1">
        <w:r w:rsidR="00400321" w:rsidRPr="0093517A">
          <w:rPr>
            <w:rStyle w:val="Hyperlink"/>
          </w:rPr>
          <w:t>4.9</w:t>
        </w:r>
        <w:r w:rsidR="00400321">
          <w:rPr>
            <w:color w:val="auto"/>
            <w:spacing w:val="0"/>
            <w:sz w:val="22"/>
            <w:szCs w:val="22"/>
            <w:lang w:eastAsia="en-AU"/>
          </w:rPr>
          <w:tab/>
        </w:r>
        <w:r w:rsidR="00400321" w:rsidRPr="0093517A">
          <w:rPr>
            <w:rStyle w:val="Hyperlink"/>
          </w:rPr>
          <w:t>Insurance (clause</w:t>
        </w:r>
        <w:r w:rsidR="00400321" w:rsidRPr="0093517A">
          <w:rPr>
            <w:rStyle w:val="Hyperlink"/>
            <w:rFonts w:ascii="Calibri" w:hAnsi="Calibri" w:cs="Calibri"/>
          </w:rPr>
          <w:t> </w:t>
        </w:r>
        <w:r w:rsidR="00400321" w:rsidRPr="0093517A">
          <w:rPr>
            <w:rStyle w:val="Hyperlink"/>
          </w:rPr>
          <w:t>18 of the ITC Development Deed)</w:t>
        </w:r>
        <w:r w:rsidR="00400321">
          <w:rPr>
            <w:webHidden/>
          </w:rPr>
          <w:tab/>
        </w:r>
        <w:r w:rsidR="00400321">
          <w:rPr>
            <w:webHidden/>
          </w:rPr>
          <w:fldChar w:fldCharType="begin"/>
        </w:r>
        <w:r w:rsidR="00400321">
          <w:rPr>
            <w:webHidden/>
          </w:rPr>
          <w:instrText xml:space="preserve"> PAGEREF _Toc145612586 \h </w:instrText>
        </w:r>
        <w:r w:rsidR="00400321">
          <w:rPr>
            <w:webHidden/>
          </w:rPr>
        </w:r>
        <w:r w:rsidR="00400321">
          <w:rPr>
            <w:webHidden/>
          </w:rPr>
          <w:fldChar w:fldCharType="separate"/>
        </w:r>
        <w:r w:rsidR="00131EE1">
          <w:rPr>
            <w:webHidden/>
          </w:rPr>
          <w:t>42</w:t>
        </w:r>
        <w:r w:rsidR="00400321">
          <w:rPr>
            <w:webHidden/>
          </w:rPr>
          <w:fldChar w:fldCharType="end"/>
        </w:r>
      </w:hyperlink>
    </w:p>
    <w:p w14:paraId="7AE69EB4" w14:textId="1E2B58D7" w:rsidR="00400321" w:rsidRDefault="003B6DB4">
      <w:pPr>
        <w:pStyle w:val="TOC5"/>
        <w:tabs>
          <w:tab w:val="left" w:pos="1080"/>
        </w:tabs>
        <w:rPr>
          <w:color w:val="auto"/>
          <w:spacing w:val="0"/>
          <w:sz w:val="22"/>
          <w:szCs w:val="22"/>
          <w:lang w:eastAsia="en-AU"/>
        </w:rPr>
      </w:pPr>
      <w:hyperlink w:anchor="_Toc145612587" w:history="1">
        <w:r w:rsidR="00400321" w:rsidRPr="0093517A">
          <w:rPr>
            <w:rStyle w:val="Hyperlink"/>
          </w:rPr>
          <w:t>4.10</w:t>
        </w:r>
        <w:r w:rsidR="00400321">
          <w:rPr>
            <w:color w:val="auto"/>
            <w:spacing w:val="0"/>
            <w:sz w:val="22"/>
            <w:szCs w:val="22"/>
            <w:lang w:eastAsia="en-AU"/>
          </w:rPr>
          <w:tab/>
        </w:r>
        <w:r w:rsidR="00400321" w:rsidRPr="0093517A">
          <w:rPr>
            <w:rStyle w:val="Hyperlink"/>
          </w:rPr>
          <w:t>Intellectual Property and the Delivery Phase Offer (clauses</w:t>
        </w:r>
        <w:r w:rsidR="00400321" w:rsidRPr="0093517A">
          <w:rPr>
            <w:rStyle w:val="Hyperlink"/>
            <w:rFonts w:ascii="Calibri" w:hAnsi="Calibri" w:cs="Calibri"/>
          </w:rPr>
          <w:t> </w:t>
        </w:r>
        <w:r w:rsidR="00400321" w:rsidRPr="0093517A">
          <w:rPr>
            <w:rStyle w:val="Hyperlink"/>
          </w:rPr>
          <w:t>14 and 20 of the ITC Development Deed)</w:t>
        </w:r>
        <w:r w:rsidR="00400321">
          <w:rPr>
            <w:webHidden/>
          </w:rPr>
          <w:tab/>
        </w:r>
        <w:r w:rsidR="00400321">
          <w:rPr>
            <w:webHidden/>
          </w:rPr>
          <w:fldChar w:fldCharType="begin"/>
        </w:r>
        <w:r w:rsidR="00400321">
          <w:rPr>
            <w:webHidden/>
          </w:rPr>
          <w:instrText xml:space="preserve"> PAGEREF _Toc145612587 \h </w:instrText>
        </w:r>
        <w:r w:rsidR="00400321">
          <w:rPr>
            <w:webHidden/>
          </w:rPr>
        </w:r>
        <w:r w:rsidR="00400321">
          <w:rPr>
            <w:webHidden/>
          </w:rPr>
          <w:fldChar w:fldCharType="separate"/>
        </w:r>
        <w:r w:rsidR="00131EE1">
          <w:rPr>
            <w:webHidden/>
          </w:rPr>
          <w:t>43</w:t>
        </w:r>
        <w:r w:rsidR="00400321">
          <w:rPr>
            <w:webHidden/>
          </w:rPr>
          <w:fldChar w:fldCharType="end"/>
        </w:r>
      </w:hyperlink>
    </w:p>
    <w:p w14:paraId="7C635014" w14:textId="016CEDBB" w:rsidR="00400321" w:rsidRDefault="003B6DB4">
      <w:pPr>
        <w:pStyle w:val="TOC5"/>
        <w:tabs>
          <w:tab w:val="left" w:pos="1080"/>
        </w:tabs>
        <w:rPr>
          <w:color w:val="auto"/>
          <w:spacing w:val="0"/>
          <w:sz w:val="22"/>
          <w:szCs w:val="22"/>
          <w:lang w:eastAsia="en-AU"/>
        </w:rPr>
      </w:pPr>
      <w:hyperlink w:anchor="_Toc145612588" w:history="1">
        <w:r w:rsidR="00400321" w:rsidRPr="0093517A">
          <w:rPr>
            <w:rStyle w:val="Hyperlink"/>
          </w:rPr>
          <w:t>4.11</w:t>
        </w:r>
        <w:r w:rsidR="00400321">
          <w:rPr>
            <w:color w:val="auto"/>
            <w:spacing w:val="0"/>
            <w:sz w:val="22"/>
            <w:szCs w:val="22"/>
            <w:lang w:eastAsia="en-AU"/>
          </w:rPr>
          <w:tab/>
        </w:r>
        <w:r w:rsidR="00400321" w:rsidRPr="0093517A">
          <w:rPr>
            <w:rStyle w:val="Hyperlink"/>
          </w:rPr>
          <w:t>Termination (clause</w:t>
        </w:r>
        <w:r w:rsidR="00400321" w:rsidRPr="0093517A">
          <w:rPr>
            <w:rStyle w:val="Hyperlink"/>
            <w:rFonts w:ascii="Calibri" w:hAnsi="Calibri" w:cs="Calibri"/>
          </w:rPr>
          <w:t> </w:t>
        </w:r>
        <w:r w:rsidR="00400321" w:rsidRPr="0093517A">
          <w:rPr>
            <w:rStyle w:val="Hyperlink"/>
          </w:rPr>
          <w:t>25 of the ITC Development Deed)</w:t>
        </w:r>
        <w:r w:rsidR="00400321">
          <w:rPr>
            <w:webHidden/>
          </w:rPr>
          <w:tab/>
        </w:r>
        <w:r w:rsidR="00400321">
          <w:rPr>
            <w:webHidden/>
          </w:rPr>
          <w:fldChar w:fldCharType="begin"/>
        </w:r>
        <w:r w:rsidR="00400321">
          <w:rPr>
            <w:webHidden/>
          </w:rPr>
          <w:instrText xml:space="preserve"> PAGEREF _Toc145612588 \h </w:instrText>
        </w:r>
        <w:r w:rsidR="00400321">
          <w:rPr>
            <w:webHidden/>
          </w:rPr>
        </w:r>
        <w:r w:rsidR="00400321">
          <w:rPr>
            <w:webHidden/>
          </w:rPr>
          <w:fldChar w:fldCharType="separate"/>
        </w:r>
        <w:r w:rsidR="00131EE1">
          <w:rPr>
            <w:webHidden/>
          </w:rPr>
          <w:t>45</w:t>
        </w:r>
        <w:r w:rsidR="00400321">
          <w:rPr>
            <w:webHidden/>
          </w:rPr>
          <w:fldChar w:fldCharType="end"/>
        </w:r>
      </w:hyperlink>
    </w:p>
    <w:p w14:paraId="090416AA" w14:textId="603BDF0F" w:rsidR="00400321" w:rsidRDefault="003B6DB4">
      <w:pPr>
        <w:pStyle w:val="TOC4"/>
        <w:rPr>
          <w:color w:val="auto"/>
          <w:sz w:val="22"/>
          <w:szCs w:val="22"/>
          <w:lang w:eastAsia="en-AU"/>
        </w:rPr>
      </w:pPr>
      <w:hyperlink w:anchor="_Toc145612589" w:history="1">
        <w:r w:rsidR="00400321" w:rsidRPr="0093517A">
          <w:rPr>
            <w:rStyle w:val="Hyperlink"/>
          </w:rPr>
          <w:t>5.</w:t>
        </w:r>
        <w:r w:rsidR="00400321">
          <w:rPr>
            <w:color w:val="auto"/>
            <w:sz w:val="22"/>
            <w:szCs w:val="22"/>
            <w:lang w:eastAsia="en-AU"/>
          </w:rPr>
          <w:tab/>
        </w:r>
        <w:r w:rsidR="00400321" w:rsidRPr="0093517A">
          <w:rPr>
            <w:rStyle w:val="Hyperlink"/>
          </w:rPr>
          <w:t>ITC Delivery Deed guidance</w:t>
        </w:r>
        <w:r w:rsidR="00400321">
          <w:rPr>
            <w:webHidden/>
          </w:rPr>
          <w:tab/>
        </w:r>
        <w:r w:rsidR="00400321">
          <w:rPr>
            <w:webHidden/>
          </w:rPr>
          <w:fldChar w:fldCharType="begin"/>
        </w:r>
        <w:r w:rsidR="00400321">
          <w:rPr>
            <w:webHidden/>
          </w:rPr>
          <w:instrText xml:space="preserve"> PAGEREF _Toc145612589 \h </w:instrText>
        </w:r>
        <w:r w:rsidR="00400321">
          <w:rPr>
            <w:webHidden/>
          </w:rPr>
        </w:r>
        <w:r w:rsidR="00400321">
          <w:rPr>
            <w:webHidden/>
          </w:rPr>
          <w:fldChar w:fldCharType="separate"/>
        </w:r>
        <w:r w:rsidR="00131EE1">
          <w:rPr>
            <w:webHidden/>
          </w:rPr>
          <w:t>46</w:t>
        </w:r>
        <w:r w:rsidR="00400321">
          <w:rPr>
            <w:webHidden/>
          </w:rPr>
          <w:fldChar w:fldCharType="end"/>
        </w:r>
      </w:hyperlink>
    </w:p>
    <w:p w14:paraId="7CE633EC" w14:textId="52ACA082" w:rsidR="00400321" w:rsidRDefault="003B6DB4">
      <w:pPr>
        <w:pStyle w:val="TOC5"/>
        <w:tabs>
          <w:tab w:val="left" w:pos="1080"/>
        </w:tabs>
        <w:rPr>
          <w:color w:val="auto"/>
          <w:spacing w:val="0"/>
          <w:sz w:val="22"/>
          <w:szCs w:val="22"/>
          <w:lang w:eastAsia="en-AU"/>
        </w:rPr>
      </w:pPr>
      <w:hyperlink w:anchor="_Toc145612590" w:history="1">
        <w:r w:rsidR="00400321" w:rsidRPr="0093517A">
          <w:rPr>
            <w:rStyle w:val="Hyperlink"/>
          </w:rPr>
          <w:t>5.1</w:t>
        </w:r>
        <w:r w:rsidR="00400321">
          <w:rPr>
            <w:color w:val="auto"/>
            <w:spacing w:val="0"/>
            <w:sz w:val="22"/>
            <w:szCs w:val="22"/>
            <w:lang w:eastAsia="en-AU"/>
          </w:rPr>
          <w:tab/>
        </w:r>
        <w:r w:rsidR="00400321" w:rsidRPr="0093517A">
          <w:rPr>
            <w:rStyle w:val="Hyperlink"/>
          </w:rPr>
          <w:t>Key price concepts</w:t>
        </w:r>
        <w:r w:rsidR="00400321">
          <w:rPr>
            <w:webHidden/>
          </w:rPr>
          <w:tab/>
        </w:r>
        <w:r w:rsidR="00400321">
          <w:rPr>
            <w:webHidden/>
          </w:rPr>
          <w:fldChar w:fldCharType="begin"/>
        </w:r>
        <w:r w:rsidR="00400321">
          <w:rPr>
            <w:webHidden/>
          </w:rPr>
          <w:instrText xml:space="preserve"> PAGEREF _Toc145612590 \h </w:instrText>
        </w:r>
        <w:r w:rsidR="00400321">
          <w:rPr>
            <w:webHidden/>
          </w:rPr>
        </w:r>
        <w:r w:rsidR="00400321">
          <w:rPr>
            <w:webHidden/>
          </w:rPr>
          <w:fldChar w:fldCharType="separate"/>
        </w:r>
        <w:r w:rsidR="00131EE1">
          <w:rPr>
            <w:webHidden/>
          </w:rPr>
          <w:t>46</w:t>
        </w:r>
        <w:r w:rsidR="00400321">
          <w:rPr>
            <w:webHidden/>
          </w:rPr>
          <w:fldChar w:fldCharType="end"/>
        </w:r>
      </w:hyperlink>
    </w:p>
    <w:p w14:paraId="2662DF78" w14:textId="000A0859" w:rsidR="00400321" w:rsidRDefault="003B6DB4">
      <w:pPr>
        <w:pStyle w:val="TOC5"/>
        <w:tabs>
          <w:tab w:val="left" w:pos="1080"/>
        </w:tabs>
        <w:rPr>
          <w:color w:val="auto"/>
          <w:spacing w:val="0"/>
          <w:sz w:val="22"/>
          <w:szCs w:val="22"/>
          <w:lang w:eastAsia="en-AU"/>
        </w:rPr>
      </w:pPr>
      <w:hyperlink w:anchor="_Toc145612591" w:history="1">
        <w:r w:rsidR="00400321" w:rsidRPr="0093517A">
          <w:rPr>
            <w:rStyle w:val="Hyperlink"/>
          </w:rPr>
          <w:t>5.2</w:t>
        </w:r>
        <w:r w:rsidR="00400321">
          <w:rPr>
            <w:color w:val="auto"/>
            <w:spacing w:val="0"/>
            <w:sz w:val="22"/>
            <w:szCs w:val="22"/>
            <w:lang w:eastAsia="en-AU"/>
          </w:rPr>
          <w:tab/>
        </w:r>
        <w:r w:rsidR="00400321" w:rsidRPr="0093517A">
          <w:rPr>
            <w:rStyle w:val="Hyperlink"/>
          </w:rPr>
          <w:t>Risk or Reward Regime (Schedule</w:t>
        </w:r>
        <w:r w:rsidR="00400321" w:rsidRPr="0093517A">
          <w:rPr>
            <w:rStyle w:val="Hyperlink"/>
            <w:rFonts w:ascii="Calibri" w:hAnsi="Calibri" w:cs="Calibri"/>
          </w:rPr>
          <w:t> </w:t>
        </w:r>
        <w:r w:rsidR="00400321" w:rsidRPr="0093517A">
          <w:rPr>
            <w:rStyle w:val="Hyperlink"/>
          </w:rPr>
          <w:t>5 to the ITC Delivery Deed)</w:t>
        </w:r>
        <w:r w:rsidR="00400321">
          <w:rPr>
            <w:webHidden/>
          </w:rPr>
          <w:tab/>
        </w:r>
        <w:r w:rsidR="00400321">
          <w:rPr>
            <w:webHidden/>
          </w:rPr>
          <w:fldChar w:fldCharType="begin"/>
        </w:r>
        <w:r w:rsidR="00400321">
          <w:rPr>
            <w:webHidden/>
          </w:rPr>
          <w:instrText xml:space="preserve"> PAGEREF _Toc145612591 \h </w:instrText>
        </w:r>
        <w:r w:rsidR="00400321">
          <w:rPr>
            <w:webHidden/>
          </w:rPr>
        </w:r>
        <w:r w:rsidR="00400321">
          <w:rPr>
            <w:webHidden/>
          </w:rPr>
          <w:fldChar w:fldCharType="separate"/>
        </w:r>
        <w:r w:rsidR="00131EE1">
          <w:rPr>
            <w:webHidden/>
          </w:rPr>
          <w:t>49</w:t>
        </w:r>
        <w:r w:rsidR="00400321">
          <w:rPr>
            <w:webHidden/>
          </w:rPr>
          <w:fldChar w:fldCharType="end"/>
        </w:r>
      </w:hyperlink>
    </w:p>
    <w:p w14:paraId="3A23C673" w14:textId="3A745037" w:rsidR="00400321" w:rsidRDefault="003B6DB4">
      <w:pPr>
        <w:pStyle w:val="TOC5"/>
        <w:tabs>
          <w:tab w:val="left" w:pos="1080"/>
        </w:tabs>
        <w:rPr>
          <w:color w:val="auto"/>
          <w:spacing w:val="0"/>
          <w:sz w:val="22"/>
          <w:szCs w:val="22"/>
          <w:lang w:eastAsia="en-AU"/>
        </w:rPr>
      </w:pPr>
      <w:hyperlink w:anchor="_Toc145612592" w:history="1">
        <w:r w:rsidR="00400321" w:rsidRPr="0093517A">
          <w:rPr>
            <w:rStyle w:val="Hyperlink"/>
          </w:rPr>
          <w:t>5.3</w:t>
        </w:r>
        <w:r w:rsidR="00400321">
          <w:rPr>
            <w:color w:val="auto"/>
            <w:spacing w:val="0"/>
            <w:sz w:val="22"/>
            <w:szCs w:val="22"/>
            <w:lang w:eastAsia="en-AU"/>
          </w:rPr>
          <w:tab/>
        </w:r>
        <w:r w:rsidR="00400321" w:rsidRPr="0093517A">
          <w:rPr>
            <w:rStyle w:val="Hyperlink"/>
          </w:rPr>
          <w:t>Principal’s KRAs (clause</w:t>
        </w:r>
        <w:r w:rsidR="00400321" w:rsidRPr="0093517A">
          <w:rPr>
            <w:rStyle w:val="Hyperlink"/>
            <w:rFonts w:ascii="Calibri" w:hAnsi="Calibri" w:cs="Calibri"/>
          </w:rPr>
          <w:t> </w:t>
        </w:r>
        <w:r w:rsidR="00400321" w:rsidRPr="0093517A">
          <w:rPr>
            <w:rStyle w:val="Hyperlink"/>
          </w:rPr>
          <w:t>4.6 of the ITC Delivery Deed)</w:t>
        </w:r>
        <w:r w:rsidR="00400321">
          <w:rPr>
            <w:webHidden/>
          </w:rPr>
          <w:tab/>
        </w:r>
        <w:r w:rsidR="00400321">
          <w:rPr>
            <w:webHidden/>
          </w:rPr>
          <w:fldChar w:fldCharType="begin"/>
        </w:r>
        <w:r w:rsidR="00400321">
          <w:rPr>
            <w:webHidden/>
          </w:rPr>
          <w:instrText xml:space="preserve"> PAGEREF _Toc145612592 \h </w:instrText>
        </w:r>
        <w:r w:rsidR="00400321">
          <w:rPr>
            <w:webHidden/>
          </w:rPr>
        </w:r>
        <w:r w:rsidR="00400321">
          <w:rPr>
            <w:webHidden/>
          </w:rPr>
          <w:fldChar w:fldCharType="separate"/>
        </w:r>
        <w:r w:rsidR="00131EE1">
          <w:rPr>
            <w:webHidden/>
          </w:rPr>
          <w:t>55</w:t>
        </w:r>
        <w:r w:rsidR="00400321">
          <w:rPr>
            <w:webHidden/>
          </w:rPr>
          <w:fldChar w:fldCharType="end"/>
        </w:r>
      </w:hyperlink>
    </w:p>
    <w:p w14:paraId="09810B0A" w14:textId="07B973EE" w:rsidR="00400321" w:rsidRDefault="003B6DB4">
      <w:pPr>
        <w:pStyle w:val="TOC5"/>
        <w:tabs>
          <w:tab w:val="left" w:pos="1080"/>
        </w:tabs>
        <w:rPr>
          <w:color w:val="auto"/>
          <w:spacing w:val="0"/>
          <w:sz w:val="22"/>
          <w:szCs w:val="22"/>
          <w:lang w:eastAsia="en-AU"/>
        </w:rPr>
      </w:pPr>
      <w:hyperlink w:anchor="_Toc145612593" w:history="1">
        <w:r w:rsidR="00400321" w:rsidRPr="0093517A">
          <w:rPr>
            <w:rStyle w:val="Hyperlink"/>
          </w:rPr>
          <w:t>5.4</w:t>
        </w:r>
        <w:r w:rsidR="00400321">
          <w:rPr>
            <w:color w:val="auto"/>
            <w:spacing w:val="0"/>
            <w:sz w:val="22"/>
            <w:szCs w:val="22"/>
            <w:lang w:eastAsia="en-AU"/>
          </w:rPr>
          <w:tab/>
        </w:r>
        <w:r w:rsidR="00400321" w:rsidRPr="0093517A">
          <w:rPr>
            <w:rStyle w:val="Hyperlink"/>
          </w:rPr>
          <w:t>Cost planning and control (clause</w:t>
        </w:r>
        <w:r w:rsidR="00400321" w:rsidRPr="0093517A">
          <w:rPr>
            <w:rStyle w:val="Hyperlink"/>
            <w:rFonts w:ascii="Calibri" w:hAnsi="Calibri" w:cs="Calibri"/>
          </w:rPr>
          <w:t> </w:t>
        </w:r>
        <w:r w:rsidR="00400321" w:rsidRPr="0093517A">
          <w:rPr>
            <w:rStyle w:val="Hyperlink"/>
          </w:rPr>
          <w:t>21 of the ITC Delivery Deed)</w:t>
        </w:r>
        <w:r w:rsidR="00400321">
          <w:rPr>
            <w:webHidden/>
          </w:rPr>
          <w:tab/>
        </w:r>
        <w:r w:rsidR="00400321">
          <w:rPr>
            <w:webHidden/>
          </w:rPr>
          <w:fldChar w:fldCharType="begin"/>
        </w:r>
        <w:r w:rsidR="00400321">
          <w:rPr>
            <w:webHidden/>
          </w:rPr>
          <w:instrText xml:space="preserve"> PAGEREF _Toc145612593 \h </w:instrText>
        </w:r>
        <w:r w:rsidR="00400321">
          <w:rPr>
            <w:webHidden/>
          </w:rPr>
        </w:r>
        <w:r w:rsidR="00400321">
          <w:rPr>
            <w:webHidden/>
          </w:rPr>
          <w:fldChar w:fldCharType="separate"/>
        </w:r>
        <w:r w:rsidR="00131EE1">
          <w:rPr>
            <w:webHidden/>
          </w:rPr>
          <w:t>55</w:t>
        </w:r>
        <w:r w:rsidR="00400321">
          <w:rPr>
            <w:webHidden/>
          </w:rPr>
          <w:fldChar w:fldCharType="end"/>
        </w:r>
      </w:hyperlink>
    </w:p>
    <w:p w14:paraId="36912945" w14:textId="71D09452" w:rsidR="00400321" w:rsidRDefault="003B6DB4">
      <w:pPr>
        <w:pStyle w:val="TOC5"/>
        <w:tabs>
          <w:tab w:val="left" w:pos="1080"/>
        </w:tabs>
        <w:rPr>
          <w:color w:val="auto"/>
          <w:spacing w:val="0"/>
          <w:sz w:val="22"/>
          <w:szCs w:val="22"/>
          <w:lang w:eastAsia="en-AU"/>
        </w:rPr>
      </w:pPr>
      <w:hyperlink w:anchor="_Toc145612594" w:history="1">
        <w:r w:rsidR="00400321" w:rsidRPr="0093517A">
          <w:rPr>
            <w:rStyle w:val="Hyperlink"/>
          </w:rPr>
          <w:t>5.5</w:t>
        </w:r>
        <w:r w:rsidR="00400321">
          <w:rPr>
            <w:color w:val="auto"/>
            <w:spacing w:val="0"/>
            <w:sz w:val="22"/>
            <w:szCs w:val="22"/>
            <w:lang w:eastAsia="en-AU"/>
          </w:rPr>
          <w:tab/>
        </w:r>
        <w:r w:rsidR="00400321" w:rsidRPr="0093517A">
          <w:rPr>
            <w:rStyle w:val="Hyperlink"/>
          </w:rPr>
          <w:t>Adjustment Events (clause</w:t>
        </w:r>
        <w:r w:rsidR="00400321" w:rsidRPr="0093517A">
          <w:rPr>
            <w:rStyle w:val="Hyperlink"/>
            <w:rFonts w:ascii="Calibri" w:hAnsi="Calibri" w:cs="Calibri"/>
          </w:rPr>
          <w:t> </w:t>
        </w:r>
        <w:r w:rsidR="00400321" w:rsidRPr="0093517A">
          <w:rPr>
            <w:rStyle w:val="Hyperlink"/>
          </w:rPr>
          <w:t>27 of, and Schedule</w:t>
        </w:r>
        <w:r w:rsidR="00400321" w:rsidRPr="0093517A">
          <w:rPr>
            <w:rStyle w:val="Hyperlink"/>
            <w:rFonts w:ascii="Calibri" w:hAnsi="Calibri" w:cs="Calibri"/>
          </w:rPr>
          <w:t> </w:t>
        </w:r>
        <w:r w:rsidR="00400321" w:rsidRPr="0093517A">
          <w:rPr>
            <w:rStyle w:val="Hyperlink"/>
          </w:rPr>
          <w:t>15 to, the ITC Delivery Deed)</w:t>
        </w:r>
        <w:r w:rsidR="00400321">
          <w:rPr>
            <w:webHidden/>
          </w:rPr>
          <w:tab/>
        </w:r>
        <w:r w:rsidR="00400321">
          <w:rPr>
            <w:webHidden/>
          </w:rPr>
          <w:fldChar w:fldCharType="begin"/>
        </w:r>
        <w:r w:rsidR="00400321">
          <w:rPr>
            <w:webHidden/>
          </w:rPr>
          <w:instrText xml:space="preserve"> PAGEREF _Toc145612594 \h </w:instrText>
        </w:r>
        <w:r w:rsidR="00400321">
          <w:rPr>
            <w:webHidden/>
          </w:rPr>
        </w:r>
        <w:r w:rsidR="00400321">
          <w:rPr>
            <w:webHidden/>
          </w:rPr>
          <w:fldChar w:fldCharType="separate"/>
        </w:r>
        <w:r w:rsidR="00131EE1">
          <w:rPr>
            <w:webHidden/>
          </w:rPr>
          <w:t>56</w:t>
        </w:r>
        <w:r w:rsidR="00400321">
          <w:rPr>
            <w:webHidden/>
          </w:rPr>
          <w:fldChar w:fldCharType="end"/>
        </w:r>
      </w:hyperlink>
    </w:p>
    <w:p w14:paraId="79E8FD1A" w14:textId="79AB21BE" w:rsidR="00400321" w:rsidRDefault="003B6DB4">
      <w:pPr>
        <w:pStyle w:val="TOC5"/>
        <w:tabs>
          <w:tab w:val="left" w:pos="1080"/>
        </w:tabs>
        <w:rPr>
          <w:color w:val="auto"/>
          <w:spacing w:val="0"/>
          <w:sz w:val="22"/>
          <w:szCs w:val="22"/>
          <w:lang w:eastAsia="en-AU"/>
        </w:rPr>
      </w:pPr>
      <w:hyperlink w:anchor="_Toc145612595" w:history="1">
        <w:r w:rsidR="00400321" w:rsidRPr="0093517A">
          <w:rPr>
            <w:rStyle w:val="Hyperlink"/>
          </w:rPr>
          <w:t>5.6</w:t>
        </w:r>
        <w:r w:rsidR="00400321">
          <w:rPr>
            <w:color w:val="auto"/>
            <w:spacing w:val="0"/>
            <w:sz w:val="22"/>
            <w:szCs w:val="22"/>
            <w:lang w:eastAsia="en-AU"/>
          </w:rPr>
          <w:tab/>
        </w:r>
        <w:r w:rsidR="00400321" w:rsidRPr="0093517A">
          <w:rPr>
            <w:rStyle w:val="Hyperlink"/>
          </w:rPr>
          <w:t>Defects (clauses</w:t>
        </w:r>
        <w:r w:rsidR="00400321" w:rsidRPr="0093517A">
          <w:rPr>
            <w:rStyle w:val="Hyperlink"/>
            <w:rFonts w:ascii="Calibri" w:hAnsi="Calibri" w:cs="Calibri"/>
          </w:rPr>
          <w:t> </w:t>
        </w:r>
        <w:r w:rsidR="00400321" w:rsidRPr="0093517A">
          <w:rPr>
            <w:rStyle w:val="Hyperlink"/>
          </w:rPr>
          <w:t>1 and 28 of the ITC Delivery Deed)</w:t>
        </w:r>
        <w:r w:rsidR="00400321">
          <w:rPr>
            <w:webHidden/>
          </w:rPr>
          <w:tab/>
        </w:r>
        <w:r w:rsidR="00400321">
          <w:rPr>
            <w:webHidden/>
          </w:rPr>
          <w:fldChar w:fldCharType="begin"/>
        </w:r>
        <w:r w:rsidR="00400321">
          <w:rPr>
            <w:webHidden/>
          </w:rPr>
          <w:instrText xml:space="preserve"> PAGEREF _Toc145612595 \h </w:instrText>
        </w:r>
        <w:r w:rsidR="00400321">
          <w:rPr>
            <w:webHidden/>
          </w:rPr>
        </w:r>
        <w:r w:rsidR="00400321">
          <w:rPr>
            <w:webHidden/>
          </w:rPr>
          <w:fldChar w:fldCharType="separate"/>
        </w:r>
        <w:r w:rsidR="00131EE1">
          <w:rPr>
            <w:webHidden/>
          </w:rPr>
          <w:t>60</w:t>
        </w:r>
        <w:r w:rsidR="00400321">
          <w:rPr>
            <w:webHidden/>
          </w:rPr>
          <w:fldChar w:fldCharType="end"/>
        </w:r>
      </w:hyperlink>
    </w:p>
    <w:p w14:paraId="7A42C1C2" w14:textId="1D6F110F" w:rsidR="00400321" w:rsidRDefault="003B6DB4">
      <w:pPr>
        <w:pStyle w:val="TOC5"/>
        <w:tabs>
          <w:tab w:val="left" w:pos="1080"/>
        </w:tabs>
        <w:rPr>
          <w:color w:val="auto"/>
          <w:spacing w:val="0"/>
          <w:sz w:val="22"/>
          <w:szCs w:val="22"/>
          <w:lang w:eastAsia="en-AU"/>
        </w:rPr>
      </w:pPr>
      <w:hyperlink w:anchor="_Toc145612596" w:history="1">
        <w:r w:rsidR="00400321" w:rsidRPr="0093517A">
          <w:rPr>
            <w:rStyle w:val="Hyperlink"/>
          </w:rPr>
          <w:t>5.7</w:t>
        </w:r>
        <w:r w:rsidR="00400321">
          <w:rPr>
            <w:color w:val="auto"/>
            <w:spacing w:val="0"/>
            <w:sz w:val="22"/>
            <w:szCs w:val="22"/>
            <w:lang w:eastAsia="en-AU"/>
          </w:rPr>
          <w:tab/>
        </w:r>
        <w:r w:rsidR="00400321" w:rsidRPr="0093517A">
          <w:rPr>
            <w:rStyle w:val="Hyperlink"/>
          </w:rPr>
          <w:t>Subcontracting and third party arrangements (clause</w:t>
        </w:r>
        <w:r w:rsidR="00400321" w:rsidRPr="0093517A">
          <w:rPr>
            <w:rStyle w:val="Hyperlink"/>
            <w:rFonts w:ascii="Calibri" w:hAnsi="Calibri" w:cs="Calibri"/>
          </w:rPr>
          <w:t> </w:t>
        </w:r>
        <w:r w:rsidR="00400321" w:rsidRPr="0093517A">
          <w:rPr>
            <w:rStyle w:val="Hyperlink"/>
          </w:rPr>
          <w:t>8 of the ITC Delivery Deed)</w:t>
        </w:r>
        <w:r w:rsidR="00400321">
          <w:rPr>
            <w:webHidden/>
          </w:rPr>
          <w:tab/>
        </w:r>
        <w:r w:rsidR="00400321">
          <w:rPr>
            <w:webHidden/>
          </w:rPr>
          <w:fldChar w:fldCharType="begin"/>
        </w:r>
        <w:r w:rsidR="00400321">
          <w:rPr>
            <w:webHidden/>
          </w:rPr>
          <w:instrText xml:space="preserve"> PAGEREF _Toc145612596 \h </w:instrText>
        </w:r>
        <w:r w:rsidR="00400321">
          <w:rPr>
            <w:webHidden/>
          </w:rPr>
        </w:r>
        <w:r w:rsidR="00400321">
          <w:rPr>
            <w:webHidden/>
          </w:rPr>
          <w:fldChar w:fldCharType="separate"/>
        </w:r>
        <w:r w:rsidR="00131EE1">
          <w:rPr>
            <w:webHidden/>
          </w:rPr>
          <w:t>63</w:t>
        </w:r>
        <w:r w:rsidR="00400321">
          <w:rPr>
            <w:webHidden/>
          </w:rPr>
          <w:fldChar w:fldCharType="end"/>
        </w:r>
      </w:hyperlink>
    </w:p>
    <w:p w14:paraId="6E101E4B" w14:textId="76C6852A" w:rsidR="00400321" w:rsidRDefault="003B6DB4">
      <w:pPr>
        <w:pStyle w:val="TOC5"/>
        <w:tabs>
          <w:tab w:val="left" w:pos="1080"/>
        </w:tabs>
        <w:rPr>
          <w:color w:val="auto"/>
          <w:spacing w:val="0"/>
          <w:sz w:val="22"/>
          <w:szCs w:val="22"/>
          <w:lang w:eastAsia="en-AU"/>
        </w:rPr>
      </w:pPr>
      <w:hyperlink w:anchor="_Toc145612597" w:history="1">
        <w:r w:rsidR="00400321" w:rsidRPr="0093517A">
          <w:rPr>
            <w:rStyle w:val="Hyperlink"/>
          </w:rPr>
          <w:t>5.8</w:t>
        </w:r>
        <w:r w:rsidR="00400321">
          <w:rPr>
            <w:color w:val="auto"/>
            <w:spacing w:val="0"/>
            <w:sz w:val="22"/>
            <w:szCs w:val="22"/>
            <w:lang w:eastAsia="en-AU"/>
          </w:rPr>
          <w:tab/>
        </w:r>
        <w:r w:rsidR="00400321" w:rsidRPr="0093517A">
          <w:rPr>
            <w:rStyle w:val="Hyperlink"/>
          </w:rPr>
          <w:t>Site Information and Site Conditions (clauses</w:t>
        </w:r>
        <w:r w:rsidR="00400321" w:rsidRPr="0093517A">
          <w:rPr>
            <w:rStyle w:val="Hyperlink"/>
            <w:rFonts w:ascii="Calibri" w:hAnsi="Calibri" w:cs="Calibri"/>
          </w:rPr>
          <w:t> </w:t>
        </w:r>
        <w:r w:rsidR="00400321" w:rsidRPr="0093517A">
          <w:rPr>
            <w:rStyle w:val="Hyperlink"/>
          </w:rPr>
          <w:t>5, 10, 12, 13 and 41 of the ITC Delivery Deed)</w:t>
        </w:r>
        <w:r w:rsidR="00400321">
          <w:rPr>
            <w:webHidden/>
          </w:rPr>
          <w:tab/>
        </w:r>
        <w:r w:rsidR="00400321">
          <w:rPr>
            <w:webHidden/>
          </w:rPr>
          <w:fldChar w:fldCharType="begin"/>
        </w:r>
        <w:r w:rsidR="00400321">
          <w:rPr>
            <w:webHidden/>
          </w:rPr>
          <w:instrText xml:space="preserve"> PAGEREF _Toc145612597 \h </w:instrText>
        </w:r>
        <w:r w:rsidR="00400321">
          <w:rPr>
            <w:webHidden/>
          </w:rPr>
        </w:r>
        <w:r w:rsidR="00400321">
          <w:rPr>
            <w:webHidden/>
          </w:rPr>
          <w:fldChar w:fldCharType="separate"/>
        </w:r>
        <w:r w:rsidR="00131EE1">
          <w:rPr>
            <w:webHidden/>
          </w:rPr>
          <w:t>65</w:t>
        </w:r>
        <w:r w:rsidR="00400321">
          <w:rPr>
            <w:webHidden/>
          </w:rPr>
          <w:fldChar w:fldCharType="end"/>
        </w:r>
      </w:hyperlink>
    </w:p>
    <w:p w14:paraId="7B6715F5" w14:textId="5C0D0422" w:rsidR="00400321" w:rsidRDefault="003B6DB4">
      <w:pPr>
        <w:pStyle w:val="TOC5"/>
        <w:tabs>
          <w:tab w:val="left" w:pos="1080"/>
        </w:tabs>
        <w:rPr>
          <w:color w:val="auto"/>
          <w:spacing w:val="0"/>
          <w:sz w:val="22"/>
          <w:szCs w:val="22"/>
          <w:lang w:eastAsia="en-AU"/>
        </w:rPr>
      </w:pPr>
      <w:hyperlink w:anchor="_Toc145612598" w:history="1">
        <w:r w:rsidR="00400321" w:rsidRPr="0093517A">
          <w:rPr>
            <w:rStyle w:val="Hyperlink"/>
          </w:rPr>
          <w:t>5.9</w:t>
        </w:r>
        <w:r w:rsidR="00400321">
          <w:rPr>
            <w:color w:val="auto"/>
            <w:spacing w:val="0"/>
            <w:sz w:val="22"/>
            <w:szCs w:val="22"/>
            <w:lang w:eastAsia="en-AU"/>
          </w:rPr>
          <w:tab/>
        </w:r>
        <w:r w:rsidR="00400321" w:rsidRPr="0093517A">
          <w:rPr>
            <w:rStyle w:val="Hyperlink"/>
          </w:rPr>
          <w:t>Change in Law and Change in Policy (clause</w:t>
        </w:r>
        <w:r w:rsidR="00400321" w:rsidRPr="0093517A">
          <w:rPr>
            <w:rStyle w:val="Hyperlink"/>
            <w:rFonts w:ascii="Calibri" w:hAnsi="Calibri" w:cs="Calibri"/>
          </w:rPr>
          <w:t> </w:t>
        </w:r>
        <w:r w:rsidR="00400321" w:rsidRPr="0093517A">
          <w:rPr>
            <w:rStyle w:val="Hyperlink"/>
          </w:rPr>
          <w:t>36 of the ITC Delivery Deed)</w:t>
        </w:r>
        <w:r w:rsidR="00400321">
          <w:rPr>
            <w:webHidden/>
          </w:rPr>
          <w:tab/>
        </w:r>
        <w:r w:rsidR="00400321">
          <w:rPr>
            <w:webHidden/>
          </w:rPr>
          <w:fldChar w:fldCharType="begin"/>
        </w:r>
        <w:r w:rsidR="00400321">
          <w:rPr>
            <w:webHidden/>
          </w:rPr>
          <w:instrText xml:space="preserve"> PAGEREF _Toc145612598 \h </w:instrText>
        </w:r>
        <w:r w:rsidR="00400321">
          <w:rPr>
            <w:webHidden/>
          </w:rPr>
        </w:r>
        <w:r w:rsidR="00400321">
          <w:rPr>
            <w:webHidden/>
          </w:rPr>
          <w:fldChar w:fldCharType="separate"/>
        </w:r>
        <w:r w:rsidR="00131EE1">
          <w:rPr>
            <w:webHidden/>
          </w:rPr>
          <w:t>69</w:t>
        </w:r>
        <w:r w:rsidR="00400321">
          <w:rPr>
            <w:webHidden/>
          </w:rPr>
          <w:fldChar w:fldCharType="end"/>
        </w:r>
      </w:hyperlink>
    </w:p>
    <w:p w14:paraId="3CC25BCE" w14:textId="78B9D715" w:rsidR="00400321" w:rsidRDefault="003B6DB4">
      <w:pPr>
        <w:pStyle w:val="TOC5"/>
        <w:tabs>
          <w:tab w:val="left" w:pos="1080"/>
        </w:tabs>
        <w:rPr>
          <w:color w:val="auto"/>
          <w:spacing w:val="0"/>
          <w:sz w:val="22"/>
          <w:szCs w:val="22"/>
          <w:lang w:eastAsia="en-AU"/>
        </w:rPr>
      </w:pPr>
      <w:hyperlink w:anchor="_Toc145612599" w:history="1">
        <w:r w:rsidR="00400321" w:rsidRPr="0093517A">
          <w:rPr>
            <w:rStyle w:val="Hyperlink"/>
          </w:rPr>
          <w:t>5.10</w:t>
        </w:r>
        <w:r w:rsidR="00400321">
          <w:rPr>
            <w:color w:val="auto"/>
            <w:spacing w:val="0"/>
            <w:sz w:val="22"/>
            <w:szCs w:val="22"/>
            <w:lang w:eastAsia="en-AU"/>
          </w:rPr>
          <w:tab/>
        </w:r>
        <w:r w:rsidR="00400321" w:rsidRPr="0093517A">
          <w:rPr>
            <w:rStyle w:val="Hyperlink"/>
          </w:rPr>
          <w:t>Force Majeure (clauses 1, 27 and 41 of the ITC Delivery Deed)</w:t>
        </w:r>
        <w:r w:rsidR="00400321">
          <w:rPr>
            <w:webHidden/>
          </w:rPr>
          <w:tab/>
        </w:r>
        <w:r w:rsidR="00400321">
          <w:rPr>
            <w:webHidden/>
          </w:rPr>
          <w:fldChar w:fldCharType="begin"/>
        </w:r>
        <w:r w:rsidR="00400321">
          <w:rPr>
            <w:webHidden/>
          </w:rPr>
          <w:instrText xml:space="preserve"> PAGEREF _Toc145612599 \h </w:instrText>
        </w:r>
        <w:r w:rsidR="00400321">
          <w:rPr>
            <w:webHidden/>
          </w:rPr>
        </w:r>
        <w:r w:rsidR="00400321">
          <w:rPr>
            <w:webHidden/>
          </w:rPr>
          <w:fldChar w:fldCharType="separate"/>
        </w:r>
        <w:r w:rsidR="00131EE1">
          <w:rPr>
            <w:webHidden/>
          </w:rPr>
          <w:t>70</w:t>
        </w:r>
        <w:r w:rsidR="00400321">
          <w:rPr>
            <w:webHidden/>
          </w:rPr>
          <w:fldChar w:fldCharType="end"/>
        </w:r>
      </w:hyperlink>
    </w:p>
    <w:p w14:paraId="0748B4CC" w14:textId="3A44531D" w:rsidR="00400321" w:rsidRDefault="003B6DB4">
      <w:pPr>
        <w:pStyle w:val="TOC5"/>
        <w:tabs>
          <w:tab w:val="left" w:pos="1080"/>
        </w:tabs>
        <w:rPr>
          <w:color w:val="auto"/>
          <w:spacing w:val="0"/>
          <w:sz w:val="22"/>
          <w:szCs w:val="22"/>
          <w:lang w:eastAsia="en-AU"/>
        </w:rPr>
      </w:pPr>
      <w:hyperlink w:anchor="_Toc145612600" w:history="1">
        <w:r w:rsidR="00400321" w:rsidRPr="0093517A">
          <w:rPr>
            <w:rStyle w:val="Hyperlink"/>
          </w:rPr>
          <w:t>5.11</w:t>
        </w:r>
        <w:r w:rsidR="00400321">
          <w:rPr>
            <w:color w:val="auto"/>
            <w:spacing w:val="0"/>
            <w:sz w:val="22"/>
            <w:szCs w:val="22"/>
            <w:lang w:eastAsia="en-AU"/>
          </w:rPr>
          <w:tab/>
        </w:r>
        <w:r w:rsidR="00400321" w:rsidRPr="0093517A">
          <w:rPr>
            <w:rStyle w:val="Hyperlink"/>
          </w:rPr>
          <w:t>Pandemics (clauses</w:t>
        </w:r>
        <w:r w:rsidR="00400321" w:rsidRPr="0093517A">
          <w:rPr>
            <w:rStyle w:val="Hyperlink"/>
            <w:rFonts w:ascii="Calibri" w:hAnsi="Calibri" w:cs="Calibri"/>
          </w:rPr>
          <w:t> </w:t>
        </w:r>
        <w:r w:rsidR="00400321" w:rsidRPr="0093517A">
          <w:rPr>
            <w:rStyle w:val="Hyperlink"/>
          </w:rPr>
          <w:t>1 and 6A of the ITC Delivery Deed)</w:t>
        </w:r>
        <w:r w:rsidR="00400321">
          <w:rPr>
            <w:webHidden/>
          </w:rPr>
          <w:tab/>
        </w:r>
        <w:r w:rsidR="00400321">
          <w:rPr>
            <w:webHidden/>
          </w:rPr>
          <w:fldChar w:fldCharType="begin"/>
        </w:r>
        <w:r w:rsidR="00400321">
          <w:rPr>
            <w:webHidden/>
          </w:rPr>
          <w:instrText xml:space="preserve"> PAGEREF _Toc145612600 \h </w:instrText>
        </w:r>
        <w:r w:rsidR="00400321">
          <w:rPr>
            <w:webHidden/>
          </w:rPr>
        </w:r>
        <w:r w:rsidR="00400321">
          <w:rPr>
            <w:webHidden/>
          </w:rPr>
          <w:fldChar w:fldCharType="separate"/>
        </w:r>
        <w:r w:rsidR="00131EE1">
          <w:rPr>
            <w:webHidden/>
          </w:rPr>
          <w:t>72</w:t>
        </w:r>
        <w:r w:rsidR="00400321">
          <w:rPr>
            <w:webHidden/>
          </w:rPr>
          <w:fldChar w:fldCharType="end"/>
        </w:r>
      </w:hyperlink>
    </w:p>
    <w:p w14:paraId="0B4CAA1D" w14:textId="186E0F2F" w:rsidR="00400321" w:rsidRDefault="003B6DB4">
      <w:pPr>
        <w:pStyle w:val="TOC5"/>
        <w:tabs>
          <w:tab w:val="left" w:pos="1080"/>
        </w:tabs>
        <w:rPr>
          <w:color w:val="auto"/>
          <w:spacing w:val="0"/>
          <w:sz w:val="22"/>
          <w:szCs w:val="22"/>
          <w:lang w:eastAsia="en-AU"/>
        </w:rPr>
      </w:pPr>
      <w:hyperlink w:anchor="_Toc145612601" w:history="1">
        <w:r w:rsidR="00400321" w:rsidRPr="0093517A">
          <w:rPr>
            <w:rStyle w:val="Hyperlink"/>
          </w:rPr>
          <w:t>5.12</w:t>
        </w:r>
        <w:r w:rsidR="00400321">
          <w:rPr>
            <w:color w:val="auto"/>
            <w:spacing w:val="0"/>
            <w:sz w:val="22"/>
            <w:szCs w:val="22"/>
            <w:lang w:eastAsia="en-AU"/>
          </w:rPr>
          <w:tab/>
        </w:r>
        <w:r w:rsidR="00400321" w:rsidRPr="0093517A">
          <w:rPr>
            <w:rStyle w:val="Hyperlink"/>
          </w:rPr>
          <w:t>Time (clauses</w:t>
        </w:r>
        <w:r w:rsidR="00400321" w:rsidRPr="0093517A">
          <w:rPr>
            <w:rStyle w:val="Hyperlink"/>
            <w:rFonts w:ascii="Calibri" w:hAnsi="Calibri" w:cs="Calibri"/>
          </w:rPr>
          <w:t> </w:t>
        </w:r>
        <w:r w:rsidR="00400321" w:rsidRPr="0093517A">
          <w:rPr>
            <w:rStyle w:val="Hyperlink"/>
          </w:rPr>
          <w:t>1, 27, 30, 37 and 41 of the ITC Delivery Deed)</w:t>
        </w:r>
        <w:r w:rsidR="00400321">
          <w:rPr>
            <w:webHidden/>
          </w:rPr>
          <w:tab/>
        </w:r>
        <w:r w:rsidR="00400321">
          <w:rPr>
            <w:webHidden/>
          </w:rPr>
          <w:fldChar w:fldCharType="begin"/>
        </w:r>
        <w:r w:rsidR="00400321">
          <w:rPr>
            <w:webHidden/>
          </w:rPr>
          <w:instrText xml:space="preserve"> PAGEREF _Toc145612601 \h </w:instrText>
        </w:r>
        <w:r w:rsidR="00400321">
          <w:rPr>
            <w:webHidden/>
          </w:rPr>
        </w:r>
        <w:r w:rsidR="00400321">
          <w:rPr>
            <w:webHidden/>
          </w:rPr>
          <w:fldChar w:fldCharType="separate"/>
        </w:r>
        <w:r w:rsidR="00131EE1">
          <w:rPr>
            <w:webHidden/>
          </w:rPr>
          <w:t>74</w:t>
        </w:r>
        <w:r w:rsidR="00400321">
          <w:rPr>
            <w:webHidden/>
          </w:rPr>
          <w:fldChar w:fldCharType="end"/>
        </w:r>
      </w:hyperlink>
    </w:p>
    <w:p w14:paraId="1726D043" w14:textId="016BCF79" w:rsidR="00400321" w:rsidRDefault="003B6DB4">
      <w:pPr>
        <w:pStyle w:val="TOC5"/>
        <w:tabs>
          <w:tab w:val="left" w:pos="1080"/>
        </w:tabs>
        <w:rPr>
          <w:color w:val="auto"/>
          <w:spacing w:val="0"/>
          <w:sz w:val="22"/>
          <w:szCs w:val="22"/>
          <w:lang w:eastAsia="en-AU"/>
        </w:rPr>
      </w:pPr>
      <w:hyperlink w:anchor="_Toc145612602" w:history="1">
        <w:r w:rsidR="00400321" w:rsidRPr="0093517A">
          <w:rPr>
            <w:rStyle w:val="Hyperlink"/>
          </w:rPr>
          <w:t>5.13</w:t>
        </w:r>
        <w:r w:rsidR="00400321">
          <w:rPr>
            <w:color w:val="auto"/>
            <w:spacing w:val="0"/>
            <w:sz w:val="22"/>
            <w:szCs w:val="22"/>
            <w:lang w:eastAsia="en-AU"/>
          </w:rPr>
          <w:tab/>
        </w:r>
        <w:r w:rsidR="00400321" w:rsidRPr="0093517A">
          <w:rPr>
            <w:rStyle w:val="Hyperlink"/>
          </w:rPr>
          <w:t>Variations (clauses</w:t>
        </w:r>
        <w:r w:rsidR="00400321" w:rsidRPr="0093517A">
          <w:rPr>
            <w:rStyle w:val="Hyperlink"/>
            <w:rFonts w:ascii="Calibri" w:hAnsi="Calibri" w:cs="Calibri"/>
          </w:rPr>
          <w:t> </w:t>
        </w:r>
        <w:r w:rsidR="00400321" w:rsidRPr="0093517A">
          <w:rPr>
            <w:rStyle w:val="Hyperlink"/>
          </w:rPr>
          <w:t>1, 6, 34, 35 and 36 of, and Schedules</w:t>
        </w:r>
        <w:r w:rsidR="00400321" w:rsidRPr="0093517A">
          <w:rPr>
            <w:rStyle w:val="Hyperlink"/>
            <w:rFonts w:ascii="Calibri" w:hAnsi="Calibri" w:cs="Calibri"/>
          </w:rPr>
          <w:t> </w:t>
        </w:r>
        <w:r w:rsidR="00400321" w:rsidRPr="0093517A">
          <w:rPr>
            <w:rStyle w:val="Hyperlink"/>
          </w:rPr>
          <w:t>9 and 15 to, the ITC Delivery Deed)</w:t>
        </w:r>
        <w:r w:rsidR="00400321">
          <w:rPr>
            <w:webHidden/>
          </w:rPr>
          <w:tab/>
        </w:r>
        <w:r w:rsidR="00400321">
          <w:rPr>
            <w:webHidden/>
          </w:rPr>
          <w:fldChar w:fldCharType="begin"/>
        </w:r>
        <w:r w:rsidR="00400321">
          <w:rPr>
            <w:webHidden/>
          </w:rPr>
          <w:instrText xml:space="preserve"> PAGEREF _Toc145612602 \h </w:instrText>
        </w:r>
        <w:r w:rsidR="00400321">
          <w:rPr>
            <w:webHidden/>
          </w:rPr>
        </w:r>
        <w:r w:rsidR="00400321">
          <w:rPr>
            <w:webHidden/>
          </w:rPr>
          <w:fldChar w:fldCharType="separate"/>
        </w:r>
        <w:r w:rsidR="00131EE1">
          <w:rPr>
            <w:webHidden/>
          </w:rPr>
          <w:t>81</w:t>
        </w:r>
        <w:r w:rsidR="00400321">
          <w:rPr>
            <w:webHidden/>
          </w:rPr>
          <w:fldChar w:fldCharType="end"/>
        </w:r>
      </w:hyperlink>
    </w:p>
    <w:p w14:paraId="471056E2" w14:textId="3164251C" w:rsidR="00400321" w:rsidRDefault="003B6DB4">
      <w:pPr>
        <w:pStyle w:val="TOC5"/>
        <w:tabs>
          <w:tab w:val="left" w:pos="1080"/>
        </w:tabs>
        <w:rPr>
          <w:color w:val="auto"/>
          <w:spacing w:val="0"/>
          <w:sz w:val="22"/>
          <w:szCs w:val="22"/>
          <w:lang w:eastAsia="en-AU"/>
        </w:rPr>
      </w:pPr>
      <w:hyperlink w:anchor="_Toc145612603" w:history="1">
        <w:r w:rsidR="00400321" w:rsidRPr="0093517A">
          <w:rPr>
            <w:rStyle w:val="Hyperlink"/>
          </w:rPr>
          <w:t>5.14</w:t>
        </w:r>
        <w:r w:rsidR="00400321">
          <w:rPr>
            <w:color w:val="auto"/>
            <w:spacing w:val="0"/>
            <w:sz w:val="22"/>
            <w:szCs w:val="22"/>
            <w:lang w:eastAsia="en-AU"/>
          </w:rPr>
          <w:tab/>
        </w:r>
        <w:r w:rsidR="00400321" w:rsidRPr="0093517A">
          <w:rPr>
            <w:rStyle w:val="Hyperlink"/>
          </w:rPr>
          <w:t>Indemnities (clause</w:t>
        </w:r>
        <w:r w:rsidR="00400321" w:rsidRPr="0093517A">
          <w:rPr>
            <w:rStyle w:val="Hyperlink"/>
            <w:rFonts w:ascii="Calibri" w:hAnsi="Calibri" w:cs="Calibri"/>
          </w:rPr>
          <w:t> </w:t>
        </w:r>
        <w:r w:rsidR="00400321" w:rsidRPr="0093517A">
          <w:rPr>
            <w:rStyle w:val="Hyperlink"/>
          </w:rPr>
          <w:t>41 of the ITC Delivery Deed)</w:t>
        </w:r>
        <w:r w:rsidR="00400321">
          <w:rPr>
            <w:webHidden/>
          </w:rPr>
          <w:tab/>
        </w:r>
        <w:r w:rsidR="00400321">
          <w:rPr>
            <w:webHidden/>
          </w:rPr>
          <w:fldChar w:fldCharType="begin"/>
        </w:r>
        <w:r w:rsidR="00400321">
          <w:rPr>
            <w:webHidden/>
          </w:rPr>
          <w:instrText xml:space="preserve"> PAGEREF _Toc145612603 \h </w:instrText>
        </w:r>
        <w:r w:rsidR="00400321">
          <w:rPr>
            <w:webHidden/>
          </w:rPr>
        </w:r>
        <w:r w:rsidR="00400321">
          <w:rPr>
            <w:webHidden/>
          </w:rPr>
          <w:fldChar w:fldCharType="separate"/>
        </w:r>
        <w:r w:rsidR="00131EE1">
          <w:rPr>
            <w:webHidden/>
          </w:rPr>
          <w:t>85</w:t>
        </w:r>
        <w:r w:rsidR="00400321">
          <w:rPr>
            <w:webHidden/>
          </w:rPr>
          <w:fldChar w:fldCharType="end"/>
        </w:r>
      </w:hyperlink>
    </w:p>
    <w:p w14:paraId="58E1ECF3" w14:textId="45CCCDCE" w:rsidR="00400321" w:rsidRDefault="003B6DB4">
      <w:pPr>
        <w:pStyle w:val="TOC5"/>
        <w:tabs>
          <w:tab w:val="left" w:pos="1080"/>
        </w:tabs>
        <w:rPr>
          <w:color w:val="auto"/>
          <w:spacing w:val="0"/>
          <w:sz w:val="22"/>
          <w:szCs w:val="22"/>
          <w:lang w:eastAsia="en-AU"/>
        </w:rPr>
      </w:pPr>
      <w:hyperlink w:anchor="_Toc145612604" w:history="1">
        <w:r w:rsidR="00400321" w:rsidRPr="0093517A">
          <w:rPr>
            <w:rStyle w:val="Hyperlink"/>
          </w:rPr>
          <w:t>5.15</w:t>
        </w:r>
        <w:r w:rsidR="00400321">
          <w:rPr>
            <w:color w:val="auto"/>
            <w:spacing w:val="0"/>
            <w:sz w:val="22"/>
            <w:szCs w:val="22"/>
            <w:lang w:eastAsia="en-AU"/>
          </w:rPr>
          <w:tab/>
        </w:r>
        <w:r w:rsidR="00400321" w:rsidRPr="0093517A">
          <w:rPr>
            <w:rStyle w:val="Hyperlink"/>
          </w:rPr>
          <w:t>Limitation and exclusion of Liability (clause</w:t>
        </w:r>
        <w:r w:rsidR="00400321" w:rsidRPr="0093517A">
          <w:rPr>
            <w:rStyle w:val="Hyperlink"/>
            <w:rFonts w:ascii="Calibri" w:hAnsi="Calibri" w:cs="Calibri"/>
          </w:rPr>
          <w:t> </w:t>
        </w:r>
        <w:r w:rsidR="00400321" w:rsidRPr="0093517A">
          <w:rPr>
            <w:rStyle w:val="Hyperlink"/>
          </w:rPr>
          <w:t>41 of the ITC Delivery Deed)</w:t>
        </w:r>
        <w:r w:rsidR="00400321">
          <w:rPr>
            <w:webHidden/>
          </w:rPr>
          <w:tab/>
        </w:r>
        <w:r w:rsidR="00400321">
          <w:rPr>
            <w:webHidden/>
          </w:rPr>
          <w:fldChar w:fldCharType="begin"/>
        </w:r>
        <w:r w:rsidR="00400321">
          <w:rPr>
            <w:webHidden/>
          </w:rPr>
          <w:instrText xml:space="preserve"> PAGEREF _Toc145612604 \h </w:instrText>
        </w:r>
        <w:r w:rsidR="00400321">
          <w:rPr>
            <w:webHidden/>
          </w:rPr>
        </w:r>
        <w:r w:rsidR="00400321">
          <w:rPr>
            <w:webHidden/>
          </w:rPr>
          <w:fldChar w:fldCharType="separate"/>
        </w:r>
        <w:r w:rsidR="00131EE1">
          <w:rPr>
            <w:webHidden/>
          </w:rPr>
          <w:t>87</w:t>
        </w:r>
        <w:r w:rsidR="00400321">
          <w:rPr>
            <w:webHidden/>
          </w:rPr>
          <w:fldChar w:fldCharType="end"/>
        </w:r>
      </w:hyperlink>
    </w:p>
    <w:p w14:paraId="6E4BFFBD" w14:textId="6DC61144" w:rsidR="00400321" w:rsidRDefault="003B6DB4">
      <w:pPr>
        <w:pStyle w:val="TOC5"/>
        <w:tabs>
          <w:tab w:val="left" w:pos="1080"/>
        </w:tabs>
        <w:rPr>
          <w:color w:val="auto"/>
          <w:spacing w:val="0"/>
          <w:sz w:val="22"/>
          <w:szCs w:val="22"/>
          <w:lang w:eastAsia="en-AU"/>
        </w:rPr>
      </w:pPr>
      <w:hyperlink w:anchor="_Toc145612605" w:history="1">
        <w:r w:rsidR="00400321" w:rsidRPr="0093517A">
          <w:rPr>
            <w:rStyle w:val="Hyperlink"/>
          </w:rPr>
          <w:t>5.16</w:t>
        </w:r>
        <w:r w:rsidR="00400321">
          <w:rPr>
            <w:color w:val="auto"/>
            <w:spacing w:val="0"/>
            <w:sz w:val="22"/>
            <w:szCs w:val="22"/>
            <w:lang w:eastAsia="en-AU"/>
          </w:rPr>
          <w:tab/>
        </w:r>
        <w:r w:rsidR="00400321" w:rsidRPr="0093517A">
          <w:rPr>
            <w:rStyle w:val="Hyperlink"/>
          </w:rPr>
          <w:t>Insurance (clause</w:t>
        </w:r>
        <w:r w:rsidR="00400321" w:rsidRPr="0093517A">
          <w:rPr>
            <w:rStyle w:val="Hyperlink"/>
            <w:rFonts w:ascii="Calibri" w:hAnsi="Calibri" w:cs="Calibri"/>
          </w:rPr>
          <w:t> </w:t>
        </w:r>
        <w:r w:rsidR="00400321" w:rsidRPr="0093517A">
          <w:rPr>
            <w:rStyle w:val="Hyperlink"/>
          </w:rPr>
          <w:t>42 of the ITC Delivery Deed)</w:t>
        </w:r>
        <w:r w:rsidR="00400321">
          <w:rPr>
            <w:webHidden/>
          </w:rPr>
          <w:tab/>
        </w:r>
        <w:r w:rsidR="00400321">
          <w:rPr>
            <w:webHidden/>
          </w:rPr>
          <w:fldChar w:fldCharType="begin"/>
        </w:r>
        <w:r w:rsidR="00400321">
          <w:rPr>
            <w:webHidden/>
          </w:rPr>
          <w:instrText xml:space="preserve"> PAGEREF _Toc145612605 \h </w:instrText>
        </w:r>
        <w:r w:rsidR="00400321">
          <w:rPr>
            <w:webHidden/>
          </w:rPr>
        </w:r>
        <w:r w:rsidR="00400321">
          <w:rPr>
            <w:webHidden/>
          </w:rPr>
          <w:fldChar w:fldCharType="separate"/>
        </w:r>
        <w:r w:rsidR="00131EE1">
          <w:rPr>
            <w:webHidden/>
          </w:rPr>
          <w:t>89</w:t>
        </w:r>
        <w:r w:rsidR="00400321">
          <w:rPr>
            <w:webHidden/>
          </w:rPr>
          <w:fldChar w:fldCharType="end"/>
        </w:r>
      </w:hyperlink>
    </w:p>
    <w:p w14:paraId="749EF137" w14:textId="7917F523" w:rsidR="00400321" w:rsidRDefault="003B6DB4">
      <w:pPr>
        <w:pStyle w:val="TOC5"/>
        <w:tabs>
          <w:tab w:val="left" w:pos="1080"/>
        </w:tabs>
        <w:rPr>
          <w:color w:val="auto"/>
          <w:spacing w:val="0"/>
          <w:sz w:val="22"/>
          <w:szCs w:val="22"/>
          <w:lang w:eastAsia="en-AU"/>
        </w:rPr>
      </w:pPr>
      <w:hyperlink w:anchor="_Toc145612606" w:history="1">
        <w:r w:rsidR="00400321" w:rsidRPr="0093517A">
          <w:rPr>
            <w:rStyle w:val="Hyperlink"/>
          </w:rPr>
          <w:t>5.17</w:t>
        </w:r>
        <w:r w:rsidR="00400321">
          <w:rPr>
            <w:color w:val="auto"/>
            <w:spacing w:val="0"/>
            <w:sz w:val="22"/>
            <w:szCs w:val="22"/>
            <w:lang w:eastAsia="en-AU"/>
          </w:rPr>
          <w:tab/>
        </w:r>
        <w:r w:rsidR="00400321" w:rsidRPr="0093517A">
          <w:rPr>
            <w:rStyle w:val="Hyperlink"/>
          </w:rPr>
          <w:t>Security (clause</w:t>
        </w:r>
        <w:r w:rsidR="00400321" w:rsidRPr="0093517A">
          <w:rPr>
            <w:rStyle w:val="Hyperlink"/>
            <w:rFonts w:ascii="Calibri" w:hAnsi="Calibri" w:cs="Calibri"/>
          </w:rPr>
          <w:t> </w:t>
        </w:r>
        <w:r w:rsidR="00400321" w:rsidRPr="0093517A">
          <w:rPr>
            <w:rStyle w:val="Hyperlink"/>
          </w:rPr>
          <w:t>33 of the ITC Delivery Deed)</w:t>
        </w:r>
        <w:r w:rsidR="00400321">
          <w:rPr>
            <w:webHidden/>
          </w:rPr>
          <w:tab/>
        </w:r>
        <w:r w:rsidR="00400321">
          <w:rPr>
            <w:webHidden/>
          </w:rPr>
          <w:fldChar w:fldCharType="begin"/>
        </w:r>
        <w:r w:rsidR="00400321">
          <w:rPr>
            <w:webHidden/>
          </w:rPr>
          <w:instrText xml:space="preserve"> PAGEREF _Toc145612606 \h </w:instrText>
        </w:r>
        <w:r w:rsidR="00400321">
          <w:rPr>
            <w:webHidden/>
          </w:rPr>
        </w:r>
        <w:r w:rsidR="00400321">
          <w:rPr>
            <w:webHidden/>
          </w:rPr>
          <w:fldChar w:fldCharType="separate"/>
        </w:r>
        <w:r w:rsidR="00131EE1">
          <w:rPr>
            <w:webHidden/>
          </w:rPr>
          <w:t>90</w:t>
        </w:r>
        <w:r w:rsidR="00400321">
          <w:rPr>
            <w:webHidden/>
          </w:rPr>
          <w:fldChar w:fldCharType="end"/>
        </w:r>
      </w:hyperlink>
    </w:p>
    <w:p w14:paraId="1098B90E" w14:textId="34B20C53" w:rsidR="00400321" w:rsidRDefault="003B6DB4">
      <w:pPr>
        <w:pStyle w:val="TOC5"/>
        <w:tabs>
          <w:tab w:val="left" w:pos="1080"/>
        </w:tabs>
        <w:rPr>
          <w:color w:val="auto"/>
          <w:spacing w:val="0"/>
          <w:sz w:val="22"/>
          <w:szCs w:val="22"/>
          <w:lang w:eastAsia="en-AU"/>
        </w:rPr>
      </w:pPr>
      <w:hyperlink w:anchor="_Toc145612607" w:history="1">
        <w:r w:rsidR="00400321" w:rsidRPr="0093517A">
          <w:rPr>
            <w:rStyle w:val="Hyperlink"/>
          </w:rPr>
          <w:t>5.18</w:t>
        </w:r>
        <w:r w:rsidR="00400321">
          <w:rPr>
            <w:color w:val="auto"/>
            <w:spacing w:val="0"/>
            <w:sz w:val="22"/>
            <w:szCs w:val="22"/>
            <w:lang w:eastAsia="en-AU"/>
          </w:rPr>
          <w:tab/>
        </w:r>
        <w:r w:rsidR="00400321" w:rsidRPr="0093517A">
          <w:rPr>
            <w:rStyle w:val="Hyperlink"/>
          </w:rPr>
          <w:t>Default (clauses</w:t>
        </w:r>
        <w:r w:rsidR="00400321" w:rsidRPr="0093517A">
          <w:rPr>
            <w:rStyle w:val="Hyperlink"/>
            <w:rFonts w:ascii="Calibri" w:hAnsi="Calibri" w:cs="Calibri"/>
          </w:rPr>
          <w:t> </w:t>
        </w:r>
        <w:r w:rsidR="00400321" w:rsidRPr="0093517A">
          <w:rPr>
            <w:rStyle w:val="Hyperlink"/>
          </w:rPr>
          <w:t>1 and 43 of the ITC Delivery Deed)</w:t>
        </w:r>
        <w:r w:rsidR="00400321">
          <w:rPr>
            <w:webHidden/>
          </w:rPr>
          <w:tab/>
        </w:r>
        <w:r w:rsidR="00400321">
          <w:rPr>
            <w:webHidden/>
          </w:rPr>
          <w:fldChar w:fldCharType="begin"/>
        </w:r>
        <w:r w:rsidR="00400321">
          <w:rPr>
            <w:webHidden/>
          </w:rPr>
          <w:instrText xml:space="preserve"> PAGEREF _Toc145612607 \h </w:instrText>
        </w:r>
        <w:r w:rsidR="00400321">
          <w:rPr>
            <w:webHidden/>
          </w:rPr>
        </w:r>
        <w:r w:rsidR="00400321">
          <w:rPr>
            <w:webHidden/>
          </w:rPr>
          <w:fldChar w:fldCharType="separate"/>
        </w:r>
        <w:r w:rsidR="00131EE1">
          <w:rPr>
            <w:webHidden/>
          </w:rPr>
          <w:t>91</w:t>
        </w:r>
        <w:r w:rsidR="00400321">
          <w:rPr>
            <w:webHidden/>
          </w:rPr>
          <w:fldChar w:fldCharType="end"/>
        </w:r>
      </w:hyperlink>
    </w:p>
    <w:p w14:paraId="4DFFFB1E" w14:textId="77C396C4" w:rsidR="00400321" w:rsidRDefault="003B6DB4">
      <w:pPr>
        <w:pStyle w:val="TOC5"/>
        <w:tabs>
          <w:tab w:val="left" w:pos="1080"/>
        </w:tabs>
        <w:rPr>
          <w:color w:val="auto"/>
          <w:spacing w:val="0"/>
          <w:sz w:val="22"/>
          <w:szCs w:val="22"/>
          <w:lang w:eastAsia="en-AU"/>
        </w:rPr>
      </w:pPr>
      <w:hyperlink w:anchor="_Toc145612608" w:history="1">
        <w:r w:rsidR="00400321" w:rsidRPr="0093517A">
          <w:rPr>
            <w:rStyle w:val="Hyperlink"/>
          </w:rPr>
          <w:t>5.19</w:t>
        </w:r>
        <w:r w:rsidR="00400321">
          <w:rPr>
            <w:color w:val="auto"/>
            <w:spacing w:val="0"/>
            <w:sz w:val="22"/>
            <w:szCs w:val="22"/>
            <w:lang w:eastAsia="en-AU"/>
          </w:rPr>
          <w:tab/>
        </w:r>
        <w:r w:rsidR="00400321" w:rsidRPr="0093517A">
          <w:rPr>
            <w:rStyle w:val="Hyperlink"/>
          </w:rPr>
          <w:t>Termination (clauses</w:t>
        </w:r>
        <w:r w:rsidR="00400321" w:rsidRPr="0093517A">
          <w:rPr>
            <w:rStyle w:val="Hyperlink"/>
            <w:rFonts w:ascii="Calibri" w:hAnsi="Calibri" w:cs="Calibri"/>
          </w:rPr>
          <w:t> </w:t>
        </w:r>
        <w:r w:rsidR="00400321" w:rsidRPr="0093517A">
          <w:rPr>
            <w:rStyle w:val="Hyperlink"/>
          </w:rPr>
          <w:t>1, 3 and 44 of the ITC Delivery Deed)</w:t>
        </w:r>
        <w:r w:rsidR="00400321">
          <w:rPr>
            <w:webHidden/>
          </w:rPr>
          <w:tab/>
        </w:r>
        <w:r w:rsidR="00400321">
          <w:rPr>
            <w:webHidden/>
          </w:rPr>
          <w:fldChar w:fldCharType="begin"/>
        </w:r>
        <w:r w:rsidR="00400321">
          <w:rPr>
            <w:webHidden/>
          </w:rPr>
          <w:instrText xml:space="preserve"> PAGEREF _Toc145612608 \h </w:instrText>
        </w:r>
        <w:r w:rsidR="00400321">
          <w:rPr>
            <w:webHidden/>
          </w:rPr>
        </w:r>
        <w:r w:rsidR="00400321">
          <w:rPr>
            <w:webHidden/>
          </w:rPr>
          <w:fldChar w:fldCharType="separate"/>
        </w:r>
        <w:r w:rsidR="00131EE1">
          <w:rPr>
            <w:webHidden/>
          </w:rPr>
          <w:t>94</w:t>
        </w:r>
        <w:r w:rsidR="00400321">
          <w:rPr>
            <w:webHidden/>
          </w:rPr>
          <w:fldChar w:fldCharType="end"/>
        </w:r>
      </w:hyperlink>
    </w:p>
    <w:p w14:paraId="70518E1B" w14:textId="1A712166" w:rsidR="00400321" w:rsidRDefault="003B6DB4">
      <w:pPr>
        <w:pStyle w:val="TOC5"/>
        <w:tabs>
          <w:tab w:val="left" w:pos="1080"/>
        </w:tabs>
        <w:rPr>
          <w:color w:val="auto"/>
          <w:spacing w:val="0"/>
          <w:sz w:val="22"/>
          <w:szCs w:val="22"/>
          <w:lang w:eastAsia="en-AU"/>
        </w:rPr>
      </w:pPr>
      <w:hyperlink w:anchor="_Toc145612609" w:history="1">
        <w:r w:rsidR="00400321" w:rsidRPr="0093517A">
          <w:rPr>
            <w:rStyle w:val="Hyperlink"/>
          </w:rPr>
          <w:t>5.20</w:t>
        </w:r>
        <w:r w:rsidR="00400321">
          <w:rPr>
            <w:color w:val="auto"/>
            <w:spacing w:val="0"/>
            <w:sz w:val="22"/>
            <w:szCs w:val="22"/>
            <w:lang w:eastAsia="en-AU"/>
          </w:rPr>
          <w:tab/>
        </w:r>
        <w:r w:rsidR="00400321" w:rsidRPr="0093517A">
          <w:rPr>
            <w:rStyle w:val="Hyperlink"/>
          </w:rPr>
          <w:t>Notices and bars to claims (clause</w:t>
        </w:r>
        <w:r w:rsidR="00400321" w:rsidRPr="0093517A">
          <w:rPr>
            <w:rStyle w:val="Hyperlink"/>
            <w:rFonts w:ascii="Calibri" w:hAnsi="Calibri" w:cs="Calibri"/>
          </w:rPr>
          <w:t> </w:t>
        </w:r>
        <w:r w:rsidR="00400321" w:rsidRPr="0093517A">
          <w:rPr>
            <w:rStyle w:val="Hyperlink"/>
          </w:rPr>
          <w:t>59 of the ITC Delivery Deed)</w:t>
        </w:r>
        <w:r w:rsidR="00400321">
          <w:rPr>
            <w:webHidden/>
          </w:rPr>
          <w:tab/>
        </w:r>
        <w:r w:rsidR="00400321">
          <w:rPr>
            <w:webHidden/>
          </w:rPr>
          <w:fldChar w:fldCharType="begin"/>
        </w:r>
        <w:r w:rsidR="00400321">
          <w:rPr>
            <w:webHidden/>
          </w:rPr>
          <w:instrText xml:space="preserve"> PAGEREF _Toc145612609 \h </w:instrText>
        </w:r>
        <w:r w:rsidR="00400321">
          <w:rPr>
            <w:webHidden/>
          </w:rPr>
        </w:r>
        <w:r w:rsidR="00400321">
          <w:rPr>
            <w:webHidden/>
          </w:rPr>
          <w:fldChar w:fldCharType="separate"/>
        </w:r>
        <w:r w:rsidR="00131EE1">
          <w:rPr>
            <w:webHidden/>
          </w:rPr>
          <w:t>96</w:t>
        </w:r>
        <w:r w:rsidR="00400321">
          <w:rPr>
            <w:webHidden/>
          </w:rPr>
          <w:fldChar w:fldCharType="end"/>
        </w:r>
      </w:hyperlink>
    </w:p>
    <w:p w14:paraId="03C58458" w14:textId="033CC413" w:rsidR="00400321" w:rsidRDefault="003B6DB4">
      <w:pPr>
        <w:pStyle w:val="TOC1"/>
        <w:rPr>
          <w:noProof/>
          <w:color w:val="auto"/>
          <w:sz w:val="22"/>
          <w:szCs w:val="22"/>
        </w:rPr>
      </w:pPr>
      <w:hyperlink w:anchor="_Toc145612610" w:history="1">
        <w:r w:rsidR="00400321" w:rsidRPr="0093517A">
          <w:rPr>
            <w:rStyle w:val="Hyperlink"/>
            <w:noProof/>
          </w:rPr>
          <w:t>Annexure 1 – Terminology and interpretation</w:t>
        </w:r>
        <w:r w:rsidR="00400321">
          <w:rPr>
            <w:noProof/>
            <w:webHidden/>
          </w:rPr>
          <w:tab/>
        </w:r>
        <w:r w:rsidR="00400321">
          <w:rPr>
            <w:noProof/>
            <w:webHidden/>
          </w:rPr>
          <w:fldChar w:fldCharType="begin"/>
        </w:r>
        <w:r w:rsidR="00400321">
          <w:rPr>
            <w:noProof/>
            <w:webHidden/>
          </w:rPr>
          <w:instrText xml:space="preserve"> PAGEREF _Toc145612610 \h </w:instrText>
        </w:r>
        <w:r w:rsidR="00400321">
          <w:rPr>
            <w:noProof/>
            <w:webHidden/>
          </w:rPr>
        </w:r>
        <w:r w:rsidR="00400321">
          <w:rPr>
            <w:noProof/>
            <w:webHidden/>
          </w:rPr>
          <w:fldChar w:fldCharType="separate"/>
        </w:r>
        <w:r w:rsidR="00131EE1">
          <w:rPr>
            <w:noProof/>
            <w:webHidden/>
          </w:rPr>
          <w:t>97</w:t>
        </w:r>
        <w:r w:rsidR="00400321">
          <w:rPr>
            <w:noProof/>
            <w:webHidden/>
          </w:rPr>
          <w:fldChar w:fldCharType="end"/>
        </w:r>
      </w:hyperlink>
    </w:p>
    <w:p w14:paraId="4B72D20D" w14:textId="5FFC1D0A" w:rsidR="00400321" w:rsidRDefault="003B6DB4">
      <w:pPr>
        <w:pStyle w:val="TOC1"/>
        <w:rPr>
          <w:noProof/>
          <w:color w:val="auto"/>
          <w:sz w:val="22"/>
          <w:szCs w:val="22"/>
        </w:rPr>
      </w:pPr>
      <w:hyperlink w:anchor="_Toc145612611" w:history="1">
        <w:r w:rsidR="00400321" w:rsidRPr="0093517A">
          <w:rPr>
            <w:rStyle w:val="Hyperlink"/>
            <w:noProof/>
          </w:rPr>
          <w:t>Annexure 2 – Defects</w:t>
        </w:r>
        <w:r w:rsidR="00400321">
          <w:rPr>
            <w:noProof/>
            <w:webHidden/>
          </w:rPr>
          <w:tab/>
        </w:r>
        <w:r w:rsidR="00400321">
          <w:rPr>
            <w:noProof/>
            <w:webHidden/>
          </w:rPr>
          <w:fldChar w:fldCharType="begin"/>
        </w:r>
        <w:r w:rsidR="00400321">
          <w:rPr>
            <w:noProof/>
            <w:webHidden/>
          </w:rPr>
          <w:instrText xml:space="preserve"> PAGEREF _Toc145612611 \h </w:instrText>
        </w:r>
        <w:r w:rsidR="00400321">
          <w:rPr>
            <w:noProof/>
            <w:webHidden/>
          </w:rPr>
        </w:r>
        <w:r w:rsidR="00400321">
          <w:rPr>
            <w:noProof/>
            <w:webHidden/>
          </w:rPr>
          <w:fldChar w:fldCharType="separate"/>
        </w:r>
        <w:r w:rsidR="00131EE1">
          <w:rPr>
            <w:noProof/>
            <w:webHidden/>
          </w:rPr>
          <w:t>98</w:t>
        </w:r>
        <w:r w:rsidR="00400321">
          <w:rPr>
            <w:noProof/>
            <w:webHidden/>
          </w:rPr>
          <w:fldChar w:fldCharType="end"/>
        </w:r>
      </w:hyperlink>
    </w:p>
    <w:p w14:paraId="76ED8414" w14:textId="0EF10B67" w:rsidR="001B4A85" w:rsidRDefault="001B4A85" w:rsidP="001B4A85">
      <w:r>
        <w:rPr>
          <w:noProof/>
          <w:lang w:eastAsia="en-US"/>
        </w:rPr>
        <w:fldChar w:fldCharType="end"/>
      </w:r>
    </w:p>
    <w:p w14:paraId="10F0D8B9" w14:textId="77777777" w:rsidR="001B4A85" w:rsidRDefault="001B4A85" w:rsidP="001B4A85">
      <w:pPr>
        <w:sectPr w:rsidR="001B4A85" w:rsidSect="009D6A61">
          <w:headerReference w:type="even" r:id="rId24"/>
          <w:headerReference w:type="default" r:id="rId25"/>
          <w:footerReference w:type="even" r:id="rId26"/>
          <w:footerReference w:type="default" r:id="rId27"/>
          <w:pgSz w:w="11906" w:h="16838" w:code="9"/>
          <w:pgMar w:top="2160" w:right="1440" w:bottom="1440" w:left="1440" w:header="864" w:footer="461" w:gutter="0"/>
          <w:pgNumType w:fmt="lowerRoman" w:start="1"/>
          <w:cols w:space="708"/>
          <w:docGrid w:linePitch="360"/>
        </w:sectPr>
      </w:pPr>
    </w:p>
    <w:p w14:paraId="4D6C32E1" w14:textId="31BC87B3" w:rsidR="002B5BB6" w:rsidRPr="00D762E5" w:rsidRDefault="002B5BB6" w:rsidP="00902E39">
      <w:pPr>
        <w:pStyle w:val="Heading1numbered"/>
      </w:pPr>
      <w:bookmarkStart w:id="4" w:name="_Toc131620702"/>
      <w:bookmarkStart w:id="5" w:name="_Toc131621140"/>
      <w:bookmarkStart w:id="6" w:name="_Toc131621230"/>
      <w:bookmarkStart w:id="7" w:name="_Toc131689814"/>
      <w:bookmarkStart w:id="8" w:name="_Toc131620703"/>
      <w:bookmarkStart w:id="9" w:name="_Toc131621141"/>
      <w:bookmarkStart w:id="10" w:name="_Toc131621231"/>
      <w:bookmarkStart w:id="11" w:name="_Toc131689815"/>
      <w:bookmarkStart w:id="12" w:name="_Toc131620704"/>
      <w:bookmarkStart w:id="13" w:name="_Toc131621142"/>
      <w:bookmarkStart w:id="14" w:name="_Toc131621232"/>
      <w:bookmarkStart w:id="15" w:name="_Toc131689816"/>
      <w:bookmarkStart w:id="16" w:name="_Toc131620705"/>
      <w:bookmarkStart w:id="17" w:name="_Toc131621143"/>
      <w:bookmarkStart w:id="18" w:name="_Toc131621233"/>
      <w:bookmarkStart w:id="19" w:name="_Toc131689817"/>
      <w:bookmarkStart w:id="20" w:name="_Toc131620706"/>
      <w:bookmarkStart w:id="21" w:name="_Toc131621144"/>
      <w:bookmarkStart w:id="22" w:name="_Toc131621234"/>
      <w:bookmarkStart w:id="23" w:name="_Toc131689818"/>
      <w:bookmarkStart w:id="24" w:name="_Toc131620707"/>
      <w:bookmarkStart w:id="25" w:name="_Toc131621145"/>
      <w:bookmarkStart w:id="26" w:name="_Toc131621235"/>
      <w:bookmarkStart w:id="27" w:name="_Toc131689819"/>
      <w:bookmarkStart w:id="28" w:name="_Toc131620708"/>
      <w:bookmarkStart w:id="29" w:name="_Toc131621146"/>
      <w:bookmarkStart w:id="30" w:name="_Toc131621236"/>
      <w:bookmarkStart w:id="31" w:name="_Toc131689820"/>
      <w:bookmarkStart w:id="32" w:name="_Toc131620709"/>
      <w:bookmarkStart w:id="33" w:name="_Toc131621147"/>
      <w:bookmarkStart w:id="34" w:name="_Toc131621237"/>
      <w:bookmarkStart w:id="35" w:name="_Toc131689821"/>
      <w:bookmarkStart w:id="36" w:name="_Toc131620710"/>
      <w:bookmarkStart w:id="37" w:name="_Toc131621148"/>
      <w:bookmarkStart w:id="38" w:name="_Toc131621238"/>
      <w:bookmarkStart w:id="39" w:name="_Toc131689822"/>
      <w:bookmarkStart w:id="40" w:name="_Toc131620711"/>
      <w:bookmarkStart w:id="41" w:name="_Toc131621149"/>
      <w:bookmarkStart w:id="42" w:name="_Toc131621239"/>
      <w:bookmarkStart w:id="43" w:name="_Toc131689823"/>
      <w:bookmarkStart w:id="44" w:name="_Toc131620712"/>
      <w:bookmarkStart w:id="45" w:name="_Toc131621150"/>
      <w:bookmarkStart w:id="46" w:name="_Toc131621240"/>
      <w:bookmarkStart w:id="47" w:name="_Toc131689824"/>
      <w:bookmarkStart w:id="48" w:name="_Toc131620713"/>
      <w:bookmarkStart w:id="49" w:name="_Toc131621151"/>
      <w:bookmarkStart w:id="50" w:name="_Toc131621241"/>
      <w:bookmarkStart w:id="51" w:name="_Toc131689825"/>
      <w:bookmarkStart w:id="52" w:name="_Toc131620714"/>
      <w:bookmarkStart w:id="53" w:name="_Toc131621152"/>
      <w:bookmarkStart w:id="54" w:name="_Toc131621242"/>
      <w:bookmarkStart w:id="55" w:name="_Toc131689826"/>
      <w:bookmarkStart w:id="56" w:name="_Toc131620715"/>
      <w:bookmarkStart w:id="57" w:name="_Toc131621153"/>
      <w:bookmarkStart w:id="58" w:name="_Toc131621243"/>
      <w:bookmarkStart w:id="59" w:name="_Toc131689827"/>
      <w:bookmarkStart w:id="60" w:name="_Toc131620716"/>
      <w:bookmarkStart w:id="61" w:name="_Toc131621154"/>
      <w:bookmarkStart w:id="62" w:name="_Toc131621244"/>
      <w:bookmarkStart w:id="63" w:name="_Toc131689828"/>
      <w:bookmarkStart w:id="64" w:name="_Toc131620717"/>
      <w:bookmarkStart w:id="65" w:name="_Toc131621155"/>
      <w:bookmarkStart w:id="66" w:name="_Toc131621245"/>
      <w:bookmarkStart w:id="67" w:name="_Toc131689829"/>
      <w:bookmarkStart w:id="68" w:name="_Toc131620718"/>
      <w:bookmarkStart w:id="69" w:name="_Toc131621156"/>
      <w:bookmarkStart w:id="70" w:name="_Toc131621246"/>
      <w:bookmarkStart w:id="71" w:name="_Toc131689830"/>
      <w:bookmarkStart w:id="72" w:name="_Toc131620719"/>
      <w:bookmarkStart w:id="73" w:name="_Toc131621157"/>
      <w:bookmarkStart w:id="74" w:name="_Toc131621247"/>
      <w:bookmarkStart w:id="75" w:name="_Toc131689831"/>
      <w:bookmarkStart w:id="76" w:name="_Toc131620720"/>
      <w:bookmarkStart w:id="77" w:name="_Toc131621158"/>
      <w:bookmarkStart w:id="78" w:name="_Toc131621248"/>
      <w:bookmarkStart w:id="79" w:name="_Toc131689832"/>
      <w:bookmarkStart w:id="80" w:name="_Toc115180363"/>
      <w:bookmarkStart w:id="81" w:name="_Toc115180364"/>
      <w:bookmarkStart w:id="82" w:name="_Toc115180365"/>
      <w:bookmarkStart w:id="83" w:name="_Toc115180366"/>
      <w:bookmarkStart w:id="84" w:name="_Toc115180367"/>
      <w:bookmarkStart w:id="85" w:name="_Toc115180368"/>
      <w:bookmarkStart w:id="86" w:name="_Toc115180369"/>
      <w:bookmarkStart w:id="87" w:name="_Toc115180370"/>
      <w:bookmarkStart w:id="88" w:name="_Toc507712173"/>
      <w:bookmarkStart w:id="89" w:name="_Toc508030928"/>
      <w:bookmarkStart w:id="90" w:name="_Toc508030956"/>
      <w:bookmarkStart w:id="91" w:name="_Toc133577860"/>
      <w:bookmarkStart w:id="92" w:name="_Toc145612557"/>
      <w:bookmarkEnd w:id="0"/>
      <w:bookmarkEnd w:id="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D762E5">
        <w:t>Introduction</w:t>
      </w:r>
      <w:bookmarkEnd w:id="88"/>
      <w:bookmarkEnd w:id="89"/>
      <w:bookmarkEnd w:id="90"/>
      <w:bookmarkEnd w:id="91"/>
      <w:bookmarkEnd w:id="92"/>
    </w:p>
    <w:p w14:paraId="1A199C50" w14:textId="03078DAD" w:rsidR="00C602B8" w:rsidRDefault="00AE4DC3" w:rsidP="00A530D9">
      <w:pPr>
        <w:pStyle w:val="Heading2numbered"/>
        <w:rPr>
          <w:rFonts w:asciiTheme="minorHAnsi" w:eastAsiaTheme="minorEastAsia" w:hAnsiTheme="minorHAnsi" w:cstheme="minorBidi"/>
        </w:rPr>
      </w:pPr>
      <w:bookmarkStart w:id="93" w:name="_Toc133577861"/>
      <w:bookmarkStart w:id="94" w:name="_Toc145612558"/>
      <w:bookmarkStart w:id="95" w:name="_Ref485906925"/>
      <w:bookmarkStart w:id="96" w:name="_Ref486148105"/>
      <w:bookmarkStart w:id="97" w:name="_Ref486148129"/>
      <w:bookmarkStart w:id="98" w:name="_Ref486148138"/>
      <w:bookmarkStart w:id="99" w:name="_Toc507712174"/>
      <w:r>
        <w:t>Purpose</w:t>
      </w:r>
      <w:bookmarkEnd w:id="93"/>
      <w:bookmarkEnd w:id="94"/>
    </w:p>
    <w:p w14:paraId="469F84F9" w14:textId="5BB1EBDA" w:rsidR="002B5991" w:rsidRPr="00EE054A" w:rsidRDefault="6356E69A" w:rsidP="002E6E1C">
      <w:pPr>
        <w:pStyle w:val="NormalIndent"/>
      </w:pPr>
      <w:r>
        <w:t xml:space="preserve">This document is one of a suite of publications that comprise the Department of Treasury and Finance’s </w:t>
      </w:r>
      <w:r w:rsidR="7C62012B">
        <w:t>(DTF</w:t>
      </w:r>
      <w:r w:rsidR="17CAAB89">
        <w:t>’</w:t>
      </w:r>
      <w:r w:rsidR="7C62012B">
        <w:t xml:space="preserve">s) </w:t>
      </w:r>
      <w:r>
        <w:t>whole</w:t>
      </w:r>
      <w:r w:rsidR="087D5666">
        <w:t>-</w:t>
      </w:r>
      <w:r>
        <w:t>of</w:t>
      </w:r>
      <w:r w:rsidR="087D5666">
        <w:t>-</w:t>
      </w:r>
      <w:r>
        <w:t>government Infrastructure Procurement Framework (Framework).</w:t>
      </w:r>
    </w:p>
    <w:p w14:paraId="0C1583E1" w14:textId="31454C49" w:rsidR="003476C4" w:rsidRPr="00EE054A" w:rsidRDefault="25552B3B" w:rsidP="002E6E1C">
      <w:pPr>
        <w:pStyle w:val="NormalIndent"/>
      </w:pPr>
      <w:r>
        <w:t xml:space="preserve">It sets out </w:t>
      </w:r>
      <w:r w:rsidR="6E563AD9">
        <w:t xml:space="preserve">guidance notes </w:t>
      </w:r>
      <w:r w:rsidR="4E53BB1C">
        <w:t>for the development and application of the DTF Incentivised Target Cost Contract Suite (ITC Contract Suite) for the delivery of High Value High Risk (HVHR) projects.</w:t>
      </w:r>
    </w:p>
    <w:p w14:paraId="6D7C14DE" w14:textId="59C75AAD" w:rsidR="003476C4" w:rsidRPr="005F3FC1" w:rsidRDefault="586C75CE" w:rsidP="002E6E1C">
      <w:pPr>
        <w:pStyle w:val="NormalIndent"/>
      </w:pPr>
      <w:r>
        <w:t xml:space="preserve">The document is for Victorian Government </w:t>
      </w:r>
      <w:r w:rsidR="29B00916">
        <w:t>procuring</w:t>
      </w:r>
      <w:r>
        <w:t xml:space="preserve"> agencies </w:t>
      </w:r>
      <w:r w:rsidR="779651D6">
        <w:t>and</w:t>
      </w:r>
      <w:r>
        <w:t xml:space="preserve"> departments</w:t>
      </w:r>
      <w:r w:rsidR="558D46D9">
        <w:t>.</w:t>
      </w:r>
      <w:r>
        <w:t xml:space="preserve"> It is also relevant to other industry practitioners, government stakeholders, tenderers and advisers who wish to understand this contract suite.</w:t>
      </w:r>
    </w:p>
    <w:p w14:paraId="7C73353E" w14:textId="4EBD5A1A" w:rsidR="00607E04" w:rsidRDefault="00607E04" w:rsidP="002E6E1C">
      <w:pPr>
        <w:pStyle w:val="NormalIndent"/>
      </w:pPr>
      <w:r>
        <w:t>The document details:</w:t>
      </w:r>
    </w:p>
    <w:p w14:paraId="66229BD2" w14:textId="67B97F09" w:rsidR="00607E04" w:rsidRPr="003005CF" w:rsidRDefault="6356E69A" w:rsidP="000D52B3">
      <w:pPr>
        <w:pStyle w:val="Bulletindent"/>
      </w:pPr>
      <w:r>
        <w:t>t</w:t>
      </w:r>
      <w:r w:rsidR="5A9806B5">
        <w:t xml:space="preserve">he context for developing the ITC </w:t>
      </w:r>
      <w:r w:rsidR="78FCD9B7">
        <w:t>C</w:t>
      </w:r>
      <w:r w:rsidR="5A9806B5">
        <w:t xml:space="preserve">ontract </w:t>
      </w:r>
      <w:r w:rsidR="78FCD9B7">
        <w:t>S</w:t>
      </w:r>
      <w:r w:rsidR="5A9806B5">
        <w:t>uite</w:t>
      </w:r>
      <w:r w:rsidR="3F381D9E">
        <w:t>;</w:t>
      </w:r>
    </w:p>
    <w:p w14:paraId="623D4DA5" w14:textId="14A9288D" w:rsidR="00F72B65" w:rsidRPr="003005CF" w:rsidRDefault="6356E69A" w:rsidP="000D52B3">
      <w:pPr>
        <w:pStyle w:val="Bulletindent"/>
      </w:pPr>
      <w:r>
        <w:t>a</w:t>
      </w:r>
      <w:r w:rsidR="11E8A4BF">
        <w:t xml:space="preserve">n overview of the ITC </w:t>
      </w:r>
      <w:r w:rsidR="78FCD9B7">
        <w:t>C</w:t>
      </w:r>
      <w:r w:rsidR="11E8A4BF">
        <w:t xml:space="preserve">ontract </w:t>
      </w:r>
      <w:r w:rsidR="78FCD9B7">
        <w:t>S</w:t>
      </w:r>
      <w:r w:rsidR="11E8A4BF">
        <w:t>uite, including issues to consider</w:t>
      </w:r>
      <w:r w:rsidR="3F381D9E">
        <w:t>;</w:t>
      </w:r>
    </w:p>
    <w:p w14:paraId="13044F12" w14:textId="65320162" w:rsidR="004B068B" w:rsidRPr="003005CF" w:rsidRDefault="6356E69A" w:rsidP="000D52B3">
      <w:pPr>
        <w:pStyle w:val="Bulletindent"/>
      </w:pPr>
      <w:r>
        <w:t>g</w:t>
      </w:r>
      <w:r w:rsidR="7348FCD4">
        <w:t>overnance, approvals and assurance processes for ITC contracts</w:t>
      </w:r>
      <w:r w:rsidR="3F381D9E">
        <w:t>;</w:t>
      </w:r>
    </w:p>
    <w:p w14:paraId="2B7689E6" w14:textId="7637224C" w:rsidR="00607E04" w:rsidRPr="003005CF" w:rsidRDefault="6356E69A" w:rsidP="000D52B3">
      <w:pPr>
        <w:pStyle w:val="Bulletindent"/>
      </w:pPr>
      <w:r>
        <w:t>t</w:t>
      </w:r>
      <w:r w:rsidR="5A9806B5">
        <w:t>he stages of the procurement process for ITC contracts</w:t>
      </w:r>
      <w:r w:rsidR="3F381D9E">
        <w:t>;</w:t>
      </w:r>
    </w:p>
    <w:p w14:paraId="62C9110D" w14:textId="420AAD8E" w:rsidR="00607E04" w:rsidRPr="003005CF" w:rsidRDefault="6356E69A" w:rsidP="000D52B3">
      <w:pPr>
        <w:pStyle w:val="Bulletindent"/>
      </w:pPr>
      <w:r>
        <w:t>t</w:t>
      </w:r>
      <w:r w:rsidR="5A9806B5">
        <w:t xml:space="preserve">he legislative </w:t>
      </w:r>
      <w:r w:rsidR="7348FCD4">
        <w:t xml:space="preserve">and commercial </w:t>
      </w:r>
      <w:r w:rsidR="5A9806B5">
        <w:t>framework for</w:t>
      </w:r>
      <w:r w:rsidR="3F381D9E">
        <w:t xml:space="preserve"> the</w:t>
      </w:r>
      <w:r w:rsidR="5A9806B5">
        <w:t xml:space="preserve"> delivery of ITC contracts</w:t>
      </w:r>
      <w:r w:rsidR="3F381D9E">
        <w:t>; and</w:t>
      </w:r>
    </w:p>
    <w:p w14:paraId="0F9C47FD" w14:textId="1AC10008" w:rsidR="004B068B" w:rsidRPr="003005CF" w:rsidRDefault="002B5991" w:rsidP="000D52B3">
      <w:pPr>
        <w:pStyle w:val="Bulletindent"/>
      </w:pPr>
      <w:r w:rsidRPr="003005CF">
        <w:t>a</w:t>
      </w:r>
      <w:r w:rsidR="004B068B" w:rsidRPr="003005CF">
        <w:t xml:space="preserve"> </w:t>
      </w:r>
      <w:r w:rsidR="00E85194" w:rsidRPr="00E85194">
        <w:t>clause-by-clause</w:t>
      </w:r>
      <w:r w:rsidR="004B068B" w:rsidRPr="003005CF">
        <w:t xml:space="preserve"> breakdown of the contracts, including key principles</w:t>
      </w:r>
      <w:r w:rsidR="00E85194">
        <w:t xml:space="preserve"> and </w:t>
      </w:r>
      <w:r w:rsidR="004B068B" w:rsidRPr="003005CF">
        <w:t>considerations in implementing these clauses.</w:t>
      </w:r>
    </w:p>
    <w:p w14:paraId="4FE215C3" w14:textId="5D6EEB34" w:rsidR="004B068B" w:rsidRPr="00902E39" w:rsidRDefault="004B068B" w:rsidP="002E6E1C">
      <w:pPr>
        <w:pStyle w:val="NormalIndent"/>
      </w:pPr>
      <w:r>
        <w:t>These Guidance Notes should be read in conjunction with the ITC Contract Suite, the ITC</w:t>
      </w:r>
      <w:r w:rsidR="292AEC69">
        <w:t xml:space="preserve"> </w:t>
      </w:r>
      <w:r w:rsidR="00806262">
        <w:t>Contract Suite –</w:t>
      </w:r>
      <w:r>
        <w:t xml:space="preserve"> Commercial Principles and the </w:t>
      </w:r>
      <w:r w:rsidR="000B563E">
        <w:t>Cost Reimbursable Procurement Requirements</w:t>
      </w:r>
      <w:r w:rsidR="0CEFC6B4">
        <w:t xml:space="preserve"> available at</w:t>
      </w:r>
      <w:r w:rsidR="00EE1577">
        <w:t xml:space="preserve"> </w:t>
      </w:r>
      <w:hyperlink r:id="rId28" w:history="1">
        <w:r w:rsidR="00EE1577">
          <w:rPr>
            <w:rStyle w:val="Hyperlink"/>
          </w:rPr>
          <w:t>Cost Reimbursable Procurement Category webpage</w:t>
        </w:r>
      </w:hyperlink>
      <w:r>
        <w:t>.</w:t>
      </w:r>
    </w:p>
    <w:p w14:paraId="03BA3FEA" w14:textId="493752E9" w:rsidR="004B068B" w:rsidRPr="00461737" w:rsidRDefault="004B068B" w:rsidP="00A44FE1">
      <w:pPr>
        <w:pStyle w:val="Heading2numbered"/>
        <w:pageBreakBefore/>
      </w:pPr>
      <w:bookmarkStart w:id="100" w:name="_Toc145612559"/>
      <w:r w:rsidRPr="00EE054A">
        <w:t>Context</w:t>
      </w:r>
      <w:bookmarkEnd w:id="100"/>
    </w:p>
    <w:p w14:paraId="1022011F" w14:textId="113BE8D9" w:rsidR="003476C4" w:rsidRPr="00902E39" w:rsidRDefault="5376A873" w:rsidP="002E6E1C">
      <w:pPr>
        <w:pStyle w:val="NormalIndent"/>
      </w:pPr>
      <w:r>
        <w:t xml:space="preserve">The ITC </w:t>
      </w:r>
      <w:r w:rsidR="0660A359">
        <w:t>C</w:t>
      </w:r>
      <w:r>
        <w:t xml:space="preserve">ontract </w:t>
      </w:r>
      <w:r w:rsidR="0660A359">
        <w:t>S</w:t>
      </w:r>
      <w:r>
        <w:t>uite sits within the whole</w:t>
      </w:r>
      <w:r w:rsidR="64315516">
        <w:t>-</w:t>
      </w:r>
      <w:r>
        <w:t>of</w:t>
      </w:r>
      <w:r w:rsidR="64315516">
        <w:t>-</w:t>
      </w:r>
      <w:r>
        <w:t xml:space="preserve">government </w:t>
      </w:r>
      <w:r w:rsidR="00B82A49">
        <w:t>i</w:t>
      </w:r>
      <w:r>
        <w:t xml:space="preserve">nfrastructure </w:t>
      </w:r>
      <w:r w:rsidR="00B82A49">
        <w:t>p</w:t>
      </w:r>
      <w:r>
        <w:t xml:space="preserve">rocurement </w:t>
      </w:r>
      <w:r w:rsidR="00B82A49">
        <w:t>f</w:t>
      </w:r>
      <w:r>
        <w:t xml:space="preserve">ramework. </w:t>
      </w:r>
      <w:r w:rsidR="4E53BB1C">
        <w:t>The Framework includes three categories of procurement, including whole</w:t>
      </w:r>
      <w:r w:rsidR="0F35ACCA">
        <w:t xml:space="preserve"> </w:t>
      </w:r>
      <w:r w:rsidR="4E53BB1C">
        <w:t>of</w:t>
      </w:r>
      <w:r w:rsidR="0F35ACCA">
        <w:t xml:space="preserve"> </w:t>
      </w:r>
      <w:r w:rsidR="4E53BB1C">
        <w:t>life, lump sum and cost reimbursable</w:t>
      </w:r>
      <w:r w:rsidR="393A2C3F">
        <w:t>.</w:t>
      </w:r>
      <w:r w:rsidR="4E53BB1C">
        <w:t xml:space="preserve"> </w:t>
      </w:r>
      <w:r w:rsidR="393A2C3F">
        <w:t>E</w:t>
      </w:r>
      <w:r w:rsidR="4E53BB1C">
        <w:t xml:space="preserve">ach category </w:t>
      </w:r>
      <w:r w:rsidR="393A2C3F">
        <w:t xml:space="preserve">contains </w:t>
      </w:r>
      <w:r w:rsidR="4E53BB1C">
        <w:t>a set of approved procurement models for use on Victorian Government infrastructure projects.</w:t>
      </w:r>
    </w:p>
    <w:p w14:paraId="0391C10E" w14:textId="77777777" w:rsidR="003476C4" w:rsidRPr="00902E39" w:rsidRDefault="003476C4" w:rsidP="002E6E1C">
      <w:pPr>
        <w:pStyle w:val="NormalIndent"/>
      </w:pPr>
      <w:r w:rsidRPr="00902E39">
        <w:t>It consists of the following policy, guidance and standard form contracts:</w:t>
      </w:r>
    </w:p>
    <w:p w14:paraId="6336D9DE" w14:textId="77777777" w:rsidR="00812DA0" w:rsidRPr="00F05C88" w:rsidRDefault="00812DA0" w:rsidP="00812DA0">
      <w:pPr>
        <w:pStyle w:val="Bulletindent"/>
        <w:numPr>
          <w:ilvl w:val="2"/>
          <w:numId w:val="24"/>
        </w:numPr>
        <w:tabs>
          <w:tab w:val="clear" w:pos="2160"/>
          <w:tab w:val="num" w:pos="1152"/>
        </w:tabs>
        <w:spacing w:line="264" w:lineRule="auto"/>
        <w:ind w:left="1152"/>
      </w:pPr>
      <w:r w:rsidRPr="00F05C88">
        <w:t xml:space="preserve">the </w:t>
      </w:r>
      <w:hyperlink r:id="rId29" w:history="1">
        <w:r w:rsidRPr="005A07FE">
          <w:rPr>
            <w:rStyle w:val="Hyperlink"/>
          </w:rPr>
          <w:t>Ministerial Directions and Instructions for Public Construction Procurement</w:t>
        </w:r>
      </w:hyperlink>
      <w:r>
        <w:t xml:space="preserve"> (Ministerial Directions)</w:t>
      </w:r>
      <w:r w:rsidRPr="00F05C88">
        <w:t>, established under Part</w:t>
      </w:r>
      <w:r>
        <w:rPr>
          <w:rFonts w:ascii="Calibri" w:hAnsi="Calibri"/>
        </w:rPr>
        <w:t> </w:t>
      </w:r>
      <w:r w:rsidRPr="00F05C88">
        <w:t xml:space="preserve">4 of the </w:t>
      </w:r>
      <w:hyperlink r:id="rId30" w:tgtFrame="_blank" w:history="1">
        <w:r w:rsidRPr="00F252E2">
          <w:rPr>
            <w:rStyle w:val="Hyperlink"/>
            <w:i/>
            <w:iCs/>
          </w:rPr>
          <w:t>Project Development and Construction Management Act 1994</w:t>
        </w:r>
        <w:r w:rsidRPr="00F252E2">
          <w:rPr>
            <w:rStyle w:val="Hyperlink"/>
          </w:rPr>
          <w:t xml:space="preserve"> (Vic)</w:t>
        </w:r>
      </w:hyperlink>
    </w:p>
    <w:p w14:paraId="4A511787" w14:textId="77777777" w:rsidR="00812DA0" w:rsidRPr="00F05C88" w:rsidRDefault="00812DA0" w:rsidP="00812DA0">
      <w:pPr>
        <w:pStyle w:val="Bulletindent"/>
        <w:numPr>
          <w:ilvl w:val="2"/>
          <w:numId w:val="24"/>
        </w:numPr>
        <w:tabs>
          <w:tab w:val="clear" w:pos="2160"/>
          <w:tab w:val="num" w:pos="1152"/>
        </w:tabs>
        <w:spacing w:line="264" w:lineRule="auto"/>
        <w:ind w:left="1152"/>
      </w:pPr>
      <w:r>
        <w:t xml:space="preserve">the </w:t>
      </w:r>
      <w:hyperlink r:id="rId31" w:history="1">
        <w:r w:rsidRPr="00855D1B">
          <w:rPr>
            <w:rStyle w:val="Hyperlink"/>
          </w:rPr>
          <w:t>Procurement - Investment Lifecycle Guideline</w:t>
        </w:r>
      </w:hyperlink>
      <w:r>
        <w:t>,</w:t>
      </w:r>
      <w:r w:rsidRPr="00F05C88">
        <w:t xml:space="preserve"> which outlines the three procurement categories and a set of approved procurement models</w:t>
      </w:r>
    </w:p>
    <w:p w14:paraId="56CBBEE9" w14:textId="79C4355F" w:rsidR="003476C4" w:rsidRDefault="7C62012B" w:rsidP="000D52B3">
      <w:pPr>
        <w:pStyle w:val="Bulletindent"/>
        <w:rPr>
          <w:color w:val="000000"/>
        </w:rPr>
      </w:pPr>
      <w:r w:rsidRPr="2C5D2C8B">
        <w:rPr>
          <w:color w:val="000000"/>
        </w:rPr>
        <w:t xml:space="preserve">a </w:t>
      </w:r>
      <w:r w:rsidR="39D12A41" w:rsidRPr="2C5D2C8B">
        <w:rPr>
          <w:color w:val="000000"/>
        </w:rPr>
        <w:t>p</w:t>
      </w:r>
      <w:r w:rsidRPr="2C5D2C8B">
        <w:rPr>
          <w:color w:val="000000"/>
        </w:rPr>
        <w:t xml:space="preserve">rocurement </w:t>
      </w:r>
      <w:r w:rsidR="39D12A41" w:rsidRPr="2C5D2C8B">
        <w:rPr>
          <w:color w:val="000000"/>
        </w:rPr>
        <w:t>r</w:t>
      </w:r>
      <w:r w:rsidRPr="2C5D2C8B">
        <w:rPr>
          <w:color w:val="000000"/>
        </w:rPr>
        <w:t>equirements document for each of the three procurement categories</w:t>
      </w:r>
      <w:r w:rsidR="270C7DF0" w:rsidRPr="2C5D2C8B">
        <w:rPr>
          <w:color w:val="000000"/>
        </w:rPr>
        <w:t>; and</w:t>
      </w:r>
    </w:p>
    <w:p w14:paraId="6167C1B7" w14:textId="77777777" w:rsidR="003476C4" w:rsidRDefault="003476C4" w:rsidP="000D52B3">
      <w:pPr>
        <w:pStyle w:val="Bulletindent"/>
        <w:rPr>
          <w:color w:val="000000"/>
        </w:rPr>
      </w:pPr>
      <w:r>
        <w:t xml:space="preserve">standard form contracts and </w:t>
      </w:r>
      <w:r>
        <w:rPr>
          <w:color w:val="000000"/>
        </w:rPr>
        <w:t xml:space="preserve">guidance </w:t>
      </w:r>
      <w:r>
        <w:t>for a subset of the approved procurement models.</w:t>
      </w:r>
    </w:p>
    <w:p w14:paraId="647F77D9" w14:textId="6D2BEB8E" w:rsidR="003476C4" w:rsidRDefault="00723A41" w:rsidP="002E6E1C">
      <w:pPr>
        <w:pStyle w:val="NormalIndent"/>
      </w:pPr>
      <w:r>
        <w:fldChar w:fldCharType="begin" w:fldLock="1"/>
      </w:r>
      <w:r>
        <w:instrText xml:space="preserve"> REF _Ref143159299 \h </w:instrText>
      </w:r>
      <w:r>
        <w:fldChar w:fldCharType="separate"/>
      </w:r>
      <w:r w:rsidR="00400321">
        <w:t xml:space="preserve">Figure </w:t>
      </w:r>
      <w:r w:rsidR="00400321">
        <w:rPr>
          <w:noProof/>
        </w:rPr>
        <w:t>1</w:t>
      </w:r>
      <w:r>
        <w:fldChar w:fldCharType="end"/>
      </w:r>
      <w:r w:rsidR="7C62012B">
        <w:t xml:space="preserve"> provides an overview of the Framework and indicates where the </w:t>
      </w:r>
      <w:r w:rsidR="136E5F50">
        <w:t>ITC</w:t>
      </w:r>
      <w:r w:rsidR="24110F5B">
        <w:t xml:space="preserve"> Contract</w:t>
      </w:r>
      <w:r w:rsidR="136E5F50">
        <w:t xml:space="preserve"> </w:t>
      </w:r>
      <w:r w:rsidR="24110F5B">
        <w:t>S</w:t>
      </w:r>
      <w:r w:rsidR="136E5F50">
        <w:t xml:space="preserve">uite </w:t>
      </w:r>
      <w:r w:rsidR="7C62012B">
        <w:t xml:space="preserve">sits within </w:t>
      </w:r>
      <w:r w:rsidR="136E5F50">
        <w:t>it</w:t>
      </w:r>
      <w:r w:rsidR="7C62012B">
        <w:t>.</w:t>
      </w:r>
    </w:p>
    <w:p w14:paraId="1A674C57" w14:textId="27E8677D" w:rsidR="00BE64B5" w:rsidRDefault="00BE64B5" w:rsidP="000D52B3">
      <w:pPr>
        <w:pStyle w:val="Captionindent"/>
      </w:pPr>
      <w:bookmarkStart w:id="101" w:name="_Ref143159299"/>
      <w:r>
        <w:t xml:space="preserve">Figure </w:t>
      </w:r>
      <w:r>
        <w:fldChar w:fldCharType="begin"/>
      </w:r>
      <w:r>
        <w:instrText>SEQ Figure \* ARABIC</w:instrText>
      </w:r>
      <w:r>
        <w:fldChar w:fldCharType="separate"/>
      </w:r>
      <w:r w:rsidR="00131EE1">
        <w:rPr>
          <w:noProof/>
        </w:rPr>
        <w:t>1</w:t>
      </w:r>
      <w:r>
        <w:fldChar w:fldCharType="end"/>
      </w:r>
      <w:bookmarkEnd w:id="101"/>
      <w:r>
        <w:t xml:space="preserve"> – </w:t>
      </w:r>
      <w:r w:rsidRPr="00902E39">
        <w:t>Framework</w:t>
      </w:r>
    </w:p>
    <w:p w14:paraId="2163270A" w14:textId="1135B955" w:rsidR="00916725" w:rsidRDefault="00916725" w:rsidP="000D52B3">
      <w:pPr>
        <w:pStyle w:val="NormalIndent"/>
      </w:pPr>
      <w:r w:rsidRPr="00916725">
        <w:rPr>
          <w:noProof/>
        </w:rPr>
        <w:drawing>
          <wp:inline distT="0" distB="0" distL="0" distR="0" wp14:anchorId="5513B790" wp14:editId="0441141E">
            <wp:extent cx="5198400" cy="3248856"/>
            <wp:effectExtent l="0" t="0" r="2540" b="8890"/>
            <wp:docPr id="2015598392" name="Picture 2015598392" descr="Figure provides an overview of the Infrastructure Procurement Framework and highlights that the Incentivised Target Cost procurement model sits under the Cost Reimbursable Procurement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98392" name="Graphic 2015598392" descr="Figure provides an overview of the Infrastructure Procurement Framework and highlights that the Incentivised Target Cost procurement model sits under the Cost Reimbursable Procurement Requirements. "/>
                    <pic:cNvPicPr/>
                  </pic:nvPicPr>
                  <pic:blipFill>
                    <a:blip r:embed="rId32">
                      <a:extLst>
                        <a:ext uri="{96DAC541-7B7A-43D3-8B79-37D633B846F1}">
                          <asvg:svgBlip xmlns:asvg="http://schemas.microsoft.com/office/drawing/2016/SVG/main" r:embed="rId33"/>
                        </a:ext>
                      </a:extLst>
                    </a:blip>
                    <a:stretch>
                      <a:fillRect/>
                    </a:stretch>
                  </pic:blipFill>
                  <pic:spPr>
                    <a:xfrm>
                      <a:off x="0" y="0"/>
                      <a:ext cx="5204650" cy="3252762"/>
                    </a:xfrm>
                    <a:prstGeom prst="rect">
                      <a:avLst/>
                    </a:prstGeom>
                  </pic:spPr>
                </pic:pic>
              </a:graphicData>
            </a:graphic>
          </wp:inline>
        </w:drawing>
      </w:r>
    </w:p>
    <w:p w14:paraId="223B9795" w14:textId="56450D5E" w:rsidR="00EE054A" w:rsidRPr="00BE64B5" w:rsidRDefault="00EE054A" w:rsidP="001D01EA">
      <w:pPr>
        <w:pStyle w:val="NormalIndent"/>
        <w:keepNext/>
        <w:rPr>
          <w:rFonts w:ascii="VIC" w:hAnsi="VIC" w:cs="Arial"/>
          <w:color w:val="232A38"/>
        </w:rPr>
      </w:pPr>
      <w:r w:rsidRPr="00902E39">
        <w:t>Other Victorian Government legislation, policies and frameworks that are applicable across the project lifecycle include:</w:t>
      </w:r>
    </w:p>
    <w:p w14:paraId="52647309" w14:textId="77777777" w:rsidR="006F03DA" w:rsidRPr="00F05C88" w:rsidRDefault="006F03DA" w:rsidP="001D01EA">
      <w:pPr>
        <w:pStyle w:val="Bullet2"/>
        <w:keepNext/>
        <w:numPr>
          <w:ilvl w:val="0"/>
          <w:numId w:val="72"/>
        </w:numPr>
      </w:pPr>
      <w:r w:rsidRPr="00F05C88">
        <w:t xml:space="preserve">the </w:t>
      </w:r>
      <w:hyperlink r:id="rId34" w:history="1">
        <w:r w:rsidRPr="00F8639F">
          <w:rPr>
            <w:rStyle w:val="Hyperlink"/>
          </w:rPr>
          <w:t>Standing Directions 2018</w:t>
        </w:r>
      </w:hyperlink>
      <w:r w:rsidRPr="00F05C88">
        <w:t xml:space="preserve"> under the </w:t>
      </w:r>
      <w:r w:rsidRPr="00F05C88">
        <w:rPr>
          <w:i/>
          <w:iCs/>
        </w:rPr>
        <w:t xml:space="preserve">Financial Management Act 1994 </w:t>
      </w:r>
      <w:r w:rsidRPr="003D295E">
        <w:t>(Vic)</w:t>
      </w:r>
    </w:p>
    <w:p w14:paraId="729E026C" w14:textId="77777777" w:rsidR="006F03DA" w:rsidRPr="00F05C88" w:rsidRDefault="006F03DA" w:rsidP="006F03DA">
      <w:pPr>
        <w:pStyle w:val="Bullet2"/>
        <w:numPr>
          <w:ilvl w:val="0"/>
          <w:numId w:val="72"/>
        </w:numPr>
        <w:rPr>
          <w:rFonts w:eastAsiaTheme="minorHAnsi"/>
        </w:rPr>
      </w:pPr>
      <w:r w:rsidRPr="00F05C88">
        <w:t xml:space="preserve">the </w:t>
      </w:r>
      <w:hyperlink r:id="rId35" w:history="1">
        <w:r w:rsidRPr="008A04B7">
          <w:rPr>
            <w:rStyle w:val="Hyperlink"/>
          </w:rPr>
          <w:t>Investment Lifecycle Guideline series</w:t>
        </w:r>
      </w:hyperlink>
    </w:p>
    <w:p w14:paraId="32CFE77D" w14:textId="77777777" w:rsidR="006F03DA" w:rsidRPr="00F05C88" w:rsidRDefault="006F03DA" w:rsidP="006F03DA">
      <w:pPr>
        <w:pStyle w:val="Bullet2"/>
        <w:numPr>
          <w:ilvl w:val="0"/>
          <w:numId w:val="72"/>
        </w:numPr>
      </w:pPr>
      <w:r w:rsidRPr="00F05C88">
        <w:t xml:space="preserve">the </w:t>
      </w:r>
      <w:hyperlink r:id="rId36" w:tgtFrame="_blank" w:history="1">
        <w:r w:rsidRPr="00F05C88">
          <w:rPr>
            <w:rStyle w:val="Hyperlink"/>
          </w:rPr>
          <w:t>Asset Management Accountability Framework</w:t>
        </w:r>
      </w:hyperlink>
      <w:r w:rsidRPr="00F05C88">
        <w:t xml:space="preserve">, </w:t>
      </w:r>
      <w:hyperlink r:id="rId37" w:history="1">
        <w:r w:rsidRPr="008A04B7">
          <w:rPr>
            <w:rStyle w:val="Hyperlink"/>
          </w:rPr>
          <w:t>Investment Management Standard</w:t>
        </w:r>
      </w:hyperlink>
      <w:r w:rsidRPr="00F05C88">
        <w:t xml:space="preserve"> and </w:t>
      </w:r>
      <w:hyperlink r:id="rId38" w:anchor=":~:text=Victoria's%20Bid%20Cost%20Reimbursement%20policy,Value%20High%20Risk%20Projects%20framework." w:tgtFrame="_blank" w:history="1">
        <w:r w:rsidRPr="009016F1">
          <w:rPr>
            <w:rStyle w:val="Hyperlink"/>
          </w:rPr>
          <w:t>Bid Cost Reimbursement Policy</w:t>
        </w:r>
      </w:hyperlink>
      <w:r w:rsidRPr="00F05C88">
        <w:t xml:space="preserve"> for Major Construction Projects</w:t>
      </w:r>
    </w:p>
    <w:p w14:paraId="6CF082CB" w14:textId="77777777" w:rsidR="006F03DA" w:rsidRPr="00F05C88" w:rsidRDefault="006F03DA" w:rsidP="006F03DA">
      <w:pPr>
        <w:pStyle w:val="Bullet2"/>
        <w:numPr>
          <w:ilvl w:val="0"/>
          <w:numId w:val="72"/>
        </w:numPr>
      </w:pPr>
      <w:r>
        <w:t xml:space="preserve">the </w:t>
      </w:r>
      <w:hyperlink r:id="rId39" w:history="1">
        <w:r w:rsidRPr="009016F1">
          <w:rPr>
            <w:rStyle w:val="Hyperlink"/>
          </w:rPr>
          <w:t>High Value High Risk (HVHR) project assurance framework</w:t>
        </w:r>
      </w:hyperlink>
      <w:r w:rsidRPr="00F05C88">
        <w:t xml:space="preserve"> and associated </w:t>
      </w:r>
      <w:hyperlink r:id="rId40" w:tgtFrame="_blank" w:history="1">
        <w:r>
          <w:rPr>
            <w:rStyle w:val="Hyperlink"/>
          </w:rPr>
          <w:t>G</w:t>
        </w:r>
        <w:r w:rsidRPr="00F05C88">
          <w:rPr>
            <w:rStyle w:val="Hyperlink"/>
          </w:rPr>
          <w:t xml:space="preserve">ateway </w:t>
        </w:r>
        <w:r>
          <w:rPr>
            <w:rStyle w:val="Hyperlink"/>
          </w:rPr>
          <w:t>R</w:t>
        </w:r>
        <w:r w:rsidRPr="00F05C88">
          <w:rPr>
            <w:rStyle w:val="Hyperlink"/>
          </w:rPr>
          <w:t xml:space="preserve">eview </w:t>
        </w:r>
        <w:r>
          <w:rPr>
            <w:rStyle w:val="Hyperlink"/>
          </w:rPr>
          <w:t>P</w:t>
        </w:r>
        <w:r w:rsidRPr="00F05C88">
          <w:rPr>
            <w:rStyle w:val="Hyperlink"/>
          </w:rPr>
          <w:t>rocess</w:t>
        </w:r>
      </w:hyperlink>
      <w:r w:rsidRPr="00F05C88">
        <w:t>.</w:t>
      </w:r>
    </w:p>
    <w:p w14:paraId="79CFC3D9" w14:textId="10A2CAC7" w:rsidR="00EE054A" w:rsidRDefault="2451D6F6" w:rsidP="002E6E1C">
      <w:pPr>
        <w:pStyle w:val="NormalIndent"/>
      </w:pPr>
      <w:r>
        <w:t>National policies</w:t>
      </w:r>
      <w:r w:rsidR="001E4946">
        <w:t>,</w:t>
      </w:r>
      <w:r>
        <w:t xml:space="preserve"> such as the </w:t>
      </w:r>
      <w:hyperlink r:id="rId41" w:history="1">
        <w:r w:rsidR="009B0C32" w:rsidRPr="0011489C">
          <w:rPr>
            <w:rStyle w:val="Hyperlink"/>
          </w:rPr>
          <w:t>National Alliance Contracting Guidelines</w:t>
        </w:r>
      </w:hyperlink>
      <w:r>
        <w:t xml:space="preserve"> may also be applicable.</w:t>
      </w:r>
    </w:p>
    <w:p w14:paraId="51C00889" w14:textId="27129690" w:rsidR="004B068B" w:rsidRPr="00902E39" w:rsidRDefault="00F72B65" w:rsidP="00902E39">
      <w:pPr>
        <w:pStyle w:val="Heading2numbered"/>
      </w:pPr>
      <w:bookmarkStart w:id="102" w:name="_Toc145612560"/>
      <w:r w:rsidRPr="00902E39">
        <w:t>ITC Contrac</w:t>
      </w:r>
      <w:r w:rsidR="00F865D9">
        <w:t>t</w:t>
      </w:r>
      <w:r w:rsidRPr="00902E39">
        <w:t xml:space="preserve"> Suite</w:t>
      </w:r>
      <w:bookmarkEnd w:id="102"/>
    </w:p>
    <w:p w14:paraId="5AFE9062" w14:textId="51DF89E9" w:rsidR="00022FC0" w:rsidRPr="00902E39" w:rsidRDefault="00F72B65" w:rsidP="002E6E1C">
      <w:pPr>
        <w:pStyle w:val="NormalIndent"/>
      </w:pPr>
      <w:r w:rsidRPr="00902E39">
        <w:t xml:space="preserve">The </w:t>
      </w:r>
      <w:r w:rsidR="00022FC0" w:rsidRPr="00902E39">
        <w:t>new standard form ITC Contract Suite compris</w:t>
      </w:r>
      <w:r w:rsidR="00EE054A" w:rsidRPr="00902E39">
        <w:t>es</w:t>
      </w:r>
      <w:r w:rsidR="00022FC0" w:rsidRPr="00902E39">
        <w:t xml:space="preserve"> two separate contracts:</w:t>
      </w:r>
    </w:p>
    <w:p w14:paraId="5E378A97" w14:textId="1F165525" w:rsidR="002A524B" w:rsidRPr="002A524B" w:rsidRDefault="00022FC0" w:rsidP="000D52B3">
      <w:pPr>
        <w:pStyle w:val="Bulletindent"/>
      </w:pPr>
      <w:r w:rsidRPr="00902E39">
        <w:t>an ITC Development Deed</w:t>
      </w:r>
      <w:r w:rsidR="00ED0304">
        <w:t>; and</w:t>
      </w:r>
    </w:p>
    <w:p w14:paraId="61665EE3" w14:textId="66943163" w:rsidR="00022FC0" w:rsidRPr="00902E39" w:rsidRDefault="00022FC0" w:rsidP="000D52B3">
      <w:pPr>
        <w:pStyle w:val="Bulletindent"/>
      </w:pPr>
      <w:r w:rsidRPr="00902E39">
        <w:t>an ITC Delivery Deed.</w:t>
      </w:r>
    </w:p>
    <w:p w14:paraId="2F531564" w14:textId="07BA97A6" w:rsidR="00022FC0" w:rsidRPr="00902E39" w:rsidRDefault="00022FC0" w:rsidP="002E6E1C">
      <w:pPr>
        <w:pStyle w:val="NormalIndent"/>
      </w:pPr>
      <w:r w:rsidRPr="00902E39">
        <w:t xml:space="preserve">The ITC Development Deed supports a </w:t>
      </w:r>
      <w:r w:rsidR="00353E29" w:rsidRPr="00902E39">
        <w:t>D</w:t>
      </w:r>
      <w:r w:rsidRPr="00902E39">
        <w:t xml:space="preserve">evelopment </w:t>
      </w:r>
      <w:r w:rsidR="00353E29" w:rsidRPr="00902E39">
        <w:t>P</w:t>
      </w:r>
      <w:r w:rsidRPr="00902E39">
        <w:t xml:space="preserve">hase. During the </w:t>
      </w:r>
      <w:r w:rsidR="00CC02B7" w:rsidRPr="00902E39">
        <w:t>D</w:t>
      </w:r>
      <w:r w:rsidRPr="00902E39">
        <w:t xml:space="preserve">evelopment </w:t>
      </w:r>
      <w:r w:rsidR="00CC02B7" w:rsidRPr="00902E39">
        <w:t>P</w:t>
      </w:r>
      <w:r w:rsidRPr="00902E39">
        <w:t xml:space="preserve">hase, Shortlisted Respondents are engaged to complete design work, develop a </w:t>
      </w:r>
      <w:r w:rsidR="00FB70DE">
        <w:t>P</w:t>
      </w:r>
      <w:r w:rsidRPr="00902E39">
        <w:t xml:space="preserve">roject </w:t>
      </w:r>
      <w:r w:rsidR="000A3232">
        <w:t>p</w:t>
      </w:r>
      <w:r w:rsidRPr="00902E39">
        <w:t>roposal (including a Target O</w:t>
      </w:r>
      <w:r w:rsidRPr="00E85194">
        <w:t>utturn Cost (</w:t>
      </w:r>
      <w:r w:rsidRPr="00104289">
        <w:t>TOC</w:t>
      </w:r>
      <w:r w:rsidRPr="00E85194">
        <w:t xml:space="preserve">)) and </w:t>
      </w:r>
      <w:r w:rsidRPr="00902E39">
        <w:t xml:space="preserve">deliver </w:t>
      </w:r>
      <w:r w:rsidR="00BF4437">
        <w:t>E</w:t>
      </w:r>
      <w:r w:rsidRPr="00902E39">
        <w:t xml:space="preserve">arly </w:t>
      </w:r>
      <w:r w:rsidR="00BF4437">
        <w:t>W</w:t>
      </w:r>
      <w:r w:rsidRPr="00902E39">
        <w:t>orks.</w:t>
      </w:r>
    </w:p>
    <w:p w14:paraId="21685886" w14:textId="0CAC5672" w:rsidR="00022FC0" w:rsidRDefault="00022FC0" w:rsidP="002E6E1C">
      <w:pPr>
        <w:pStyle w:val="NormalIndent"/>
      </w:pPr>
      <w:r w:rsidRPr="00902E39">
        <w:t xml:space="preserve">The ITC Delivery Deed supports a </w:t>
      </w:r>
      <w:r w:rsidR="00104289">
        <w:t>D</w:t>
      </w:r>
      <w:r w:rsidRPr="00902E39">
        <w:t xml:space="preserve">elivery </w:t>
      </w:r>
      <w:r w:rsidR="00104289">
        <w:t>P</w:t>
      </w:r>
      <w:r w:rsidRPr="00902E39">
        <w:t xml:space="preserve">hase. During the </w:t>
      </w:r>
      <w:r w:rsidR="00104289">
        <w:t>D</w:t>
      </w:r>
      <w:r w:rsidRPr="00902E39">
        <w:t xml:space="preserve">elivery </w:t>
      </w:r>
      <w:r w:rsidR="00104289">
        <w:t>P</w:t>
      </w:r>
      <w:r w:rsidRPr="00902E39">
        <w:t xml:space="preserve">hase, works proceed on an </w:t>
      </w:r>
      <w:r w:rsidR="00BA021B">
        <w:t>o</w:t>
      </w:r>
      <w:r w:rsidRPr="00902E39">
        <w:t xml:space="preserve">pen </w:t>
      </w:r>
      <w:r w:rsidR="00BA021B">
        <w:t>b</w:t>
      </w:r>
      <w:r w:rsidRPr="00902E39">
        <w:t xml:space="preserve">ook </w:t>
      </w:r>
      <w:r w:rsidR="00BA021B">
        <w:t>b</w:t>
      </w:r>
      <w:r w:rsidRPr="00E85194">
        <w:t xml:space="preserve">asis and the </w:t>
      </w:r>
      <w:r w:rsidR="00104289">
        <w:t>C</w:t>
      </w:r>
      <w:r w:rsidRPr="00E85194">
        <w:t xml:space="preserve">ontractor is reimbursed for all agreed costs and a percentage for </w:t>
      </w:r>
      <w:r w:rsidR="00D56A78" w:rsidRPr="00E85194">
        <w:t>C</w:t>
      </w:r>
      <w:r w:rsidRPr="00E85194">
        <w:t xml:space="preserve">orporate </w:t>
      </w:r>
      <w:r w:rsidR="00D56A78" w:rsidRPr="00E85194">
        <w:t>O</w:t>
      </w:r>
      <w:r w:rsidRPr="00E85194">
        <w:t xml:space="preserve">verhead and </w:t>
      </w:r>
      <w:r w:rsidR="00D56A78" w:rsidRPr="00E85194">
        <w:t>P</w:t>
      </w:r>
      <w:r w:rsidRPr="00E85194">
        <w:t>rofit</w:t>
      </w:r>
      <w:r w:rsidR="00D56A78" w:rsidRPr="00E85194">
        <w:t xml:space="preserve"> (</w:t>
      </w:r>
      <w:r w:rsidR="00D56A78" w:rsidRPr="002A0773">
        <w:t>COP</w:t>
      </w:r>
      <w:r w:rsidR="00D56A78" w:rsidRPr="00E85194">
        <w:t>)</w:t>
      </w:r>
      <w:r w:rsidR="00291426">
        <w:t xml:space="preserve"> </w:t>
      </w:r>
      <w:r w:rsidR="00291426" w:rsidRPr="00291426">
        <w:t xml:space="preserve">(sometimes referred to as </w:t>
      </w:r>
      <w:r w:rsidR="00251AE3">
        <w:t>‘</w:t>
      </w:r>
      <w:r w:rsidR="00291426" w:rsidRPr="00291426">
        <w:t>margin</w:t>
      </w:r>
      <w:r w:rsidR="00251AE3">
        <w:t>’</w:t>
      </w:r>
      <w:r w:rsidR="00291426" w:rsidRPr="00291426">
        <w:t xml:space="preserve"> by industry participants)</w:t>
      </w:r>
      <w:r w:rsidRPr="00E85194">
        <w:t xml:space="preserve">. A </w:t>
      </w:r>
      <w:r w:rsidR="00857D00">
        <w:t>G</w:t>
      </w:r>
      <w:r w:rsidRPr="00E85194">
        <w:t>ainshare</w:t>
      </w:r>
      <w:r w:rsidR="004B6A59" w:rsidRPr="00E85194">
        <w:t>/Painshare</w:t>
      </w:r>
      <w:r w:rsidR="00FA2389">
        <w:t xml:space="preserve"> Adjustment</w:t>
      </w:r>
      <w:r w:rsidRPr="00E85194">
        <w:t xml:space="preserve"> mechanism also incentivises performance and delivery of the </w:t>
      </w:r>
      <w:r w:rsidR="004C7A99">
        <w:t>W</w:t>
      </w:r>
      <w:r w:rsidR="00104289" w:rsidRPr="00E85194">
        <w:t xml:space="preserve">orks </w:t>
      </w:r>
      <w:r w:rsidRPr="00E85194">
        <w:t>against</w:t>
      </w:r>
      <w:r w:rsidRPr="00902E39">
        <w:t xml:space="preserve"> the TOC.</w:t>
      </w:r>
    </w:p>
    <w:p w14:paraId="6F13888D" w14:textId="62B6E2EA" w:rsidR="00BE64B5" w:rsidRPr="00BE64B5" w:rsidRDefault="00BE64B5" w:rsidP="00BA17E2">
      <w:pPr>
        <w:pStyle w:val="Captionindent"/>
      </w:pPr>
      <w:r w:rsidRPr="00BE64B5">
        <w:t xml:space="preserve">Figure </w:t>
      </w:r>
      <w:r>
        <w:fldChar w:fldCharType="begin"/>
      </w:r>
      <w:r>
        <w:instrText>SEQ Figure \* ARABIC</w:instrText>
      </w:r>
      <w:r>
        <w:fldChar w:fldCharType="separate"/>
      </w:r>
      <w:r w:rsidR="00131EE1">
        <w:rPr>
          <w:noProof/>
        </w:rPr>
        <w:t>2</w:t>
      </w:r>
      <w:r>
        <w:fldChar w:fldCharType="end"/>
      </w:r>
      <w:r w:rsidRPr="00BE64B5">
        <w:t xml:space="preserve"> – Stages of the ITC Contract Suite</w:t>
      </w:r>
    </w:p>
    <w:p w14:paraId="7463FD05" w14:textId="3D1BCF87" w:rsidR="00463BA6" w:rsidRDefault="00463BA6" w:rsidP="0005402F">
      <w:pPr>
        <w:pStyle w:val="NormalIndent"/>
      </w:pPr>
      <w:r w:rsidRPr="00463BA6">
        <w:rPr>
          <w:noProof/>
        </w:rPr>
        <w:drawing>
          <wp:inline distT="0" distB="0" distL="0" distR="0" wp14:anchorId="6EF53FA3" wp14:editId="3E27467C">
            <wp:extent cx="5233590" cy="827424"/>
            <wp:effectExtent l="0" t="0" r="5715" b="0"/>
            <wp:docPr id="7" name="Picture 7" descr="Figure displays the high-level stages of the DTF ITC Contract Suite. These being: Expression of Interest and/or Request for Proposal, ITC Development and ITC Delivery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Figure displays the high-level stages of the DTF ITC Contract Suite. These being: Expression of Interest and/or Request for Proposal, ITC Development and ITC Delivery Deed."/>
                    <pic:cNvPicPr/>
                  </pic:nvPicPr>
                  <pic:blipFill>
                    <a:blip r:embed="rId42">
                      <a:extLst>
                        <a:ext uri="{96DAC541-7B7A-43D3-8B79-37D633B846F1}">
                          <asvg:svgBlip xmlns:asvg="http://schemas.microsoft.com/office/drawing/2016/SVG/main" r:embed="rId43"/>
                        </a:ext>
                      </a:extLst>
                    </a:blip>
                    <a:stretch>
                      <a:fillRect/>
                    </a:stretch>
                  </pic:blipFill>
                  <pic:spPr>
                    <a:xfrm>
                      <a:off x="0" y="0"/>
                      <a:ext cx="5258920" cy="831429"/>
                    </a:xfrm>
                    <a:prstGeom prst="rect">
                      <a:avLst/>
                    </a:prstGeom>
                  </pic:spPr>
                </pic:pic>
              </a:graphicData>
            </a:graphic>
          </wp:inline>
        </w:drawing>
      </w:r>
    </w:p>
    <w:p w14:paraId="25F5FAEA" w14:textId="07E0191A" w:rsidR="00022FC0" w:rsidRPr="002D2966" w:rsidRDefault="00022FC0" w:rsidP="001D061B">
      <w:pPr>
        <w:pStyle w:val="NormalIndent"/>
        <w:keepNext/>
      </w:pPr>
      <w:r w:rsidRPr="002D2966">
        <w:t xml:space="preserve">The ITC Contract Suite recognises the increasing use of this procurement model and </w:t>
      </w:r>
      <w:r w:rsidR="00E85194">
        <w:t>promotes</w:t>
      </w:r>
      <w:r w:rsidR="00E85194" w:rsidRPr="002D2966">
        <w:t xml:space="preserve"> </w:t>
      </w:r>
      <w:r w:rsidRPr="002D2966">
        <w:t xml:space="preserve">its consistent application by Victorian Government </w:t>
      </w:r>
      <w:r w:rsidR="004163A8">
        <w:t>procuring</w:t>
      </w:r>
      <w:r w:rsidRPr="002D2966">
        <w:t xml:space="preserve"> agencies. It addresses the challenges and opportunities encountered in a real project delivery environment, providing a consistent and efficient risk allocation with flexibility to accommodate project</w:t>
      </w:r>
      <w:r w:rsidR="00043711">
        <w:t>-</w:t>
      </w:r>
      <w:r w:rsidRPr="002D2966">
        <w:t>specific requirements.</w:t>
      </w:r>
    </w:p>
    <w:p w14:paraId="68A7A1DF" w14:textId="3B2FA0F6" w:rsidR="00022FC0" w:rsidRPr="003E639B" w:rsidRDefault="00022FC0" w:rsidP="00BA17E2">
      <w:pPr>
        <w:pStyle w:val="NormalIndent"/>
        <w:keepNext/>
      </w:pPr>
      <w:r w:rsidRPr="003E639B">
        <w:t>The ITC Contract Suite seeks to:</w:t>
      </w:r>
    </w:p>
    <w:p w14:paraId="01F9D111" w14:textId="54CDC911" w:rsidR="00022FC0" w:rsidRPr="003E639B" w:rsidRDefault="00022FC0" w:rsidP="000D52B3">
      <w:pPr>
        <w:pStyle w:val="Bulletindent"/>
      </w:pPr>
      <w:r w:rsidRPr="003E639B">
        <w:t xml:space="preserve">promote efficient processes in delivering ITC projects, specifically providing time and cost savings for the </w:t>
      </w:r>
      <w:r w:rsidR="0007240E">
        <w:t>S</w:t>
      </w:r>
      <w:r w:rsidRPr="003E639B">
        <w:t>tate and private sectors in drafting and negotiating project documentation</w:t>
      </w:r>
      <w:r w:rsidR="00F63F58">
        <w:t>;</w:t>
      </w:r>
    </w:p>
    <w:p w14:paraId="67D61F9D" w14:textId="37B45E86" w:rsidR="00022FC0" w:rsidRPr="00D83AAC" w:rsidRDefault="00022FC0" w:rsidP="000D52B3">
      <w:pPr>
        <w:pStyle w:val="Bulletindent"/>
      </w:pPr>
      <w:r w:rsidRPr="003E639B">
        <w:t>enh</w:t>
      </w:r>
      <w:r w:rsidRPr="00D83AAC">
        <w:t>ance contract administration</w:t>
      </w:r>
      <w:r w:rsidR="00F63F58">
        <w:t>;</w:t>
      </w:r>
    </w:p>
    <w:p w14:paraId="1C87AAD9" w14:textId="3714E3FA" w:rsidR="00022FC0" w:rsidRPr="00D83AAC" w:rsidRDefault="00022FC0" w:rsidP="000D52B3">
      <w:pPr>
        <w:pStyle w:val="Bulletindent"/>
      </w:pPr>
      <w:r w:rsidRPr="00D83AAC">
        <w:t>allow project teams and bid teams to focus on project</w:t>
      </w:r>
      <w:r w:rsidR="00F63F58">
        <w:t>-</w:t>
      </w:r>
      <w:r w:rsidRPr="00D83AAC">
        <w:t>specific issues</w:t>
      </w:r>
      <w:r w:rsidR="00F63F58">
        <w:t>;</w:t>
      </w:r>
    </w:p>
    <w:p w14:paraId="249623CC" w14:textId="3B9DB94B" w:rsidR="002A524B" w:rsidRPr="002A524B" w:rsidRDefault="00022FC0" w:rsidP="000D52B3">
      <w:pPr>
        <w:pStyle w:val="Bulletindent"/>
      </w:pPr>
      <w:r w:rsidRPr="00D83AAC">
        <w:t>improv</w:t>
      </w:r>
      <w:r w:rsidRPr="003E639B">
        <w:t>e contract interpretation and enforceability</w:t>
      </w:r>
      <w:r w:rsidR="00F63F58">
        <w:t>; and</w:t>
      </w:r>
    </w:p>
    <w:p w14:paraId="177787E1" w14:textId="21506742" w:rsidR="00022FC0" w:rsidRPr="00F63F58" w:rsidRDefault="04021134" w:rsidP="000D52B3">
      <w:pPr>
        <w:pStyle w:val="Bulletindent"/>
      </w:pPr>
      <w:r>
        <w:t>provide tender</w:t>
      </w:r>
      <w:r w:rsidR="2CF49620">
        <w:t>er</w:t>
      </w:r>
      <w:r>
        <w:t>s with greater certainty regarding project contractual terms.</w:t>
      </w:r>
    </w:p>
    <w:p w14:paraId="03D9AB87" w14:textId="377AAD10" w:rsidR="2D8E9DB4" w:rsidRPr="005C5C34" w:rsidRDefault="2D8E9DB4" w:rsidP="002D2966">
      <w:pPr>
        <w:pStyle w:val="Heading3numbered"/>
      </w:pPr>
      <w:r w:rsidRPr="005C5C34">
        <w:t xml:space="preserve">Basis for developing </w:t>
      </w:r>
      <w:r w:rsidR="00C11125">
        <w:t xml:space="preserve">the </w:t>
      </w:r>
      <w:r w:rsidRPr="005C5C34">
        <w:t>ITC Contract Suite</w:t>
      </w:r>
    </w:p>
    <w:p w14:paraId="50F691B6" w14:textId="784DFDF9" w:rsidR="00022FC0" w:rsidRPr="00EA45D2" w:rsidRDefault="00022FC0" w:rsidP="002E6E1C">
      <w:pPr>
        <w:pStyle w:val="NormalIndent"/>
      </w:pPr>
      <w:r w:rsidRPr="002B40AF">
        <w:t>The ITC Contract Suite has been developed based on</w:t>
      </w:r>
      <w:r w:rsidRPr="00116579">
        <w:t>:</w:t>
      </w:r>
    </w:p>
    <w:p w14:paraId="1E40DC65" w14:textId="63153E61" w:rsidR="00022FC0" w:rsidRPr="002D2966" w:rsidRDefault="00022FC0" w:rsidP="000D52B3">
      <w:pPr>
        <w:pStyle w:val="Bulletindent"/>
      </w:pPr>
      <w:r w:rsidRPr="002D2966">
        <w:t xml:space="preserve">established contract forms accepted by the market and </w:t>
      </w:r>
      <w:r w:rsidR="00A56746">
        <w:t>S</w:t>
      </w:r>
      <w:r w:rsidRPr="002D2966">
        <w:t>tate</w:t>
      </w:r>
      <w:r w:rsidR="00F63F58">
        <w:t>;</w:t>
      </w:r>
    </w:p>
    <w:p w14:paraId="3953CA09" w14:textId="506EA430" w:rsidR="00022FC0" w:rsidRPr="002D2966" w:rsidRDefault="00022FC0" w:rsidP="000D52B3">
      <w:pPr>
        <w:pStyle w:val="Bulletindent"/>
      </w:pPr>
      <w:r w:rsidRPr="002D2966">
        <w:t>guidance issued by government agencies (</w:t>
      </w:r>
      <w:r w:rsidR="00C31A12">
        <w:t>e.g.</w:t>
      </w:r>
      <w:r w:rsidRPr="002D2966">
        <w:t xml:space="preserve"> </w:t>
      </w:r>
      <w:hyperlink r:id="rId44" w:history="1">
        <w:r w:rsidRPr="00D83AAC">
          <w:rPr>
            <w:rStyle w:val="Hyperlink"/>
          </w:rPr>
          <w:t>National Allianc</w:t>
        </w:r>
        <w:r w:rsidR="00B31813">
          <w:rPr>
            <w:rStyle w:val="Hyperlink"/>
          </w:rPr>
          <w:t>e Contract</w:t>
        </w:r>
        <w:r w:rsidRPr="00D83AAC">
          <w:rPr>
            <w:rStyle w:val="Hyperlink"/>
          </w:rPr>
          <w:t>ing Guidelines</w:t>
        </w:r>
      </w:hyperlink>
      <w:r w:rsidRPr="002D2966">
        <w:t>) and industry groups (</w:t>
      </w:r>
      <w:r w:rsidR="00C31A12">
        <w:t>e.g.</w:t>
      </w:r>
      <w:r w:rsidRPr="002D2966">
        <w:t xml:space="preserve"> Roads Australia Procurement Reform Report)</w:t>
      </w:r>
      <w:r w:rsidR="00662E81">
        <w:t>;</w:t>
      </w:r>
    </w:p>
    <w:p w14:paraId="3447A0F5" w14:textId="32EEE34D" w:rsidR="002A524B" w:rsidRPr="002A524B" w:rsidRDefault="00022FC0" w:rsidP="000D52B3">
      <w:pPr>
        <w:pStyle w:val="Bulletindent"/>
      </w:pPr>
      <w:r w:rsidRPr="002D2966">
        <w:t xml:space="preserve">feedback from the private sector and </w:t>
      </w:r>
      <w:r w:rsidR="00A96DF4">
        <w:t>g</w:t>
      </w:r>
      <w:r w:rsidRPr="002D2966">
        <w:t>overnment stakeholders</w:t>
      </w:r>
      <w:r w:rsidR="00662E81">
        <w:t>; and</w:t>
      </w:r>
    </w:p>
    <w:p w14:paraId="1EE82E28" w14:textId="5C86A3D2" w:rsidR="00022FC0" w:rsidRPr="002D2966" w:rsidRDefault="00022FC0" w:rsidP="000D52B3">
      <w:pPr>
        <w:pStyle w:val="Bulletindent"/>
      </w:pPr>
      <w:r w:rsidRPr="002D2966">
        <w:t>learnings from other projects and jurisdictions where ITC contracts are a recognised and regularly used form of contract.</w:t>
      </w:r>
    </w:p>
    <w:p w14:paraId="4C3F83BB" w14:textId="4106F212" w:rsidR="00022FC0" w:rsidRPr="003E639B" w:rsidRDefault="00022FC0" w:rsidP="002E6E1C">
      <w:pPr>
        <w:pStyle w:val="NormalIndent"/>
      </w:pPr>
      <w:r w:rsidRPr="003E639B">
        <w:t xml:space="preserve">The ITC Contact Suite has been adapted from </w:t>
      </w:r>
      <w:r w:rsidRPr="00A96DF4">
        <w:t>the underlying deeds used by Major Roads Projects Victoria as part of the Program Delivery Approach.</w:t>
      </w:r>
    </w:p>
    <w:p w14:paraId="3BAD768C" w14:textId="381B1305" w:rsidR="00022FC0" w:rsidRPr="003E639B" w:rsidRDefault="00022FC0" w:rsidP="002E6E1C">
      <w:pPr>
        <w:pStyle w:val="NormalIndent"/>
      </w:pPr>
      <w:r w:rsidRPr="003E639B">
        <w:t xml:space="preserve">The ITC Delivery Deed also adopts applicable </w:t>
      </w:r>
      <w:r w:rsidRPr="002A0773">
        <w:t>Partnerships Victoria</w:t>
      </w:r>
      <w:r w:rsidRPr="002B40AF">
        <w:t xml:space="preserve"> standard terms </w:t>
      </w:r>
      <w:r w:rsidR="00046608">
        <w:rPr>
          <w:color w:val="000000"/>
          <w:spacing w:val="2"/>
        </w:rPr>
        <w:t xml:space="preserve">(where consistent with generally accepted market terms in similar contracts) to promote greater consistency in contracts used </w:t>
      </w:r>
      <w:r w:rsidRPr="00A96DF4">
        <w:t>in Victorian H</w:t>
      </w:r>
      <w:r w:rsidR="00E342CF">
        <w:t>VHR</w:t>
      </w:r>
      <w:r w:rsidRPr="0031366E">
        <w:t xml:space="preserve"> infrastructure projects.</w:t>
      </w:r>
    </w:p>
    <w:p w14:paraId="448A0F75" w14:textId="52991A50" w:rsidR="6F5FB18A" w:rsidRPr="008E5388" w:rsidRDefault="1572A170" w:rsidP="002D2966">
      <w:pPr>
        <w:pStyle w:val="Heading3numbered"/>
      </w:pPr>
      <w:r w:rsidRPr="008E5388">
        <w:t>Underlying principles driving the ITC Contract Suite</w:t>
      </w:r>
    </w:p>
    <w:p w14:paraId="4EF75FA1" w14:textId="00F491B2" w:rsidR="00022FC0" w:rsidRPr="003E639B" w:rsidRDefault="00022FC0" w:rsidP="0046483C">
      <w:pPr>
        <w:pStyle w:val="NormalIndent"/>
        <w:keepNext/>
      </w:pPr>
      <w:bookmarkStart w:id="103" w:name="_Toc131621251"/>
      <w:bookmarkStart w:id="104" w:name="_Toc131689835"/>
      <w:bookmarkStart w:id="105" w:name="_Toc131621252"/>
      <w:bookmarkStart w:id="106" w:name="_Toc131689836"/>
      <w:bookmarkStart w:id="107" w:name="_Toc131621253"/>
      <w:bookmarkStart w:id="108" w:name="_Toc131689837"/>
      <w:bookmarkStart w:id="109" w:name="_Toc131621254"/>
      <w:bookmarkStart w:id="110" w:name="_Toc131689838"/>
      <w:bookmarkStart w:id="111" w:name="_Toc131621255"/>
      <w:bookmarkStart w:id="112" w:name="_Toc131689839"/>
      <w:bookmarkStart w:id="113" w:name="_Toc131621256"/>
      <w:bookmarkStart w:id="114" w:name="_Toc131689840"/>
      <w:bookmarkStart w:id="115" w:name="_Toc131621257"/>
      <w:bookmarkStart w:id="116" w:name="_Toc131689841"/>
      <w:bookmarkStart w:id="117" w:name="_Toc131621258"/>
      <w:bookmarkStart w:id="118" w:name="_Toc131689842"/>
      <w:bookmarkStart w:id="119" w:name="_Toc131621259"/>
      <w:bookmarkStart w:id="120" w:name="_Toc13168984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2B40AF">
        <w:t>The</w:t>
      </w:r>
      <w:r w:rsidR="00DD153A">
        <w:t xml:space="preserve"> </w:t>
      </w:r>
      <w:r w:rsidRPr="002B40AF">
        <w:t xml:space="preserve">ITC Contract Suite has been developed as a way </w:t>
      </w:r>
      <w:r w:rsidRPr="00116579">
        <w:t xml:space="preserve">of rebalancing roles where traditional risk allocations are not considered appropriate to the nature of the </w:t>
      </w:r>
      <w:r w:rsidR="00B222C0">
        <w:t>p</w:t>
      </w:r>
      <w:r w:rsidRPr="00116579">
        <w:t>roject risk profile. The infrastructure delivery environment is increasingly complex, and the ITC delivery model complements existing contract mode</w:t>
      </w:r>
      <w:r w:rsidRPr="003E639B">
        <w:t xml:space="preserve">ls, providing more optionality for </w:t>
      </w:r>
      <w:r w:rsidR="004163A8">
        <w:t>procuring</w:t>
      </w:r>
      <w:r w:rsidRPr="003E639B">
        <w:t xml:space="preserve"> agencies in procurement.</w:t>
      </w:r>
    </w:p>
    <w:p w14:paraId="031C79CF" w14:textId="4F9EA525" w:rsidR="00022FC0" w:rsidRPr="003E639B" w:rsidRDefault="007E426B" w:rsidP="001D061B">
      <w:pPr>
        <w:pStyle w:val="NormalIndent"/>
        <w:keepNext/>
      </w:pPr>
      <w:r>
        <w:t>These are s</w:t>
      </w:r>
      <w:r w:rsidRPr="003E639B">
        <w:t xml:space="preserve">ome </w:t>
      </w:r>
      <w:r w:rsidR="00022FC0" w:rsidRPr="003E639B">
        <w:t xml:space="preserve">key aspects of the ITC </w:t>
      </w:r>
      <w:r w:rsidR="00E76F07">
        <w:t>C</w:t>
      </w:r>
      <w:r w:rsidR="00022FC0" w:rsidRPr="003E639B">
        <w:t xml:space="preserve">ontract </w:t>
      </w:r>
      <w:r w:rsidR="00E76F07">
        <w:t>S</w:t>
      </w:r>
      <w:r w:rsidR="00022FC0" w:rsidRPr="003E639B">
        <w:t>uite:</w:t>
      </w:r>
    </w:p>
    <w:p w14:paraId="7679B743" w14:textId="6CE51A24" w:rsidR="00022FC0" w:rsidRPr="002D2966" w:rsidRDefault="1226780E" w:rsidP="000D52B3">
      <w:pPr>
        <w:pStyle w:val="Bulletindent"/>
      </w:pPr>
      <w:r>
        <w:t>T</w:t>
      </w:r>
      <w:r w:rsidR="4D2F66ED" w:rsidRPr="002D2966">
        <w:t>he Principal is an ‘informed and engaged’ client, actively participating in the interrogation of the TOC</w:t>
      </w:r>
      <w:r>
        <w:t>. H</w:t>
      </w:r>
      <w:r w:rsidR="4D2F66ED" w:rsidRPr="002D2966">
        <w:t>owever</w:t>
      </w:r>
      <w:r w:rsidR="347AC524">
        <w:t>,</w:t>
      </w:r>
      <w:r w:rsidR="4D2F66ED" w:rsidRPr="002D2966">
        <w:t xml:space="preserve"> the Principal</w:t>
      </w:r>
      <w:r w:rsidR="00B90EC0">
        <w:t>’</w:t>
      </w:r>
      <w:r w:rsidR="4D2F66ED" w:rsidRPr="002D2966">
        <w:t>s employees are not embedded in the Contractor</w:t>
      </w:r>
      <w:r w:rsidR="00B90EC0">
        <w:t>’</w:t>
      </w:r>
      <w:r w:rsidR="4D2F66ED" w:rsidRPr="002D2966">
        <w:t xml:space="preserve">s delivery team, nor is there joint </w:t>
      </w:r>
      <w:r w:rsidR="42FDC98A">
        <w:t>P</w:t>
      </w:r>
      <w:r w:rsidR="4D2F66ED" w:rsidRPr="002D2966">
        <w:t xml:space="preserve">roject </w:t>
      </w:r>
      <w:r w:rsidR="0E6ED8FD" w:rsidRPr="002D2966">
        <w:t>decision-making</w:t>
      </w:r>
      <w:r>
        <w:t>.</w:t>
      </w:r>
    </w:p>
    <w:p w14:paraId="367886F8" w14:textId="2026FCDB" w:rsidR="00022FC0" w:rsidRPr="002D2966" w:rsidRDefault="00A9563E" w:rsidP="000D52B3">
      <w:pPr>
        <w:pStyle w:val="Bulletindent"/>
      </w:pPr>
      <w:r>
        <w:t>T</w:t>
      </w:r>
      <w:r w:rsidR="00022FC0" w:rsidRPr="002D2966">
        <w:t xml:space="preserve">he Contractor provides the traditional contractual warranties as to fitness for purpose and </w:t>
      </w:r>
      <w:r w:rsidRPr="002D2966">
        <w:t>design and</w:t>
      </w:r>
      <w:r w:rsidR="00022FC0" w:rsidRPr="002D2966">
        <w:t xml:space="preserve"> is responsible for the delivery of the </w:t>
      </w:r>
      <w:r w:rsidR="00BF4437">
        <w:t>P</w:t>
      </w:r>
      <w:r w:rsidR="00022FC0" w:rsidRPr="002D2966">
        <w:t>roject</w:t>
      </w:r>
      <w:r>
        <w:t>.</w:t>
      </w:r>
    </w:p>
    <w:p w14:paraId="48DEABCA" w14:textId="444398A6" w:rsidR="00022FC0" w:rsidRPr="002D2966" w:rsidRDefault="00A9563E" w:rsidP="000D52B3">
      <w:pPr>
        <w:pStyle w:val="Bulletindent"/>
      </w:pPr>
      <w:r>
        <w:t>T</w:t>
      </w:r>
      <w:r w:rsidR="00022FC0" w:rsidRPr="002D2966">
        <w:t xml:space="preserve">he majority of the </w:t>
      </w:r>
      <w:r w:rsidR="00BF4437">
        <w:t>P</w:t>
      </w:r>
      <w:r w:rsidR="00022FC0" w:rsidRPr="002D2966">
        <w:t xml:space="preserve">roject risks are shared between the Contractor and the </w:t>
      </w:r>
      <w:r w:rsidR="00C27FB6">
        <w:t>S</w:t>
      </w:r>
      <w:r w:rsidR="00022FC0" w:rsidRPr="002D2966">
        <w:t xml:space="preserve">tate, with the Contractor incentivised to complete the </w:t>
      </w:r>
      <w:r w:rsidR="00BF4437">
        <w:t>P</w:t>
      </w:r>
      <w:r w:rsidR="00022FC0" w:rsidRPr="002D2966">
        <w:t>roject on time and under the estimated TOC through an alliance style risk or reward performance regime</w:t>
      </w:r>
      <w:r>
        <w:t>.</w:t>
      </w:r>
    </w:p>
    <w:p w14:paraId="21713A1A" w14:textId="094BC46B" w:rsidR="00022FC0" w:rsidRPr="002D2966" w:rsidRDefault="00A9563E" w:rsidP="000D52B3">
      <w:pPr>
        <w:pStyle w:val="Bulletindent"/>
      </w:pPr>
      <w:r>
        <w:t>A</w:t>
      </w:r>
      <w:r w:rsidR="00022FC0" w:rsidRPr="002D2966">
        <w:t xml:space="preserve"> Principal Representative appointed by the Principal administers the contract with a non-binding </w:t>
      </w:r>
      <w:r w:rsidR="00D052BB">
        <w:t>l</w:t>
      </w:r>
      <w:r w:rsidR="00022FC0" w:rsidRPr="002D2966">
        <w:t xml:space="preserve">eadership </w:t>
      </w:r>
      <w:r w:rsidR="00D052BB">
        <w:t>t</w:t>
      </w:r>
      <w:r w:rsidR="00022FC0" w:rsidRPr="002D2966">
        <w:t>eam.</w:t>
      </w:r>
    </w:p>
    <w:p w14:paraId="0FCEC97F" w14:textId="4E94EC78" w:rsidR="00022FC0" w:rsidRDefault="00022FC0" w:rsidP="002E6E1C">
      <w:pPr>
        <w:pStyle w:val="NormalIndent"/>
      </w:pPr>
      <w:r>
        <w:t>Further details on the aspects of the ITC contract model, including risk allocation, are outlined in the ITC</w:t>
      </w:r>
      <w:r w:rsidR="00A91A96">
        <w:t xml:space="preserve"> Contract Suite –</w:t>
      </w:r>
      <w:r>
        <w:t xml:space="preserve"> Commercial Principles</w:t>
      </w:r>
      <w:r w:rsidR="44ABAC22">
        <w:t xml:space="preserve"> available on the</w:t>
      </w:r>
      <w:r w:rsidR="00B74CAB">
        <w:t xml:space="preserve"> </w:t>
      </w:r>
      <w:hyperlink r:id="rId45" w:history="1">
        <w:r w:rsidR="00B74CAB">
          <w:rPr>
            <w:rStyle w:val="Hyperlink"/>
          </w:rPr>
          <w:t>Cost Reimbursable Procurement Category webpage</w:t>
        </w:r>
      </w:hyperlink>
      <w:r>
        <w:t>.</w:t>
      </w:r>
    </w:p>
    <w:p w14:paraId="525E35EE" w14:textId="656E5FE5" w:rsidR="00F72B65" w:rsidRPr="00116579" w:rsidRDefault="465FE462" w:rsidP="002E6E1C">
      <w:pPr>
        <w:pStyle w:val="NormalIndent"/>
      </w:pPr>
      <w:r w:rsidRPr="003E639B">
        <w:t>Throughout the ITC Contract Suite</w:t>
      </w:r>
      <w:r w:rsidR="00BA5FE6">
        <w:t>,</w:t>
      </w:r>
      <w:r w:rsidRPr="003E639B">
        <w:t xml:space="preserve"> there are instances where the </w:t>
      </w:r>
      <w:r w:rsidR="00BA5FE6" w:rsidRPr="003E639B">
        <w:t>Principal</w:t>
      </w:r>
      <w:r w:rsidR="00BA5FE6">
        <w:t>’</w:t>
      </w:r>
      <w:r w:rsidR="00BA5FE6" w:rsidRPr="003E639B">
        <w:t xml:space="preserve">s </w:t>
      </w:r>
      <w:r w:rsidRPr="003E639B">
        <w:t xml:space="preserve">position </w:t>
      </w:r>
      <w:r w:rsidR="00BA5FE6">
        <w:t>is</w:t>
      </w:r>
      <w:r w:rsidRPr="003E639B">
        <w:t xml:space="preserve"> determined on a project</w:t>
      </w:r>
      <w:r w:rsidR="00BA5FE6">
        <w:t>-</w:t>
      </w:r>
      <w:r w:rsidRPr="003E639B">
        <w:t>specific basis.</w:t>
      </w:r>
    </w:p>
    <w:p w14:paraId="0B14BCA5" w14:textId="26BFD2EF" w:rsidR="00022FC0" w:rsidRPr="003E639B" w:rsidRDefault="00022FC0" w:rsidP="002E6E1C">
      <w:pPr>
        <w:pStyle w:val="NormalIndent"/>
      </w:pPr>
      <w:r w:rsidRPr="003E639B">
        <w:t xml:space="preserve">DTF will continue to monitor the market and seek feedback from stakeholders to ensure that the risk allocation in the standard ITC Delivery Deed remains consistent with </w:t>
      </w:r>
      <w:r w:rsidR="00A30879">
        <w:t xml:space="preserve">the </w:t>
      </w:r>
      <w:r w:rsidRPr="003E639B">
        <w:t>Victorian Government’s preferred risk allocation principles and captures any changes or updates within the industry.</w:t>
      </w:r>
    </w:p>
    <w:p w14:paraId="3595BF90" w14:textId="0A1E863E" w:rsidR="00022FC0" w:rsidRPr="003E639B" w:rsidRDefault="00022FC0" w:rsidP="002E6E1C">
      <w:pPr>
        <w:pStyle w:val="NormalIndent"/>
        <w:rPr>
          <w:highlight w:val="yellow"/>
        </w:rPr>
      </w:pPr>
      <w:r>
        <w:t>As an alternative to the ITC</w:t>
      </w:r>
      <w:r w:rsidR="007F25B7">
        <w:t xml:space="preserve"> </w:t>
      </w:r>
      <w:r w:rsidR="00F767A6">
        <w:t>Contract Suite</w:t>
      </w:r>
      <w:r>
        <w:t xml:space="preserve">, DTF has also developed </w:t>
      </w:r>
      <w:r w:rsidR="00F91F7E">
        <w:t>an</w:t>
      </w:r>
      <w:r>
        <w:t xml:space="preserve"> </w:t>
      </w:r>
      <w:r w:rsidR="00892C31">
        <w:t xml:space="preserve">Enhanced Design </w:t>
      </w:r>
      <w:r w:rsidR="00F91F7E">
        <w:t>and</w:t>
      </w:r>
      <w:r w:rsidR="00892C31">
        <w:t xml:space="preserve"> Construct</w:t>
      </w:r>
      <w:r w:rsidR="0050219A">
        <w:t>ion</w:t>
      </w:r>
      <w:r w:rsidR="00892C31">
        <w:t xml:space="preserve"> (D&amp;C) Deed</w:t>
      </w:r>
      <w:r>
        <w:t xml:space="preserve">. Refer to the </w:t>
      </w:r>
      <w:r w:rsidR="00892C31">
        <w:t xml:space="preserve">Enhanced </w:t>
      </w:r>
      <w:r w:rsidR="007D6F15">
        <w:t>D&amp;C</w:t>
      </w:r>
      <w:r w:rsidR="00892C31">
        <w:t xml:space="preserve"> Deed –</w:t>
      </w:r>
      <w:r>
        <w:t xml:space="preserve"> Guidance Notes</w:t>
      </w:r>
      <w:r w:rsidR="4DBA3F09">
        <w:t xml:space="preserve"> available on the</w:t>
      </w:r>
      <w:r w:rsidR="00CB30BD">
        <w:t xml:space="preserve"> </w:t>
      </w:r>
      <w:hyperlink r:id="rId46" w:history="1">
        <w:r w:rsidR="00CB30BD">
          <w:rPr>
            <w:rStyle w:val="Hyperlink"/>
          </w:rPr>
          <w:t>Lump Sum Procurement Category webpage</w:t>
        </w:r>
      </w:hyperlink>
      <w:r w:rsidR="4DBA3F09">
        <w:t>.</w:t>
      </w:r>
    </w:p>
    <w:p w14:paraId="7A84927A" w14:textId="54E57E15" w:rsidR="00A02F1E" w:rsidRDefault="0017408D" w:rsidP="002D2966">
      <w:pPr>
        <w:pStyle w:val="Heading2numbered"/>
      </w:pPr>
      <w:bookmarkStart w:id="121" w:name="_Toc133577863"/>
      <w:bookmarkStart w:id="122" w:name="_Toc145612561"/>
      <w:r>
        <w:t>Procurement process of</w:t>
      </w:r>
      <w:r w:rsidR="00715846">
        <w:t xml:space="preserve"> the</w:t>
      </w:r>
      <w:r>
        <w:t xml:space="preserve"> </w:t>
      </w:r>
      <w:r w:rsidR="420FC1EB">
        <w:t>ITC Contract Suite</w:t>
      </w:r>
      <w:bookmarkEnd w:id="121"/>
      <w:bookmarkEnd w:id="122"/>
    </w:p>
    <w:p w14:paraId="02DD4AA8" w14:textId="0E32C5AD" w:rsidR="00C26930" w:rsidRDefault="3ABB79DE" w:rsidP="0046483C">
      <w:pPr>
        <w:pStyle w:val="NormalIndent"/>
        <w:keepNext/>
        <w:rPr>
          <w:lang w:val="en-GB"/>
        </w:rPr>
      </w:pPr>
      <w:bookmarkStart w:id="123" w:name="_Ref131616826"/>
      <w:r w:rsidRPr="002B40AF">
        <w:rPr>
          <w:lang w:val="en-GB"/>
        </w:rPr>
        <w:t>The</w:t>
      </w:r>
      <w:r w:rsidRPr="002B40AF" w:rsidDel="00657CC1">
        <w:rPr>
          <w:lang w:val="en-GB"/>
        </w:rPr>
        <w:t xml:space="preserve"> </w:t>
      </w:r>
      <w:r w:rsidRPr="002B40AF">
        <w:rPr>
          <w:lang w:val="en-GB"/>
        </w:rPr>
        <w:t>ITC Contract Suite allow</w:t>
      </w:r>
      <w:r w:rsidR="00A9563E">
        <w:rPr>
          <w:lang w:val="en-GB"/>
        </w:rPr>
        <w:t>s</w:t>
      </w:r>
      <w:r w:rsidRPr="002B40AF">
        <w:rPr>
          <w:lang w:val="en-GB"/>
        </w:rPr>
        <w:t xml:space="preserve"> for an </w:t>
      </w:r>
      <w:r w:rsidR="00FA6CBC">
        <w:rPr>
          <w:lang w:val="en-GB"/>
        </w:rPr>
        <w:t>Expression of Interest (</w:t>
      </w:r>
      <w:r w:rsidR="00237531">
        <w:rPr>
          <w:lang w:val="en-GB"/>
        </w:rPr>
        <w:t>EOI</w:t>
      </w:r>
      <w:r w:rsidR="00FA6CBC">
        <w:rPr>
          <w:lang w:val="en-GB"/>
        </w:rPr>
        <w:t>)</w:t>
      </w:r>
      <w:r w:rsidRPr="002B40AF">
        <w:rPr>
          <w:lang w:val="en-GB"/>
        </w:rPr>
        <w:t xml:space="preserve"> </w:t>
      </w:r>
      <w:r w:rsidR="00A9563E">
        <w:rPr>
          <w:lang w:val="en-GB"/>
        </w:rPr>
        <w:t>or</w:t>
      </w:r>
      <w:r w:rsidRPr="002B40AF">
        <w:rPr>
          <w:lang w:val="en-GB"/>
        </w:rPr>
        <w:t xml:space="preserve"> </w:t>
      </w:r>
      <w:r w:rsidR="00FA6CBC">
        <w:rPr>
          <w:lang w:val="en-GB"/>
        </w:rPr>
        <w:t>Request for Proposal (</w:t>
      </w:r>
      <w:r w:rsidR="00237531">
        <w:rPr>
          <w:lang w:val="en-GB"/>
        </w:rPr>
        <w:t>RFP</w:t>
      </w:r>
      <w:r w:rsidR="00FA6CBC">
        <w:rPr>
          <w:lang w:val="en-GB"/>
        </w:rPr>
        <w:t>)</w:t>
      </w:r>
      <w:r w:rsidRPr="002B40AF">
        <w:rPr>
          <w:lang w:val="en-GB"/>
        </w:rPr>
        <w:t xml:space="preserve"> </w:t>
      </w:r>
      <w:r w:rsidR="00D052BB">
        <w:rPr>
          <w:lang w:val="en-GB"/>
        </w:rPr>
        <w:t>(</w:t>
      </w:r>
      <w:r w:rsidR="00A9563E">
        <w:rPr>
          <w:lang w:val="en-GB"/>
        </w:rPr>
        <w:t>or both</w:t>
      </w:r>
      <w:r w:rsidR="00D052BB">
        <w:rPr>
          <w:lang w:val="en-GB"/>
        </w:rPr>
        <w:t>)</w:t>
      </w:r>
      <w:r w:rsidR="00A9563E">
        <w:rPr>
          <w:lang w:val="en-GB"/>
        </w:rPr>
        <w:t xml:space="preserve"> </w:t>
      </w:r>
      <w:r w:rsidRPr="002B40AF">
        <w:rPr>
          <w:lang w:val="en-GB"/>
        </w:rPr>
        <w:t xml:space="preserve">to occur prior to the Development </w:t>
      </w:r>
      <w:r>
        <w:rPr>
          <w:lang w:val="en-GB"/>
        </w:rPr>
        <w:t>P</w:t>
      </w:r>
      <w:r w:rsidRPr="002B40AF">
        <w:rPr>
          <w:lang w:val="en-GB"/>
        </w:rPr>
        <w:t>hase to determine which Respondent</w:t>
      </w:r>
      <w:r w:rsidR="00BE175F">
        <w:rPr>
          <w:lang w:val="en-GB"/>
        </w:rPr>
        <w:t>(</w:t>
      </w:r>
      <w:r w:rsidRPr="002B40AF">
        <w:rPr>
          <w:lang w:val="en-GB"/>
        </w:rPr>
        <w:t>s</w:t>
      </w:r>
      <w:r w:rsidR="00BE175F">
        <w:rPr>
          <w:lang w:val="en-GB"/>
        </w:rPr>
        <w:t>)</w:t>
      </w:r>
      <w:r w:rsidRPr="002B40AF">
        <w:rPr>
          <w:lang w:val="en-GB"/>
        </w:rPr>
        <w:t xml:space="preserve"> best meet the Principal’s requirements for the </w:t>
      </w:r>
      <w:r w:rsidR="00F91F7E">
        <w:rPr>
          <w:lang w:val="en-GB"/>
        </w:rPr>
        <w:t>P</w:t>
      </w:r>
      <w:r w:rsidRPr="002B40AF">
        <w:rPr>
          <w:lang w:val="en-GB"/>
        </w:rPr>
        <w:t xml:space="preserve">roject. </w:t>
      </w:r>
      <w:r w:rsidR="00886228">
        <w:rPr>
          <w:lang w:val="en-GB"/>
        </w:rPr>
        <w:t>The</w:t>
      </w:r>
      <w:r w:rsidRPr="002B40AF" w:rsidDel="00886228">
        <w:rPr>
          <w:lang w:val="en-GB"/>
        </w:rPr>
        <w:t xml:space="preserve"> </w:t>
      </w:r>
      <w:r w:rsidRPr="002B40AF">
        <w:rPr>
          <w:lang w:val="en-GB"/>
        </w:rPr>
        <w:t>Shortli</w:t>
      </w:r>
      <w:r w:rsidRPr="003E639B">
        <w:rPr>
          <w:lang w:val="en-GB"/>
        </w:rPr>
        <w:t>sted Respondent</w:t>
      </w:r>
      <w:r w:rsidR="004931E2">
        <w:rPr>
          <w:lang w:val="en-GB"/>
        </w:rPr>
        <w:t>(s)</w:t>
      </w:r>
      <w:r w:rsidRPr="003E639B">
        <w:rPr>
          <w:lang w:val="en-GB"/>
        </w:rPr>
        <w:t xml:space="preserve"> then proceed</w:t>
      </w:r>
      <w:r w:rsidR="00886228">
        <w:rPr>
          <w:lang w:val="en-GB"/>
        </w:rPr>
        <w:t>s</w:t>
      </w:r>
      <w:r w:rsidRPr="003E639B">
        <w:rPr>
          <w:lang w:val="en-GB"/>
        </w:rPr>
        <w:t xml:space="preserve"> to the Development </w:t>
      </w:r>
      <w:r>
        <w:rPr>
          <w:lang w:val="en-GB"/>
        </w:rPr>
        <w:t>P</w:t>
      </w:r>
      <w:r w:rsidRPr="003E639B">
        <w:rPr>
          <w:lang w:val="en-GB"/>
        </w:rPr>
        <w:t xml:space="preserve">hase to develop a Delivery </w:t>
      </w:r>
      <w:r>
        <w:rPr>
          <w:lang w:val="en-GB"/>
        </w:rPr>
        <w:t>P</w:t>
      </w:r>
      <w:r w:rsidRPr="003E639B">
        <w:rPr>
          <w:lang w:val="en-GB"/>
        </w:rPr>
        <w:t xml:space="preserve">hase </w:t>
      </w:r>
      <w:r>
        <w:rPr>
          <w:lang w:val="en-GB"/>
        </w:rPr>
        <w:t>O</w:t>
      </w:r>
      <w:r w:rsidRPr="003E639B">
        <w:rPr>
          <w:lang w:val="en-GB"/>
        </w:rPr>
        <w:t>ffer</w:t>
      </w:r>
      <w:r w:rsidR="007135BB">
        <w:rPr>
          <w:lang w:val="en-GB"/>
        </w:rPr>
        <w:t>,</w:t>
      </w:r>
      <w:r w:rsidRPr="003E639B">
        <w:rPr>
          <w:lang w:val="en-GB"/>
        </w:rPr>
        <w:t xml:space="preserve"> including the </w:t>
      </w:r>
      <w:r w:rsidR="00BC5472">
        <w:rPr>
          <w:lang w:val="en-GB"/>
        </w:rPr>
        <w:t>TOC</w:t>
      </w:r>
      <w:r w:rsidRPr="003E639B">
        <w:rPr>
          <w:lang w:val="en-GB"/>
        </w:rPr>
        <w:t>. One Respondent then proceeds to the Delivery</w:t>
      </w:r>
      <w:r>
        <w:rPr>
          <w:lang w:val="en-GB"/>
        </w:rPr>
        <w:t xml:space="preserve"> P</w:t>
      </w:r>
      <w:r w:rsidRPr="003E639B">
        <w:rPr>
          <w:lang w:val="en-GB"/>
        </w:rPr>
        <w:t xml:space="preserve">hase if their Delivery </w:t>
      </w:r>
      <w:r>
        <w:rPr>
          <w:lang w:val="en-GB"/>
        </w:rPr>
        <w:t>P</w:t>
      </w:r>
      <w:r w:rsidRPr="003E639B">
        <w:rPr>
          <w:lang w:val="en-GB"/>
        </w:rPr>
        <w:t xml:space="preserve">hase </w:t>
      </w:r>
      <w:r>
        <w:rPr>
          <w:lang w:val="en-GB"/>
        </w:rPr>
        <w:t>O</w:t>
      </w:r>
      <w:r w:rsidRPr="003E639B">
        <w:rPr>
          <w:lang w:val="en-GB"/>
        </w:rPr>
        <w:t xml:space="preserve">ffer is accepted by the Principal. The key steps in the procurement process are shown below in </w:t>
      </w:r>
      <w:r w:rsidR="00C26930" w:rsidRPr="00116579">
        <w:rPr>
          <w:lang w:val="en-GB"/>
        </w:rPr>
        <w:fldChar w:fldCharType="begin" w:fldLock="1"/>
      </w:r>
      <w:r w:rsidR="00C26930" w:rsidRPr="003E639B">
        <w:rPr>
          <w:lang w:val="en-GB"/>
        </w:rPr>
        <w:instrText xml:space="preserve"> REF _Ref129283618 \h </w:instrText>
      </w:r>
      <w:r w:rsidR="002D2966">
        <w:rPr>
          <w:lang w:val="en-GB"/>
        </w:rPr>
        <w:instrText xml:space="preserve"> \* MERGEFORMAT </w:instrText>
      </w:r>
      <w:r w:rsidR="00C26930" w:rsidRPr="00116579">
        <w:rPr>
          <w:lang w:val="en-GB"/>
        </w:rPr>
      </w:r>
      <w:r w:rsidR="00C26930" w:rsidRPr="00116579">
        <w:rPr>
          <w:lang w:val="en-GB"/>
        </w:rPr>
        <w:fldChar w:fldCharType="separate"/>
      </w:r>
      <w:r w:rsidR="00400321" w:rsidRPr="002D2966">
        <w:t xml:space="preserve">Figure </w:t>
      </w:r>
      <w:r w:rsidR="00400321">
        <w:rPr>
          <w:noProof/>
        </w:rPr>
        <w:t>3</w:t>
      </w:r>
      <w:r w:rsidR="00C26930" w:rsidRPr="00116579">
        <w:rPr>
          <w:lang w:val="en-GB"/>
        </w:rPr>
        <w:fldChar w:fldCharType="end"/>
      </w:r>
      <w:r w:rsidRPr="002B40AF">
        <w:rPr>
          <w:lang w:val="en-GB"/>
        </w:rPr>
        <w:t>.</w:t>
      </w:r>
    </w:p>
    <w:p w14:paraId="0E6B91B9" w14:textId="53A6D96C" w:rsidR="00C26930" w:rsidRPr="002D2966" w:rsidRDefault="00C26930" w:rsidP="00BA17E2">
      <w:pPr>
        <w:pStyle w:val="Captionindent"/>
      </w:pPr>
      <w:bookmarkStart w:id="124" w:name="_Ref129283618"/>
      <w:bookmarkEnd w:id="123"/>
      <w:r w:rsidRPr="002D2966">
        <w:t xml:space="preserve">Figure </w:t>
      </w:r>
      <w:r w:rsidRPr="002D2966">
        <w:fldChar w:fldCharType="begin"/>
      </w:r>
      <w:r w:rsidRPr="002D2966">
        <w:instrText>SEQ Figure \* ARABIC</w:instrText>
      </w:r>
      <w:r w:rsidRPr="002D2966">
        <w:fldChar w:fldCharType="separate"/>
      </w:r>
      <w:r w:rsidR="00131EE1">
        <w:rPr>
          <w:noProof/>
        </w:rPr>
        <w:t>3</w:t>
      </w:r>
      <w:r w:rsidRPr="002D2966">
        <w:fldChar w:fldCharType="end"/>
      </w:r>
      <w:bookmarkEnd w:id="124"/>
      <w:r w:rsidRPr="002D2966">
        <w:t xml:space="preserve"> </w:t>
      </w:r>
      <w:r w:rsidR="00265A47">
        <w:t>–</w:t>
      </w:r>
      <w:r w:rsidRPr="002D2966">
        <w:t xml:space="preserve"> Key steps in the ITC Contract Suite procurement process</w:t>
      </w:r>
    </w:p>
    <w:p w14:paraId="2E4AD89D" w14:textId="56C29C37" w:rsidR="0028460B" w:rsidRDefault="008C200D" w:rsidP="0005402F">
      <w:pPr>
        <w:pStyle w:val="NormalIndent"/>
      </w:pPr>
      <w:r w:rsidRPr="008C200D">
        <w:rPr>
          <w:noProof/>
        </w:rPr>
        <w:drawing>
          <wp:inline distT="0" distB="0" distL="0" distR="0" wp14:anchorId="02EFCAB8" wp14:editId="3A517055">
            <wp:extent cx="5198400" cy="2858371"/>
            <wp:effectExtent l="0" t="0" r="2540" b="0"/>
            <wp:docPr id="2" name="Picture 2" descr="Figure details the 4 key steps to the DTF ITC Contract Suite procurement process: Step 1. EOI (Optional), Step 2. RFP Phase, Step 3. Development Phase and Step 4. Delivery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details the 4 key steps to the DTF ITC Contract Suite procurement process: Step 1. EOI (Optional), Step 2. RFP Phase, Step 3. Development Phase and Step 4. Delivery Phase."/>
                    <pic:cNvPicPr/>
                  </pic:nvPicPr>
                  <pic:blipFill>
                    <a:blip r:embed="rId47">
                      <a:extLst>
                        <a:ext uri="{96DAC541-7B7A-43D3-8B79-37D633B846F1}">
                          <asvg:svgBlip xmlns:asvg="http://schemas.microsoft.com/office/drawing/2016/SVG/main" r:embed="rId48"/>
                        </a:ext>
                      </a:extLst>
                    </a:blip>
                    <a:stretch>
                      <a:fillRect/>
                    </a:stretch>
                  </pic:blipFill>
                  <pic:spPr>
                    <a:xfrm>
                      <a:off x="0" y="0"/>
                      <a:ext cx="5204558" cy="2861757"/>
                    </a:xfrm>
                    <a:prstGeom prst="rect">
                      <a:avLst/>
                    </a:prstGeom>
                  </pic:spPr>
                </pic:pic>
              </a:graphicData>
            </a:graphic>
          </wp:inline>
        </w:drawing>
      </w:r>
    </w:p>
    <w:p w14:paraId="6742DF02" w14:textId="033CBF2C" w:rsidR="00C26930" w:rsidRPr="00135C1B" w:rsidRDefault="00C26930" w:rsidP="00D56CF5">
      <w:pPr>
        <w:pStyle w:val="NoteNormalindent"/>
        <w:rPr>
          <w:rFonts w:eastAsia="Calibri"/>
        </w:rPr>
      </w:pPr>
      <w:r w:rsidRPr="00135C1B">
        <w:rPr>
          <w:rFonts w:eastAsia="Arial"/>
        </w:rPr>
        <w:t xml:space="preserve">* </w:t>
      </w:r>
      <w:r w:rsidRPr="00135C1B">
        <w:rPr>
          <w:rFonts w:eastAsia="Calibri"/>
        </w:rPr>
        <w:t>The procurement approach may involve an EOI and an RFP process, or an RFP process only</w:t>
      </w:r>
      <w:r w:rsidR="001258B0">
        <w:rPr>
          <w:rFonts w:eastAsia="Calibri"/>
        </w:rPr>
        <w:t>,</w:t>
      </w:r>
      <w:r w:rsidRPr="00135C1B">
        <w:rPr>
          <w:rFonts w:eastAsia="Calibri"/>
        </w:rPr>
        <w:t xml:space="preserve"> in accordance with existing DTF infrastructure procurement guidance. There may also be approaches where the Development Phase occurs within a traditional RFP process.</w:t>
      </w:r>
    </w:p>
    <w:p w14:paraId="2ED6D5B6" w14:textId="77777777" w:rsidR="00935199" w:rsidRDefault="00935199" w:rsidP="002D2966">
      <w:pPr>
        <w:pStyle w:val="Heading3numbered"/>
      </w:pPr>
      <w:r>
        <w:t>Procurement process</w:t>
      </w:r>
    </w:p>
    <w:p w14:paraId="02D172B9" w14:textId="4F269AB9" w:rsidR="00935199" w:rsidRDefault="04131239" w:rsidP="002E6E1C">
      <w:pPr>
        <w:pStyle w:val="NormalIndent"/>
      </w:pPr>
      <w:r>
        <w:t xml:space="preserve">The procurement process for a </w:t>
      </w:r>
      <w:r w:rsidR="00B73603">
        <w:t>P</w:t>
      </w:r>
      <w:r>
        <w:t>roject should be determined in consultation with the DTF in accordance with the HVHR</w:t>
      </w:r>
      <w:r w:rsidR="0084287A">
        <w:t xml:space="preserve"> Project Assurance</w:t>
      </w:r>
      <w:r>
        <w:t xml:space="preserve"> Framework. It</w:t>
      </w:r>
      <w:r w:rsidDel="00EC18B7">
        <w:t xml:space="preserve"> </w:t>
      </w:r>
      <w:r>
        <w:t>consist</w:t>
      </w:r>
      <w:r w:rsidR="00EC18B7">
        <w:t>s</w:t>
      </w:r>
      <w:r>
        <w:t xml:space="preserve"> of an RFP and</w:t>
      </w:r>
      <w:r w:rsidR="5C6C81CB">
        <w:t xml:space="preserve"> –</w:t>
      </w:r>
      <w:r>
        <w:t xml:space="preserve"> if the procuring agency and DTF determine it is necessary</w:t>
      </w:r>
      <w:r w:rsidR="5C6C81CB">
        <w:t xml:space="preserve"> –</w:t>
      </w:r>
      <w:r>
        <w:t xml:space="preserve"> an Invitation for EOI. See section</w:t>
      </w:r>
      <w:r w:rsidR="005424DD">
        <w:t xml:space="preserve"> </w:t>
      </w:r>
      <w:r w:rsidR="00B8082B">
        <w:fldChar w:fldCharType="begin" w:fldLock="1"/>
      </w:r>
      <w:r w:rsidR="00B8082B">
        <w:instrText xml:space="preserve"> REF _Ref144735326 \n \h </w:instrText>
      </w:r>
      <w:r w:rsidR="00B8082B">
        <w:fldChar w:fldCharType="separate"/>
      </w:r>
      <w:r w:rsidR="00400321">
        <w:t>1.4.2</w:t>
      </w:r>
      <w:r w:rsidR="00B8082B">
        <w:fldChar w:fldCharType="end"/>
      </w:r>
      <w:r>
        <w:t xml:space="preserve"> below for guidance regarding the need to incorporate an Invitation for EOI process into the procurement process.</w:t>
      </w:r>
    </w:p>
    <w:p w14:paraId="382AE140" w14:textId="112D7FD3" w:rsidR="00935199" w:rsidRDefault="00935199" w:rsidP="002D2966">
      <w:pPr>
        <w:pStyle w:val="Heading3numbered"/>
      </w:pPr>
      <w:bookmarkStart w:id="125" w:name="_Ref144735326"/>
      <w:r>
        <w:t>Requirement for an Invitation for EOI</w:t>
      </w:r>
      <w:bookmarkEnd w:id="125"/>
    </w:p>
    <w:p w14:paraId="60101703" w14:textId="60046CC4" w:rsidR="00935199" w:rsidRPr="002D2966" w:rsidRDefault="04131239" w:rsidP="0046483C">
      <w:pPr>
        <w:pStyle w:val="NormalIndent"/>
        <w:keepNext/>
      </w:pPr>
      <w:r w:rsidRPr="002D2966">
        <w:t xml:space="preserve">Whether the </w:t>
      </w:r>
      <w:r w:rsidR="5C6C81CB">
        <w:t>p</w:t>
      </w:r>
      <w:r w:rsidRPr="002D2966">
        <w:t xml:space="preserve">rocurement </w:t>
      </w:r>
      <w:r w:rsidR="5C6C81CB">
        <w:t>p</w:t>
      </w:r>
      <w:r w:rsidRPr="002D2966">
        <w:t xml:space="preserve">rocess for a </w:t>
      </w:r>
      <w:r w:rsidR="00B73603">
        <w:t>P</w:t>
      </w:r>
      <w:r w:rsidRPr="002D2966">
        <w:t>roject</w:t>
      </w:r>
      <w:r w:rsidRPr="002D2966" w:rsidDel="00417E56">
        <w:t xml:space="preserve"> </w:t>
      </w:r>
      <w:r w:rsidRPr="002D2966">
        <w:t>require</w:t>
      </w:r>
      <w:r w:rsidR="00417E56">
        <w:t>s</w:t>
      </w:r>
      <w:r w:rsidRPr="002D2966">
        <w:t xml:space="preserve"> both an Invitation for EOI and RFP is determined by the procuring agency on a project</w:t>
      </w:r>
      <w:r w:rsidR="00FD3C08">
        <w:t>-</w:t>
      </w:r>
      <w:r w:rsidR="05A92CB7">
        <w:t>specific</w:t>
      </w:r>
      <w:r w:rsidRPr="002D2966">
        <w:t xml:space="preserve"> basis, having regard to the nature of the Works and the value of the </w:t>
      </w:r>
      <w:r w:rsidR="00B73603">
        <w:t>P</w:t>
      </w:r>
      <w:r w:rsidRPr="002D2966">
        <w:t>roject.</w:t>
      </w:r>
    </w:p>
    <w:p w14:paraId="644FB8DC" w14:textId="16FF8CA2" w:rsidR="00935199" w:rsidRPr="002D2966" w:rsidRDefault="00935199" w:rsidP="002E6E1C">
      <w:pPr>
        <w:pStyle w:val="NormalIndent"/>
      </w:pPr>
      <w:r w:rsidRPr="002D2966">
        <w:t xml:space="preserve">For some projects, only an RFP </w:t>
      </w:r>
      <w:r w:rsidR="00FD3C08">
        <w:t>is</w:t>
      </w:r>
      <w:r w:rsidRPr="002D2966">
        <w:t xml:space="preserve"> required</w:t>
      </w:r>
      <w:r w:rsidR="00237531">
        <w:t>.</w:t>
      </w:r>
      <w:r w:rsidRPr="002D2966">
        <w:t xml:space="preserve"> </w:t>
      </w:r>
      <w:r w:rsidR="00237531">
        <w:t>M</w:t>
      </w:r>
      <w:r w:rsidRPr="002D2966">
        <w:t xml:space="preserve">ore complex </w:t>
      </w:r>
      <w:r w:rsidR="00237531">
        <w:t>or</w:t>
      </w:r>
      <w:r w:rsidRPr="002D2966">
        <w:t xml:space="preserve"> high</w:t>
      </w:r>
      <w:r w:rsidR="00237531">
        <w:t>er</w:t>
      </w:r>
      <w:r w:rsidRPr="002D2966">
        <w:t xml:space="preserve"> value projects may warrant an Invitation for EOI to gauge market interest </w:t>
      </w:r>
      <w:r w:rsidR="00237531">
        <w:t>and</w:t>
      </w:r>
      <w:r w:rsidRPr="002D2966">
        <w:t xml:space="preserve"> </w:t>
      </w:r>
      <w:r w:rsidR="00237531">
        <w:t>allow the procuring agency to gain</w:t>
      </w:r>
      <w:r w:rsidR="00237531" w:rsidRPr="002D2966">
        <w:t xml:space="preserve"> </w:t>
      </w:r>
      <w:r w:rsidRPr="002D2966">
        <w:t>feedback on its proposed approach from the private sector before proceeding to an RFP phase.</w:t>
      </w:r>
    </w:p>
    <w:p w14:paraId="6173C9E7" w14:textId="41C4F13D" w:rsidR="00935199" w:rsidRDefault="00935199" w:rsidP="002D2966">
      <w:pPr>
        <w:pStyle w:val="Heading3numbered"/>
      </w:pPr>
      <w:bookmarkStart w:id="126" w:name="_Ref144735420"/>
      <w:r>
        <w:t xml:space="preserve">RFP </w:t>
      </w:r>
      <w:r w:rsidR="00837BED">
        <w:t>p</w:t>
      </w:r>
      <w:r>
        <w:t xml:space="preserve">hase and the submission of </w:t>
      </w:r>
      <w:r w:rsidR="00FB70DE">
        <w:t>P</w:t>
      </w:r>
      <w:r>
        <w:t xml:space="preserve">roject </w:t>
      </w:r>
      <w:bookmarkEnd w:id="126"/>
      <w:r w:rsidR="000A3232">
        <w:t>p</w:t>
      </w:r>
      <w:r>
        <w:t>roposals</w:t>
      </w:r>
    </w:p>
    <w:p w14:paraId="32159808" w14:textId="31302DD1" w:rsidR="00935199" w:rsidRDefault="00935199" w:rsidP="002E6E1C">
      <w:pPr>
        <w:pStyle w:val="NormalIndent"/>
      </w:pPr>
      <w:r w:rsidRPr="781864CB">
        <w:t>The RFP request</w:t>
      </w:r>
      <w:r w:rsidR="005A6106">
        <w:t>s</w:t>
      </w:r>
      <w:r w:rsidRPr="781864CB">
        <w:t xml:space="preserve"> </w:t>
      </w:r>
      <w:r>
        <w:t>R</w:t>
      </w:r>
      <w:r w:rsidRPr="781864CB">
        <w:t>espondents to develop</w:t>
      </w:r>
      <w:r>
        <w:t xml:space="preserve"> and submit</w:t>
      </w:r>
      <w:r w:rsidRPr="781864CB">
        <w:t xml:space="preserve"> </w:t>
      </w:r>
      <w:r w:rsidR="00FB70DE">
        <w:t>P</w:t>
      </w:r>
      <w:r w:rsidRPr="781864CB">
        <w:t xml:space="preserve">roject </w:t>
      </w:r>
      <w:r w:rsidR="000A3232">
        <w:t>p</w:t>
      </w:r>
      <w:r>
        <w:t>roposals</w:t>
      </w:r>
      <w:r w:rsidRPr="781864CB">
        <w:t xml:space="preserve"> for carrying out the </w:t>
      </w:r>
      <w:r>
        <w:t>specified</w:t>
      </w:r>
      <w:r w:rsidRPr="781864CB">
        <w:t xml:space="preserve"> Development Phase Services, and potentially Early Delivery Activities, under an ITC </w:t>
      </w:r>
      <w:r w:rsidR="00ED6C21">
        <w:t>Development Deed</w:t>
      </w:r>
      <w:r w:rsidRPr="781864CB">
        <w:t>. The RFP</w:t>
      </w:r>
      <w:r w:rsidRPr="781864CB" w:rsidDel="00547761">
        <w:t xml:space="preserve"> </w:t>
      </w:r>
      <w:r w:rsidRPr="781864CB">
        <w:t>inform</w:t>
      </w:r>
      <w:r w:rsidR="00547761">
        <w:t>s</w:t>
      </w:r>
      <w:r w:rsidRPr="781864CB">
        <w:t xml:space="preserve"> </w:t>
      </w:r>
      <w:r>
        <w:t>R</w:t>
      </w:r>
      <w:r w:rsidRPr="781864CB">
        <w:t>espondents about the scope of Development Phase Services and any Early Delivery Activities, outline</w:t>
      </w:r>
      <w:r w:rsidR="00572BDE">
        <w:t>s</w:t>
      </w:r>
      <w:r w:rsidRPr="781864CB">
        <w:t xml:space="preserve"> indicative timelines</w:t>
      </w:r>
      <w:r w:rsidR="00931F96">
        <w:rPr>
          <w:rFonts w:hint="eastAsia"/>
        </w:rPr>
        <w:t xml:space="preserve"> and</w:t>
      </w:r>
      <w:r w:rsidRPr="781864CB">
        <w:t xml:space="preserve"> set</w:t>
      </w:r>
      <w:r w:rsidR="00572BDE">
        <w:t>s</w:t>
      </w:r>
      <w:r w:rsidRPr="781864CB">
        <w:t xml:space="preserve"> out what information is required from </w:t>
      </w:r>
      <w:r>
        <w:t>R</w:t>
      </w:r>
      <w:r w:rsidRPr="781864CB">
        <w:t>espondents</w:t>
      </w:r>
      <w:r>
        <w:t xml:space="preserve"> as part of their </w:t>
      </w:r>
      <w:r w:rsidR="00FB70DE">
        <w:t>P</w:t>
      </w:r>
      <w:r>
        <w:t xml:space="preserve">roject </w:t>
      </w:r>
      <w:r w:rsidR="000A3232">
        <w:t>p</w:t>
      </w:r>
      <w:r>
        <w:t>roposals</w:t>
      </w:r>
      <w:r w:rsidRPr="781864CB">
        <w:t>.</w:t>
      </w:r>
    </w:p>
    <w:p w14:paraId="01764114" w14:textId="64B07D03" w:rsidR="00935199" w:rsidRDefault="00935199" w:rsidP="002E6E1C">
      <w:pPr>
        <w:pStyle w:val="NormalIndent"/>
      </w:pPr>
      <w:r w:rsidRPr="781864CB">
        <w:t xml:space="preserve">If </w:t>
      </w:r>
      <w:r>
        <w:t xml:space="preserve">more than one Shortlisted Respondent </w:t>
      </w:r>
      <w:r w:rsidR="004E7FF7">
        <w:t>are</w:t>
      </w:r>
      <w:r>
        <w:t xml:space="preserve"> engaged under separate ITC </w:t>
      </w:r>
      <w:r w:rsidR="00ED6C21">
        <w:t>Development Deed</w:t>
      </w:r>
      <w:r>
        <w:t xml:space="preserve">s to undertake </w:t>
      </w:r>
      <w:r w:rsidRPr="781864CB">
        <w:t xml:space="preserve">Development Phase Services and are competing to secure the Delivery Phase </w:t>
      </w:r>
      <w:r>
        <w:t>Activities</w:t>
      </w:r>
      <w:r w:rsidRPr="781864CB">
        <w:t xml:space="preserve">, care should be taken to consider whether it is appropriate for Early Delivery Activities to be awarded to a </w:t>
      </w:r>
      <w:r>
        <w:t>Shortlisted Respondent</w:t>
      </w:r>
      <w:r w:rsidRPr="781864CB">
        <w:t xml:space="preserve"> through the </w:t>
      </w:r>
      <w:r>
        <w:t xml:space="preserve">relevant </w:t>
      </w:r>
      <w:r w:rsidRPr="781864CB">
        <w:t xml:space="preserve">ITC </w:t>
      </w:r>
      <w:r w:rsidR="00ED6C21">
        <w:t>Development Deed</w:t>
      </w:r>
      <w:r w:rsidRPr="781864CB">
        <w:t xml:space="preserve"> or </w:t>
      </w:r>
      <w:r w:rsidR="00EA3400">
        <w:t xml:space="preserve">through </w:t>
      </w:r>
      <w:r w:rsidRPr="781864CB">
        <w:t xml:space="preserve">a separate arrangement. </w:t>
      </w:r>
      <w:r>
        <w:t xml:space="preserve">As an alternative, </w:t>
      </w:r>
      <w:r w:rsidRPr="781864CB">
        <w:t>a separate arrangement with a party not involved in the ITC Development Phase</w:t>
      </w:r>
      <w:r>
        <w:t xml:space="preserve"> could be used for the delivery of the relevant Early Delivery Activities</w:t>
      </w:r>
      <w:r w:rsidRPr="781864CB">
        <w:t>.</w:t>
      </w:r>
    </w:p>
    <w:p w14:paraId="30AB4B66" w14:textId="01610914" w:rsidR="00935199" w:rsidRDefault="00EA3400" w:rsidP="002E6E1C">
      <w:pPr>
        <w:pStyle w:val="NormalIndent"/>
      </w:pPr>
      <w:r>
        <w:t xml:space="preserve">Evaluation criteria for </w:t>
      </w:r>
      <w:r w:rsidR="00FB70DE">
        <w:t>P</w:t>
      </w:r>
      <w:r>
        <w:t xml:space="preserve">roject </w:t>
      </w:r>
      <w:r w:rsidR="00AE5199">
        <w:t>p</w:t>
      </w:r>
      <w:r>
        <w:t>roposals include</w:t>
      </w:r>
      <w:r w:rsidR="00935199">
        <w:t>:</w:t>
      </w:r>
    </w:p>
    <w:p w14:paraId="36784533" w14:textId="38D066FC" w:rsidR="00935199" w:rsidRPr="00307B9C" w:rsidRDefault="00F8352B" w:rsidP="000D52B3">
      <w:pPr>
        <w:pStyle w:val="Bulletindent"/>
      </w:pPr>
      <w:r>
        <w:t>c</w:t>
      </w:r>
      <w:r w:rsidR="00935199">
        <w:t>apability and past performance through a demonstrated track record of successful delivery of a project of a similar project scope</w:t>
      </w:r>
      <w:r w:rsidR="008D79AA">
        <w:t>;</w:t>
      </w:r>
    </w:p>
    <w:p w14:paraId="3F037CE6" w14:textId="78DA7BFD" w:rsidR="00935199" w:rsidRPr="00BE64B5" w:rsidRDefault="0025119C" w:rsidP="000D52B3">
      <w:pPr>
        <w:pStyle w:val="Bulletindent"/>
        <w:rPr>
          <w:rFonts w:ascii="VIC" w:hAnsi="VIC"/>
        </w:rPr>
      </w:pPr>
      <w:r>
        <w:t>c</w:t>
      </w:r>
      <w:r w:rsidR="00935199">
        <w:t xml:space="preserve">apacity to undertake the </w:t>
      </w:r>
      <w:r w:rsidR="00FF6855">
        <w:t>P</w:t>
      </w:r>
      <w:r w:rsidR="00935199">
        <w:t>roject</w:t>
      </w:r>
      <w:r w:rsidR="007672B7">
        <w:t>,</w:t>
      </w:r>
      <w:r w:rsidR="00935199">
        <w:t xml:space="preserve"> given </w:t>
      </w:r>
      <w:r w:rsidR="4684C748">
        <w:t>any</w:t>
      </w:r>
      <w:r w:rsidR="00935199">
        <w:t xml:space="preserve"> commitment to other projects</w:t>
      </w:r>
      <w:r w:rsidR="007672B7">
        <w:t>;</w:t>
      </w:r>
    </w:p>
    <w:p w14:paraId="03DB4ABE" w14:textId="6732F148" w:rsidR="00935199" w:rsidRPr="00307B9C" w:rsidRDefault="00617196" w:rsidP="000D52B3">
      <w:pPr>
        <w:pStyle w:val="Bulletindent"/>
      </w:pPr>
      <w:r>
        <w:t>f</w:t>
      </w:r>
      <w:r w:rsidR="00935199">
        <w:t>ee estimate for the Development Phase Services</w:t>
      </w:r>
      <w:r w:rsidR="007672B7">
        <w:t>;</w:t>
      </w:r>
    </w:p>
    <w:p w14:paraId="0ECEFD92" w14:textId="3AE64FEE" w:rsidR="00935199" w:rsidRPr="007913BE" w:rsidRDefault="0C0BFE75" w:rsidP="000D52B3">
      <w:pPr>
        <w:pStyle w:val="Bulletindent"/>
      </w:pPr>
      <w:r>
        <w:t>adherence to k</w:t>
      </w:r>
      <w:r w:rsidR="04131239" w:rsidRPr="007913BE">
        <w:t xml:space="preserve">ey commercial principles for </w:t>
      </w:r>
      <w:r w:rsidR="04131239">
        <w:t xml:space="preserve">the </w:t>
      </w:r>
      <w:r w:rsidR="04131239" w:rsidRPr="007913BE">
        <w:t>Delivery Phase Services</w:t>
      </w:r>
      <w:r w:rsidR="04131239">
        <w:t>,</w:t>
      </w:r>
      <w:r w:rsidR="04131239" w:rsidRPr="007913BE">
        <w:t xml:space="preserve"> </w:t>
      </w:r>
      <w:r>
        <w:t xml:space="preserve">which include </w:t>
      </w:r>
      <w:r w:rsidR="04131239" w:rsidRPr="007913BE">
        <w:t xml:space="preserve">expected </w:t>
      </w:r>
      <w:r w:rsidR="04131239">
        <w:t>Development Phase Services</w:t>
      </w:r>
      <w:r w:rsidR="22686B29">
        <w:t>,</w:t>
      </w:r>
      <w:r w:rsidR="04131239">
        <w:t xml:space="preserve"> </w:t>
      </w:r>
      <w:r w:rsidR="58C961C4">
        <w:t>COP</w:t>
      </w:r>
      <w:r w:rsidR="04131239" w:rsidRPr="007913BE">
        <w:t xml:space="preserve"> and </w:t>
      </w:r>
      <w:r w:rsidR="00417D4F">
        <w:t>R</w:t>
      </w:r>
      <w:r w:rsidR="04131239" w:rsidRPr="007913BE">
        <w:t xml:space="preserve">eimbursable </w:t>
      </w:r>
      <w:r w:rsidR="00417D4F">
        <w:t>C</w:t>
      </w:r>
      <w:r w:rsidR="04131239" w:rsidRPr="007913BE">
        <w:t xml:space="preserve">ost </w:t>
      </w:r>
      <w:r w:rsidR="00417D4F">
        <w:t>M</w:t>
      </w:r>
      <w:r w:rsidR="04131239" w:rsidRPr="007913BE">
        <w:t xml:space="preserve">ultipliers for </w:t>
      </w:r>
      <w:r w:rsidR="04131239">
        <w:t>Non</w:t>
      </w:r>
      <w:r w:rsidR="007672B7">
        <w:t>-</w:t>
      </w:r>
      <w:r w:rsidR="04131239">
        <w:t>W</w:t>
      </w:r>
      <w:r w:rsidR="04131239" w:rsidRPr="007913BE">
        <w:t xml:space="preserve">ages </w:t>
      </w:r>
      <w:r w:rsidR="04131239">
        <w:t>P</w:t>
      </w:r>
      <w:r w:rsidR="04131239" w:rsidRPr="007913BE">
        <w:t>ersonnel</w:t>
      </w:r>
      <w:r w:rsidR="00C078C8">
        <w:t>; and</w:t>
      </w:r>
    </w:p>
    <w:p w14:paraId="35E27367" w14:textId="640D94F7" w:rsidR="00935199" w:rsidRPr="007913BE" w:rsidRDefault="0025119C" w:rsidP="000D52B3">
      <w:pPr>
        <w:pStyle w:val="Bulletindent"/>
      </w:pPr>
      <w:r>
        <w:t xml:space="preserve">the </w:t>
      </w:r>
      <w:r w:rsidR="00935199" w:rsidRPr="007913BE">
        <w:t>experience</w:t>
      </w:r>
      <w:r w:rsidR="00935199">
        <w:t xml:space="preserve"> of the proposed team members</w:t>
      </w:r>
      <w:r>
        <w:t xml:space="preserve">, which </w:t>
      </w:r>
      <w:r w:rsidR="00935199">
        <w:t>includ</w:t>
      </w:r>
      <w:r>
        <w:t>e</w:t>
      </w:r>
      <w:r w:rsidR="00935199">
        <w:t xml:space="preserve"> the proposed Key Personnel and the proposed representatives for the Project Management Team and the Project Leadership Team</w:t>
      </w:r>
      <w:r w:rsidR="00EA3400">
        <w:t>.</w:t>
      </w:r>
    </w:p>
    <w:p w14:paraId="4B71F415" w14:textId="0188C3D2" w:rsidR="00935199" w:rsidRPr="007913BE" w:rsidRDefault="0025119C" w:rsidP="002E6E1C">
      <w:pPr>
        <w:pStyle w:val="NormalIndent"/>
      </w:pPr>
      <w:r>
        <w:t xml:space="preserve">At this stage, </w:t>
      </w:r>
      <w:r w:rsidR="00935199" w:rsidRPr="007913BE">
        <w:t xml:space="preserve">Respondents </w:t>
      </w:r>
      <w:r w:rsidR="00935199">
        <w:t>provid</w:t>
      </w:r>
      <w:r w:rsidR="00C1323F">
        <w:t>e</w:t>
      </w:r>
      <w:r w:rsidR="00935199" w:rsidRPr="007913BE">
        <w:t xml:space="preserve"> a </w:t>
      </w:r>
      <w:r w:rsidR="00FB70DE">
        <w:t>P</w:t>
      </w:r>
      <w:r w:rsidR="00935199">
        <w:t xml:space="preserve">roject </w:t>
      </w:r>
      <w:r w:rsidR="00AE5199">
        <w:t>p</w:t>
      </w:r>
      <w:r w:rsidR="00935199">
        <w:t>roposal</w:t>
      </w:r>
      <w:r w:rsidR="00935199" w:rsidRPr="007913BE">
        <w:t xml:space="preserve"> for </w:t>
      </w:r>
      <w:r w:rsidR="00935199">
        <w:t xml:space="preserve">the </w:t>
      </w:r>
      <w:r w:rsidR="00935199" w:rsidRPr="007913BE">
        <w:t xml:space="preserve">Development Phase Services only. However, it is expected that key commercial considerations influencing Delivery Phase </w:t>
      </w:r>
      <w:r w:rsidR="00935199">
        <w:t xml:space="preserve">Services </w:t>
      </w:r>
      <w:r w:rsidR="00935199" w:rsidRPr="007913BE">
        <w:t xml:space="preserve">are also bid back at this stage. </w:t>
      </w:r>
      <w:r w:rsidR="00935199">
        <w:t xml:space="preserve">These </w:t>
      </w:r>
      <w:r w:rsidR="00935199" w:rsidRPr="007913BE">
        <w:t xml:space="preserve">include </w:t>
      </w:r>
      <w:r w:rsidR="00935199">
        <w:t xml:space="preserve">the </w:t>
      </w:r>
      <w:r w:rsidR="00F8352B">
        <w:t>e</w:t>
      </w:r>
      <w:r w:rsidR="00935199">
        <w:t xml:space="preserve">stimated Delivery Phase </w:t>
      </w:r>
      <w:r>
        <w:t>COP</w:t>
      </w:r>
      <w:r w:rsidR="00935199" w:rsidRPr="007913BE">
        <w:t xml:space="preserve"> and </w:t>
      </w:r>
      <w:r w:rsidR="00417D4F">
        <w:t>R</w:t>
      </w:r>
      <w:r w:rsidR="00935199">
        <w:t xml:space="preserve">eimbursable </w:t>
      </w:r>
      <w:r w:rsidR="00417D4F">
        <w:t>C</w:t>
      </w:r>
      <w:r w:rsidR="00935199">
        <w:t xml:space="preserve">ost </w:t>
      </w:r>
      <w:r w:rsidR="00417D4F">
        <w:t>M</w:t>
      </w:r>
      <w:r w:rsidR="00935199">
        <w:t>ultipliers</w:t>
      </w:r>
      <w:r w:rsidR="00935199" w:rsidRPr="007913BE">
        <w:t xml:space="preserve"> for </w:t>
      </w:r>
      <w:r w:rsidR="00935199">
        <w:t>Non</w:t>
      </w:r>
      <w:r w:rsidR="00B72958">
        <w:noBreakHyphen/>
      </w:r>
      <w:r w:rsidR="00935199">
        <w:t>W</w:t>
      </w:r>
      <w:r w:rsidR="00935199" w:rsidRPr="007913BE">
        <w:t xml:space="preserve">ages </w:t>
      </w:r>
      <w:r w:rsidR="00935199">
        <w:t>P</w:t>
      </w:r>
      <w:r w:rsidR="00935199" w:rsidRPr="007913BE">
        <w:t>ersonnel. Procuring agencies should consider these elements in the evaluation of contracts</w:t>
      </w:r>
      <w:r>
        <w:t xml:space="preserve"> </w:t>
      </w:r>
      <w:r w:rsidR="00935199" w:rsidRPr="007913BE">
        <w:t>and can request benchmarking support from DTF if required.</w:t>
      </w:r>
    </w:p>
    <w:p w14:paraId="6DADB646" w14:textId="606760BB" w:rsidR="00935199" w:rsidRPr="007913BE" w:rsidRDefault="0025119C" w:rsidP="002E6E1C">
      <w:pPr>
        <w:pStyle w:val="NormalIndent"/>
      </w:pPr>
      <w:r>
        <w:t>P</w:t>
      </w:r>
      <w:r w:rsidRPr="007913BE">
        <w:t xml:space="preserve">rior to the final submission of the </w:t>
      </w:r>
      <w:r w:rsidR="00FB70DE">
        <w:t>P</w:t>
      </w:r>
      <w:r w:rsidRPr="007913BE">
        <w:t xml:space="preserve">roject </w:t>
      </w:r>
      <w:r w:rsidR="00AE5199">
        <w:t>p</w:t>
      </w:r>
      <w:r>
        <w:t>roposal</w:t>
      </w:r>
      <w:r w:rsidRPr="007913BE">
        <w:t xml:space="preserve"> for the </w:t>
      </w:r>
      <w:r w:rsidR="005E5D0D">
        <w:t>D</w:t>
      </w:r>
      <w:r w:rsidRPr="007913BE">
        <w:t xml:space="preserve">evelopment </w:t>
      </w:r>
      <w:r w:rsidR="005E5D0D">
        <w:t>P</w:t>
      </w:r>
      <w:r w:rsidRPr="007913BE">
        <w:t xml:space="preserve">hase </w:t>
      </w:r>
      <w:r w:rsidR="005E5D0D">
        <w:t>S</w:t>
      </w:r>
      <w:r w:rsidRPr="007913BE">
        <w:t>ervices</w:t>
      </w:r>
      <w:r w:rsidR="00010CCC">
        <w:t>,</w:t>
      </w:r>
      <w:r w:rsidRPr="007913BE">
        <w:t xml:space="preserve"> </w:t>
      </w:r>
      <w:r>
        <w:t>t</w:t>
      </w:r>
      <w:r w:rsidR="00935199" w:rsidRPr="007913BE">
        <w:t xml:space="preserve">he Respondents should have the opportunity to provide proposed departures to the </w:t>
      </w:r>
      <w:r w:rsidR="00935199">
        <w:t xml:space="preserve">ITC </w:t>
      </w:r>
      <w:r w:rsidR="00ED6C21">
        <w:t>Development Deed</w:t>
      </w:r>
      <w:r w:rsidR="00935199" w:rsidRPr="007913BE">
        <w:t xml:space="preserve"> and </w:t>
      </w:r>
      <w:r w:rsidR="00935199">
        <w:t xml:space="preserve">the ITC </w:t>
      </w:r>
      <w:r w:rsidR="00935199" w:rsidRPr="007913BE">
        <w:t xml:space="preserve">Delivery Deed. This may take the form of an interim </w:t>
      </w:r>
      <w:r w:rsidR="00935199">
        <w:t>submission</w:t>
      </w:r>
      <w:r w:rsidR="00935199" w:rsidRPr="007913BE">
        <w:t xml:space="preserve"> </w:t>
      </w:r>
      <w:r w:rsidR="005E5D0D">
        <w:t>and</w:t>
      </w:r>
      <w:r w:rsidR="00935199" w:rsidRPr="007913BE">
        <w:t xml:space="preserve"> should allow sufficient time for procuring agencies to consult with key stakeholders </w:t>
      </w:r>
      <w:r>
        <w:t>(</w:t>
      </w:r>
      <w:r w:rsidR="00935199" w:rsidRPr="007913BE">
        <w:t>such as DTF</w:t>
      </w:r>
      <w:r>
        <w:t>)</w:t>
      </w:r>
      <w:r w:rsidR="00935199" w:rsidRPr="007913BE">
        <w:t xml:space="preserve"> and provide guidance to Respondents in line with probity requirements. Procuring agencies should use th</w:t>
      </w:r>
      <w:r w:rsidR="00935199">
        <w:t>ese</w:t>
      </w:r>
      <w:r w:rsidR="00935199" w:rsidRPr="007913BE">
        <w:t xml:space="preserve"> Guidance </w:t>
      </w:r>
      <w:r w:rsidR="00935199">
        <w:t xml:space="preserve">Notes </w:t>
      </w:r>
      <w:r w:rsidR="00935199" w:rsidRPr="007913BE">
        <w:t>to understand which departures require further consultation with DTF prior to acceptance.</w:t>
      </w:r>
    </w:p>
    <w:p w14:paraId="3C3683CE" w14:textId="2A6DD1DA" w:rsidR="00935199" w:rsidRPr="007913BE" w:rsidRDefault="04131239" w:rsidP="002E6E1C">
      <w:pPr>
        <w:pStyle w:val="NormalIndent"/>
      </w:pPr>
      <w:r>
        <w:t xml:space="preserve">If the procuring agency accepts a </w:t>
      </w:r>
      <w:r w:rsidR="1552A6B3">
        <w:t>P</w:t>
      </w:r>
      <w:r>
        <w:t xml:space="preserve">roject </w:t>
      </w:r>
      <w:r w:rsidR="00AE5199">
        <w:t>p</w:t>
      </w:r>
      <w:r>
        <w:t xml:space="preserve">roposal, the Principal and the </w:t>
      </w:r>
      <w:r w:rsidR="01D4A586">
        <w:t>S</w:t>
      </w:r>
      <w:r>
        <w:t>uccessful Respondent(s) (the Shortlisted Respondent(s)) enter</w:t>
      </w:r>
      <w:r w:rsidR="002463E7">
        <w:t>s</w:t>
      </w:r>
      <w:r>
        <w:t xml:space="preserve"> </w:t>
      </w:r>
      <w:r w:rsidR="00935199">
        <w:t>into</w:t>
      </w:r>
      <w:r>
        <w:t xml:space="preserve"> an ITC </w:t>
      </w:r>
      <w:r w:rsidR="4BF74DF8">
        <w:t>Development Deed</w:t>
      </w:r>
      <w:r w:rsidR="0417A52F">
        <w:t xml:space="preserve">. If there are multiple </w:t>
      </w:r>
      <w:r w:rsidR="761CE398">
        <w:t>Shortlisted Respondents</w:t>
      </w:r>
      <w:r w:rsidR="0417A52F">
        <w:t xml:space="preserve">, </w:t>
      </w:r>
      <w:r>
        <w:t xml:space="preserve">a separate ITC </w:t>
      </w:r>
      <w:r w:rsidR="4BF74DF8">
        <w:t>Development Deed</w:t>
      </w:r>
      <w:r w:rsidR="0417A52F">
        <w:t xml:space="preserve"> </w:t>
      </w:r>
      <w:r w:rsidR="00100B37">
        <w:t>is</w:t>
      </w:r>
      <w:r w:rsidR="0417A52F">
        <w:t xml:space="preserve"> created</w:t>
      </w:r>
      <w:r>
        <w:t xml:space="preserve"> for each. The procuring agency reserves the right to enter</w:t>
      </w:r>
      <w:r w:rsidR="00935199">
        <w:t xml:space="preserve"> into</w:t>
      </w:r>
      <w:r>
        <w:t xml:space="preserve"> an ITC </w:t>
      </w:r>
      <w:r w:rsidR="4BF74DF8">
        <w:t>Development Deed</w:t>
      </w:r>
      <w:r>
        <w:t xml:space="preserve"> with more than one Shortlisted Respondent </w:t>
      </w:r>
      <w:r w:rsidR="0417A52F">
        <w:t xml:space="preserve">on </w:t>
      </w:r>
      <w:r>
        <w:t xml:space="preserve">a </w:t>
      </w:r>
      <w:r w:rsidR="00FF6855">
        <w:t>P</w:t>
      </w:r>
      <w:r>
        <w:t>roject.</w:t>
      </w:r>
    </w:p>
    <w:p w14:paraId="126B50BA" w14:textId="39F63416" w:rsidR="00935199" w:rsidRPr="007913BE" w:rsidRDefault="00935199" w:rsidP="002E6E1C">
      <w:pPr>
        <w:pStyle w:val="NormalIndent"/>
      </w:pPr>
      <w:r w:rsidRPr="007913BE">
        <w:t xml:space="preserve">Following receipt of Project </w:t>
      </w:r>
      <w:r w:rsidR="00AE5199">
        <w:t>p</w:t>
      </w:r>
      <w:r>
        <w:t>roposals</w:t>
      </w:r>
      <w:r w:rsidRPr="007913BE">
        <w:t xml:space="preserve">, the procuring agency may wish to cap the fee associated with the </w:t>
      </w:r>
      <w:r>
        <w:t>D</w:t>
      </w:r>
      <w:r w:rsidRPr="007913BE">
        <w:t xml:space="preserve">evelopment </w:t>
      </w:r>
      <w:r>
        <w:t>P</w:t>
      </w:r>
      <w:r w:rsidRPr="007913BE">
        <w:t xml:space="preserve">hase </w:t>
      </w:r>
      <w:r>
        <w:t>A</w:t>
      </w:r>
      <w:r w:rsidRPr="007913BE">
        <w:t>ctivities to support price and budget certainty.</w:t>
      </w:r>
    </w:p>
    <w:p w14:paraId="3A04AFB6" w14:textId="7FDC9CE5" w:rsidR="00935199" w:rsidRPr="007913BE" w:rsidRDefault="00935199" w:rsidP="002E6E1C">
      <w:pPr>
        <w:pStyle w:val="NormalIndent"/>
      </w:pPr>
      <w:r w:rsidRPr="007913BE">
        <w:t xml:space="preserve">The Shortlisted Respondent(s) may </w:t>
      </w:r>
      <w:r w:rsidR="00957E51">
        <w:t>propose</w:t>
      </w:r>
      <w:r w:rsidRPr="007913BE">
        <w:t xml:space="preserve"> additional departures to the </w:t>
      </w:r>
      <w:r>
        <w:t xml:space="preserve">ITC </w:t>
      </w:r>
      <w:r w:rsidRPr="007913BE">
        <w:t xml:space="preserve">Delivery Deed as part of the Delivery Phase Offer, which should be considered as part of the </w:t>
      </w:r>
      <w:r>
        <w:t>value for money</w:t>
      </w:r>
      <w:r w:rsidR="00401401">
        <w:t xml:space="preserve"> (VfM)</w:t>
      </w:r>
      <w:r w:rsidRPr="007913BE">
        <w:t xml:space="preserve"> assessment and acceptance of the Delivery Phase Offer, including impact on risk allocation.</w:t>
      </w:r>
    </w:p>
    <w:p w14:paraId="60D59F2C" w14:textId="4EA31BF8" w:rsidR="00935199" w:rsidRDefault="00935199" w:rsidP="002E6E1C">
      <w:pPr>
        <w:pStyle w:val="NormalIndent"/>
      </w:pPr>
      <w:r w:rsidRPr="007913BE">
        <w:t xml:space="preserve">In all scenarios, procuring agencies should consider the impact of contract departures on risk allocation as outlined in </w:t>
      </w:r>
      <w:r>
        <w:t>these Guidance Notes</w:t>
      </w:r>
      <w:r w:rsidRPr="007913BE">
        <w:t xml:space="preserve">. It is expected that the risk allocation will not change from the </w:t>
      </w:r>
      <w:r>
        <w:t xml:space="preserve">ITC Delivery Deed </w:t>
      </w:r>
      <w:r w:rsidR="00957E51">
        <w:t>unless</w:t>
      </w:r>
      <w:r w:rsidR="00957E51" w:rsidRPr="007913BE">
        <w:t xml:space="preserve"> </w:t>
      </w:r>
      <w:r w:rsidR="00957E51">
        <w:t xml:space="preserve">in </w:t>
      </w:r>
      <w:r w:rsidRPr="007913BE">
        <w:t>exceptional circumstances as agreed with DTF.</w:t>
      </w:r>
    </w:p>
    <w:p w14:paraId="7E4854D0" w14:textId="44465037" w:rsidR="00935199" w:rsidRDefault="007C277D" w:rsidP="00945FC5">
      <w:pPr>
        <w:pStyle w:val="Heading4numbered"/>
      </w:pPr>
      <w:r>
        <w:t>C</w:t>
      </w:r>
      <w:r w:rsidR="00184A02">
        <w:t>ontractor</w:t>
      </w:r>
      <w:r w:rsidR="00935199">
        <w:t xml:space="preserve"> </w:t>
      </w:r>
      <w:r w:rsidR="00935199" w:rsidDel="0079639D">
        <w:t>Corporate Overhead and Profit</w:t>
      </w:r>
    </w:p>
    <w:p w14:paraId="37EABD1A" w14:textId="5F712116" w:rsidR="00935199" w:rsidRDefault="00935199" w:rsidP="00A0367A">
      <w:pPr>
        <w:pStyle w:val="NormalIndent"/>
      </w:pPr>
      <w:bookmarkStart w:id="127" w:name="_Hlk141192539"/>
      <w:r>
        <w:t xml:space="preserve">As part of the RFP process, </w:t>
      </w:r>
      <w:r w:rsidR="00B92890">
        <w:t>C</w:t>
      </w:r>
      <w:r w:rsidR="00184A02">
        <w:t>ontractor</w:t>
      </w:r>
      <w:r>
        <w:t xml:space="preserve">s </w:t>
      </w:r>
      <w:r w:rsidR="3FD0D0FA">
        <w:t>are</w:t>
      </w:r>
      <w:r>
        <w:t xml:space="preserve"> asked to provide </w:t>
      </w:r>
      <w:r w:rsidR="00EC2F7E">
        <w:t xml:space="preserve">a </w:t>
      </w:r>
      <w:r>
        <w:t xml:space="preserve">proposed COP that </w:t>
      </w:r>
      <w:r w:rsidR="6F9543FA">
        <w:t>is</w:t>
      </w:r>
      <w:r>
        <w:t xml:space="preserve"> paid through the </w:t>
      </w:r>
      <w:r w:rsidR="002A076C">
        <w:t>D</w:t>
      </w:r>
      <w:r>
        <w:t>evelopment</w:t>
      </w:r>
      <w:r w:rsidR="002A076C">
        <w:t xml:space="preserve"> </w:t>
      </w:r>
      <w:r>
        <w:t xml:space="preserve">and </w:t>
      </w:r>
      <w:r w:rsidR="002A076C">
        <w:t>D</w:t>
      </w:r>
      <w:r>
        <w:t xml:space="preserve">elivery </w:t>
      </w:r>
      <w:r w:rsidR="002A076C">
        <w:t>P</w:t>
      </w:r>
      <w:r>
        <w:t>hase</w:t>
      </w:r>
      <w:r w:rsidR="00EC2F7E">
        <w:t>s</w:t>
      </w:r>
      <w:r>
        <w:t xml:space="preserve">. The procuring </w:t>
      </w:r>
      <w:r w:rsidR="007B0038">
        <w:t>agency</w:t>
      </w:r>
      <w:r>
        <w:t xml:space="preserve"> should use the proposed COP to assess </w:t>
      </w:r>
      <w:r w:rsidR="00152BDB">
        <w:t>VfM</w:t>
      </w:r>
      <w:r>
        <w:t xml:space="preserve"> when determining the Shortlisted Respondents. DTF and the Office of Projects Victoria or a specialist cost estimator </w:t>
      </w:r>
      <w:r w:rsidR="00314185">
        <w:t>(</w:t>
      </w:r>
      <w:r w:rsidR="00152BDB">
        <w:t>or both</w:t>
      </w:r>
      <w:r w:rsidR="00314185">
        <w:t>)</w:t>
      </w:r>
      <w:r w:rsidR="00152BDB">
        <w:t xml:space="preserve"> </w:t>
      </w:r>
      <w:r>
        <w:t xml:space="preserve">may assist the </w:t>
      </w:r>
      <w:r w:rsidR="004163A8">
        <w:t>procuring</w:t>
      </w:r>
      <w:r>
        <w:t xml:space="preserve"> agency in developing an indicative benchmark COP based on </w:t>
      </w:r>
      <w:r w:rsidR="00152BDB">
        <w:t xml:space="preserve">any combination of a project’s size, value </w:t>
      </w:r>
      <w:r w:rsidR="00B37E17">
        <w:t xml:space="preserve">and </w:t>
      </w:r>
      <w:r w:rsidR="00152BDB">
        <w:t>complexity</w:t>
      </w:r>
      <w:r>
        <w:t>.</w:t>
      </w:r>
    </w:p>
    <w:p w14:paraId="1B211E11" w14:textId="35693C9F" w:rsidR="00935199" w:rsidRDefault="00935199" w:rsidP="00A0367A">
      <w:pPr>
        <w:pStyle w:val="NormalIndent"/>
      </w:pPr>
      <w:r>
        <w:t xml:space="preserve">Comparison of proposed margins from </w:t>
      </w:r>
      <w:r w:rsidR="002A076C">
        <w:t xml:space="preserve">Shortlisted </w:t>
      </w:r>
      <w:r w:rsidR="00401401">
        <w:t>R</w:t>
      </w:r>
      <w:r>
        <w:t xml:space="preserve">espondents and comparison </w:t>
      </w:r>
      <w:r w:rsidR="007206D7">
        <w:t xml:space="preserve">with </w:t>
      </w:r>
      <w:r>
        <w:t xml:space="preserve">an appropriate benchmark should support the procuring </w:t>
      </w:r>
      <w:r w:rsidR="007B0038">
        <w:t>agency</w:t>
      </w:r>
      <w:r>
        <w:t xml:space="preserve"> </w:t>
      </w:r>
      <w:r w:rsidR="00152BDB">
        <w:t>to identify</w:t>
      </w:r>
      <w:r>
        <w:t xml:space="preserve"> where contingency has been included in the COP.</w:t>
      </w:r>
    </w:p>
    <w:p w14:paraId="6B654970" w14:textId="7A6BCB3D" w:rsidR="00C26930" w:rsidRDefault="00C26930" w:rsidP="00D56CF5">
      <w:pPr>
        <w:pStyle w:val="Heading2numbered"/>
      </w:pPr>
      <w:bookmarkStart w:id="128" w:name="_Ref144736355"/>
      <w:bookmarkStart w:id="129" w:name="_Toc145612562"/>
      <w:bookmarkEnd w:id="127"/>
      <w:r>
        <w:t xml:space="preserve">Form and structure of </w:t>
      </w:r>
      <w:r w:rsidR="000E0D14">
        <w:t xml:space="preserve">the </w:t>
      </w:r>
      <w:r>
        <w:t>ITC Contract Suite</w:t>
      </w:r>
      <w:bookmarkEnd w:id="128"/>
      <w:bookmarkEnd w:id="129"/>
    </w:p>
    <w:p w14:paraId="27BF3983" w14:textId="536029DF" w:rsidR="00C26930" w:rsidRDefault="00C26930" w:rsidP="00A0367A">
      <w:pPr>
        <w:pStyle w:val="NormalIndent"/>
      </w:pPr>
      <w:r>
        <w:t>The</w:t>
      </w:r>
      <w:r w:rsidDel="00657CC1">
        <w:t xml:space="preserve"> </w:t>
      </w:r>
      <w:r>
        <w:t xml:space="preserve">ITC Development </w:t>
      </w:r>
      <w:r w:rsidR="0067296E">
        <w:t>Deed</w:t>
      </w:r>
      <w:r>
        <w:t xml:space="preserve"> and ITC Delivery Deed consist of:</w:t>
      </w:r>
    </w:p>
    <w:p w14:paraId="6E0E18C0" w14:textId="6AEB1A72" w:rsidR="00C26930" w:rsidRPr="00945FC5" w:rsidRDefault="005E69A4" w:rsidP="000D52B3">
      <w:pPr>
        <w:pStyle w:val="Bulletindent"/>
      </w:pPr>
      <w:r>
        <w:rPr>
          <w:b/>
          <w:bCs/>
        </w:rPr>
        <w:t>two</w:t>
      </w:r>
      <w:r w:rsidR="00C26930" w:rsidRPr="00945FC5">
        <w:rPr>
          <w:b/>
          <w:bCs/>
        </w:rPr>
        <w:t xml:space="preserve"> </w:t>
      </w:r>
      <w:r w:rsidR="00487D41">
        <w:rPr>
          <w:b/>
          <w:bCs/>
        </w:rPr>
        <w:t>deeds</w:t>
      </w:r>
      <w:r w:rsidR="00C26930" w:rsidRPr="00945FC5">
        <w:t xml:space="preserve"> (a </w:t>
      </w:r>
      <w:r w:rsidR="00B96066">
        <w:t>deed</w:t>
      </w:r>
      <w:r w:rsidR="00C26930" w:rsidRPr="00945FC5">
        <w:t xml:space="preserve"> each for the ITC Development </w:t>
      </w:r>
      <w:r w:rsidR="00ED6C21">
        <w:t>Deed</w:t>
      </w:r>
      <w:r w:rsidR="00C26930" w:rsidRPr="00945FC5">
        <w:t xml:space="preserve"> and the ITC Delivery Deed)</w:t>
      </w:r>
      <w:r w:rsidR="000E0D14">
        <w:t>;</w:t>
      </w:r>
    </w:p>
    <w:p w14:paraId="2DD86680" w14:textId="6AEB1A72" w:rsidR="00C26930" w:rsidRPr="00945FC5" w:rsidRDefault="00ED6C21" w:rsidP="000D52B3">
      <w:pPr>
        <w:pStyle w:val="Bulletindent"/>
      </w:pPr>
      <w:r>
        <w:rPr>
          <w:b/>
          <w:bCs/>
        </w:rPr>
        <w:t>33</w:t>
      </w:r>
      <w:r w:rsidR="00C26930" w:rsidRPr="00945FC5">
        <w:rPr>
          <w:b/>
          <w:bCs/>
        </w:rPr>
        <w:t xml:space="preserve"> </w:t>
      </w:r>
      <w:r w:rsidR="00152BDB">
        <w:rPr>
          <w:b/>
          <w:bCs/>
        </w:rPr>
        <w:t>s</w:t>
      </w:r>
      <w:r w:rsidR="00C26930" w:rsidRPr="00945FC5">
        <w:rPr>
          <w:b/>
          <w:bCs/>
        </w:rPr>
        <w:t>chedules</w:t>
      </w:r>
      <w:r w:rsidR="00C26930" w:rsidRPr="00945FC5">
        <w:t xml:space="preserve"> (</w:t>
      </w:r>
      <w:r>
        <w:t>11</w:t>
      </w:r>
      <w:r w:rsidR="00C26930" w:rsidRPr="00945FC5">
        <w:t xml:space="preserve"> </w:t>
      </w:r>
      <w:r w:rsidR="00152BDB">
        <w:t>s</w:t>
      </w:r>
      <w:r w:rsidR="00C26930" w:rsidRPr="00945FC5">
        <w:t xml:space="preserve">chedules for the ITC Development </w:t>
      </w:r>
      <w:r>
        <w:t>Deed</w:t>
      </w:r>
      <w:r w:rsidR="00C26930" w:rsidRPr="00945FC5">
        <w:t xml:space="preserve"> and </w:t>
      </w:r>
      <w:r>
        <w:t>22</w:t>
      </w:r>
      <w:r w:rsidR="00C26930" w:rsidRPr="00945FC5">
        <w:t xml:space="preserve"> </w:t>
      </w:r>
      <w:r w:rsidR="00152BDB">
        <w:t>s</w:t>
      </w:r>
      <w:r w:rsidR="00C26930" w:rsidRPr="00945FC5">
        <w:t>chedules for the ITC Delivery Deed</w:t>
      </w:r>
      <w:r w:rsidR="000E0D14">
        <w:t>);</w:t>
      </w:r>
    </w:p>
    <w:p w14:paraId="5D2AFB9C" w14:textId="0E7F8296" w:rsidR="002A524B" w:rsidRPr="002A524B" w:rsidRDefault="005E69A4" w:rsidP="000D52B3">
      <w:pPr>
        <w:pStyle w:val="Bulletindent"/>
      </w:pPr>
      <w:r>
        <w:rPr>
          <w:b/>
          <w:bCs/>
        </w:rPr>
        <w:t>three</w:t>
      </w:r>
      <w:r w:rsidR="00C26930" w:rsidRPr="00945FC5">
        <w:rPr>
          <w:b/>
          <w:bCs/>
        </w:rPr>
        <w:t xml:space="preserve"> </w:t>
      </w:r>
      <w:r w:rsidR="00152BDB">
        <w:rPr>
          <w:b/>
          <w:bCs/>
        </w:rPr>
        <w:t>a</w:t>
      </w:r>
      <w:r w:rsidR="00C26930" w:rsidRPr="00945FC5">
        <w:rPr>
          <w:b/>
          <w:bCs/>
        </w:rPr>
        <w:t>nnexures</w:t>
      </w:r>
      <w:r w:rsidR="00C26930" w:rsidRPr="00945FC5">
        <w:t xml:space="preserve"> (</w:t>
      </w:r>
      <w:r w:rsidR="00204720">
        <w:t>two</w:t>
      </w:r>
      <w:r w:rsidR="00C26930" w:rsidRPr="00945FC5">
        <w:t xml:space="preserve"> </w:t>
      </w:r>
      <w:r w:rsidR="00152BDB">
        <w:t>a</w:t>
      </w:r>
      <w:r w:rsidR="00C26930" w:rsidRPr="00945FC5">
        <w:t xml:space="preserve">nnexures for the ITC Development </w:t>
      </w:r>
      <w:r w:rsidR="00ED6C21">
        <w:t>Deed</w:t>
      </w:r>
      <w:r w:rsidR="00C26930" w:rsidRPr="00945FC5">
        <w:t xml:space="preserve"> and </w:t>
      </w:r>
      <w:r w:rsidR="6EB1508A">
        <w:t>one</w:t>
      </w:r>
      <w:r w:rsidR="00C26930">
        <w:t xml:space="preserve"> </w:t>
      </w:r>
      <w:r w:rsidR="35A58675">
        <w:t>a</w:t>
      </w:r>
      <w:r w:rsidR="00C26930">
        <w:t>nnexure</w:t>
      </w:r>
      <w:r w:rsidR="00C26930" w:rsidRPr="00945FC5">
        <w:t xml:space="preserve"> for the ITC Delivery Deed</w:t>
      </w:r>
      <w:r w:rsidR="00204720">
        <w:t>); and</w:t>
      </w:r>
    </w:p>
    <w:p w14:paraId="12C6DD6B" w14:textId="3AA6B3BF" w:rsidR="00C26930" w:rsidRPr="00945FC5" w:rsidRDefault="00711A9E" w:rsidP="000D52B3">
      <w:pPr>
        <w:pStyle w:val="Bulletindent"/>
      </w:pPr>
      <w:r>
        <w:rPr>
          <w:b/>
          <w:bCs/>
        </w:rPr>
        <w:t>four</w:t>
      </w:r>
      <w:r w:rsidR="00C26930" w:rsidRPr="00ED6C21">
        <w:rPr>
          <w:b/>
          <w:bCs/>
        </w:rPr>
        <w:t xml:space="preserve"> </w:t>
      </w:r>
      <w:r w:rsidR="00152BDB" w:rsidRPr="00ED6C21">
        <w:rPr>
          <w:b/>
          <w:bCs/>
        </w:rPr>
        <w:t>a</w:t>
      </w:r>
      <w:r w:rsidR="00C26930" w:rsidRPr="00ED6C21">
        <w:rPr>
          <w:b/>
          <w:bCs/>
        </w:rPr>
        <w:t>ttachments</w:t>
      </w:r>
      <w:r w:rsidR="00C26930" w:rsidRPr="00ED6C21">
        <w:t xml:space="preserve"> (</w:t>
      </w:r>
      <w:r w:rsidR="00204720">
        <w:t>no</w:t>
      </w:r>
      <w:r w:rsidR="00204720" w:rsidRPr="00945FC5">
        <w:t xml:space="preserve"> </w:t>
      </w:r>
      <w:r w:rsidR="00152BDB">
        <w:t>a</w:t>
      </w:r>
      <w:r w:rsidR="00C26930" w:rsidRPr="00945FC5">
        <w:t xml:space="preserve">ttachments for the ITC Development </w:t>
      </w:r>
      <w:r w:rsidR="00ED6C21">
        <w:t>Deed</w:t>
      </w:r>
      <w:r w:rsidR="00C26930" w:rsidRPr="00945FC5">
        <w:t xml:space="preserve"> and </w:t>
      </w:r>
      <w:r w:rsidR="00204720">
        <w:t>four</w:t>
      </w:r>
      <w:r w:rsidR="00204720" w:rsidRPr="00945FC5">
        <w:t xml:space="preserve"> </w:t>
      </w:r>
      <w:r w:rsidR="00152BDB">
        <w:t>a</w:t>
      </w:r>
      <w:r w:rsidR="00C26930" w:rsidRPr="00945FC5">
        <w:t>ttachments for the ITC Delivery Deed</w:t>
      </w:r>
      <w:r w:rsidR="00204720">
        <w:t>)</w:t>
      </w:r>
      <w:r w:rsidR="00C26930" w:rsidRPr="00945FC5">
        <w:t>.</w:t>
      </w:r>
    </w:p>
    <w:p w14:paraId="722915AE" w14:textId="3153AD9D" w:rsidR="00C26930" w:rsidRDefault="00C26930" w:rsidP="00A0367A">
      <w:pPr>
        <w:pStyle w:val="NormalIndent"/>
      </w:pPr>
      <w:r>
        <w:t xml:space="preserve">Some </w:t>
      </w:r>
      <w:r w:rsidR="00152BDB">
        <w:t>s</w:t>
      </w:r>
      <w:r>
        <w:t>chedules are documents created by the Principal</w:t>
      </w:r>
      <w:r w:rsidDel="00BB3BC9">
        <w:t xml:space="preserve"> </w:t>
      </w:r>
      <w:r w:rsidR="00BB3BC9">
        <w:t xml:space="preserve">that are </w:t>
      </w:r>
      <w:r>
        <w:t xml:space="preserve">generally included in the </w:t>
      </w:r>
      <w:r w:rsidR="00ED6C21">
        <w:t>P</w:t>
      </w:r>
      <w:r w:rsidR="00F06911">
        <w:t>roject’s RFP</w:t>
      </w:r>
      <w:r>
        <w:t xml:space="preserve">, such as the Adjustment Event Guidelines. Other </w:t>
      </w:r>
      <w:r w:rsidR="00152BDB">
        <w:t>s</w:t>
      </w:r>
      <w:r>
        <w:t xml:space="preserve">chedules </w:t>
      </w:r>
      <w:r w:rsidR="3F673674">
        <w:t>are</w:t>
      </w:r>
      <w:r>
        <w:t xml:space="preserve"> prepared by the Principal but completed by the Shortlisted Respondent to reflect their</w:t>
      </w:r>
      <w:r w:rsidDel="474976EE">
        <w:t xml:space="preserve"> </w:t>
      </w:r>
      <w:r>
        <w:t xml:space="preserve">proposal, such as for the </w:t>
      </w:r>
      <w:r w:rsidR="00D56A78">
        <w:t>COP</w:t>
      </w:r>
      <w:r w:rsidR="005A06B1">
        <w:t>,</w:t>
      </w:r>
      <w:r>
        <w:t xml:space="preserve"> and TOC </w:t>
      </w:r>
      <w:r w:rsidR="00D2776A">
        <w:t>S</w:t>
      </w:r>
      <w:r>
        <w:t>chedules.</w:t>
      </w:r>
    </w:p>
    <w:p w14:paraId="2D319CD0" w14:textId="2008219A" w:rsidR="00C26930" w:rsidRDefault="00C26930" w:rsidP="00A0367A">
      <w:pPr>
        <w:pStyle w:val="NormalIndent"/>
      </w:pPr>
      <w:r>
        <w:t>Annexures include large documents</w:t>
      </w:r>
      <w:r w:rsidR="00EA66E1">
        <w:t>,</w:t>
      </w:r>
      <w:r>
        <w:t xml:space="preserve"> such as the Project Scope and Delivery Requirements </w:t>
      </w:r>
      <w:r w:rsidRPr="00152BDB">
        <w:t>(</w:t>
      </w:r>
      <w:r w:rsidRPr="00401401">
        <w:t>PSDR</w:t>
      </w:r>
      <w:r w:rsidRPr="00152BDB">
        <w:t>).</w:t>
      </w:r>
      <w:r>
        <w:t xml:space="preserve"> </w:t>
      </w:r>
      <w:r w:rsidR="00152BDB">
        <w:t>A</w:t>
      </w:r>
      <w:r>
        <w:t>nnexures</w:t>
      </w:r>
      <w:r w:rsidDel="474976EE">
        <w:t xml:space="preserve"> </w:t>
      </w:r>
      <w:r>
        <w:t>may also consist of documents that are exclusively prepared by the Successful Respondent and generally included in the Successful Respondent</w:t>
      </w:r>
      <w:r w:rsidR="002A076C">
        <w:t>’</w:t>
      </w:r>
      <w:r>
        <w:t>s Proposal.</w:t>
      </w:r>
    </w:p>
    <w:p w14:paraId="17C45FC8" w14:textId="6B39C021" w:rsidR="00C26930" w:rsidRDefault="2049A423" w:rsidP="00A0367A">
      <w:pPr>
        <w:pStyle w:val="NormalIndent"/>
      </w:pPr>
      <w:r>
        <w:t>Attachments to the ITC Delivery Deed are included for convenience. They do not form part of the ITC Delivery Deed (as stated in clause</w:t>
      </w:r>
      <w:r w:rsidR="00754976" w:rsidRPr="00754976">
        <w:rPr>
          <w:rFonts w:ascii="Calibri" w:hAnsi="Calibri" w:cs="Calibri"/>
        </w:rPr>
        <w:t> </w:t>
      </w:r>
      <w:r>
        <w:t>2.2 of the ITC Delivery Deed) but are often referred to in it.</w:t>
      </w:r>
      <w:bookmarkStart w:id="130" w:name="_Toc115180438"/>
      <w:bookmarkStart w:id="131" w:name="_Ref481852747"/>
      <w:bookmarkStart w:id="132" w:name="_Ref481852752"/>
      <w:bookmarkStart w:id="133" w:name="_Toc507712181"/>
      <w:bookmarkEnd w:id="95"/>
      <w:bookmarkEnd w:id="96"/>
      <w:bookmarkEnd w:id="97"/>
      <w:bookmarkEnd w:id="98"/>
      <w:bookmarkEnd w:id="99"/>
      <w:bookmarkEnd w:id="130"/>
      <w:r w:rsidR="7B6324E3">
        <w:t xml:space="preserve"> They are included as </w:t>
      </w:r>
      <w:r w:rsidR="55763520">
        <w:t>a</w:t>
      </w:r>
      <w:r w:rsidR="7B6324E3">
        <w:t xml:space="preserve">ttachments to avoid any confusion over the version being referred to in </w:t>
      </w:r>
      <w:r w:rsidR="6A519DAF">
        <w:t>ITC Delivery Deed</w:t>
      </w:r>
      <w:r w:rsidR="7B6324E3">
        <w:t>.</w:t>
      </w:r>
    </w:p>
    <w:p w14:paraId="3A70338C" w14:textId="4B704FFB" w:rsidR="520B342B" w:rsidRDefault="520B342B" w:rsidP="00A0367A">
      <w:pPr>
        <w:pStyle w:val="NormalIndent"/>
      </w:pPr>
      <w:r>
        <w:t>Some schedules are project</w:t>
      </w:r>
      <w:r w:rsidR="009C43CA">
        <w:t>-</w:t>
      </w:r>
      <w:r>
        <w:t>specific</w:t>
      </w:r>
      <w:r w:rsidR="4C3EF84A">
        <w:t xml:space="preserve"> and need to be developed by the Principal as they do not form part of this standard form contract suite.</w:t>
      </w:r>
    </w:p>
    <w:p w14:paraId="639B4083" w14:textId="4F6601EA" w:rsidR="00C26930" w:rsidRDefault="00C26930" w:rsidP="00945FC5">
      <w:pPr>
        <w:pStyle w:val="Heading3numbered"/>
      </w:pPr>
      <w:r w:rsidRPr="781864CB">
        <w:t xml:space="preserve">ITC Development </w:t>
      </w:r>
      <w:r w:rsidR="00ED6C21">
        <w:t>Deed</w:t>
      </w:r>
    </w:p>
    <w:p w14:paraId="5606DF05" w14:textId="6B84D358" w:rsidR="00C26930" w:rsidRDefault="00C26930" w:rsidP="00A0367A">
      <w:pPr>
        <w:pStyle w:val="NormalIndent"/>
      </w:pPr>
      <w:r w:rsidRPr="002B40AF">
        <w:t xml:space="preserve">The early </w:t>
      </w:r>
      <w:r w:rsidR="64B7CF78">
        <w:t>C</w:t>
      </w:r>
      <w:r w:rsidR="00184A02">
        <w:t>ontractor</w:t>
      </w:r>
      <w:r w:rsidRPr="002B40AF">
        <w:t xml:space="preserve"> involvement process that forms part of the IT</w:t>
      </w:r>
      <w:r w:rsidRPr="00116579">
        <w:t xml:space="preserve">C </w:t>
      </w:r>
      <w:r w:rsidR="00ED6C21">
        <w:t>Development Deed</w:t>
      </w:r>
      <w:r w:rsidRPr="00116579">
        <w:t xml:space="preserve"> provides a longer lead time for the Shortlisted Respondents to mobilise and understand the </w:t>
      </w:r>
      <w:r w:rsidR="00852AF2">
        <w:t>P</w:t>
      </w:r>
      <w:r w:rsidRPr="00116579">
        <w:t>roject. Early collaboration</w:t>
      </w:r>
      <w:r w:rsidRPr="003152BD">
        <w:t xml:space="preserve"> may provide opportunities to resolve design and other risks, thereby encouraging more </w:t>
      </w:r>
      <w:r w:rsidR="003A1944">
        <w:t>thorough</w:t>
      </w:r>
      <w:r w:rsidR="003A1944" w:rsidRPr="003152BD">
        <w:t xml:space="preserve"> </w:t>
      </w:r>
      <w:r w:rsidRPr="003152BD">
        <w:t xml:space="preserve">risk identification, investigation and mitigation, and the opportunity for de-risking, including through Front End Engineering Design. The collaborative integration of the supply chain also </w:t>
      </w:r>
      <w:r w:rsidRPr="002B40AF">
        <w:t xml:space="preserve">supports </w:t>
      </w:r>
      <w:r>
        <w:t xml:space="preserve">development of </w:t>
      </w:r>
      <w:r w:rsidRPr="002B40AF">
        <w:t>more accurate estimates</w:t>
      </w:r>
      <w:r w:rsidR="00671784">
        <w:t>. These</w:t>
      </w:r>
      <w:r w:rsidRPr="003152BD">
        <w:t xml:space="preserve"> mitigat</w:t>
      </w:r>
      <w:r w:rsidR="00671784">
        <w:t>e</w:t>
      </w:r>
      <w:r w:rsidRPr="003152BD">
        <w:t xml:space="preserve"> the risk of inaccurate construction programs and cost estimates.</w:t>
      </w:r>
    </w:p>
    <w:p w14:paraId="60A69F34" w14:textId="30FFD7A1" w:rsidR="00C26930" w:rsidRPr="003152BD" w:rsidRDefault="00C26930" w:rsidP="00A0367A">
      <w:pPr>
        <w:pStyle w:val="NormalIndent"/>
      </w:pPr>
      <w:r w:rsidRPr="000F3FF6">
        <w:t xml:space="preserve">The Shortlisted Respondents engaged under an ITC </w:t>
      </w:r>
      <w:r w:rsidR="00ED6C21">
        <w:t>Development Deed</w:t>
      </w:r>
      <w:r w:rsidRPr="000F3FF6">
        <w:t xml:space="preserve"> </w:t>
      </w:r>
      <w:r w:rsidR="47B8951C">
        <w:t>are</w:t>
      </w:r>
      <w:r w:rsidRPr="000F3FF6">
        <w:t xml:space="preserve"> required to perform the Development Phase Services as set out in the Development Phase Services and Deliverables </w:t>
      </w:r>
      <w:r w:rsidRPr="00671784">
        <w:t>Schedule (</w:t>
      </w:r>
      <w:r w:rsidRPr="00D42D0D">
        <w:t>DPSDS</w:t>
      </w:r>
      <w:r w:rsidRPr="00671784">
        <w:t>) (</w:t>
      </w:r>
      <w:r w:rsidR="009941BA">
        <w:t>Schedule</w:t>
      </w:r>
      <w:r w:rsidR="00754976" w:rsidRPr="00754976">
        <w:rPr>
          <w:rFonts w:ascii="Calibri" w:hAnsi="Calibri" w:cs="Calibri"/>
        </w:rPr>
        <w:t> </w:t>
      </w:r>
      <w:r w:rsidRPr="000F3FF6">
        <w:t>4). The Development Phase Services typically involve developing design and associated plans and progressively developing a TOC Estimate. The Shortlisted Respondent</w:t>
      </w:r>
      <w:r w:rsidR="002A076C">
        <w:t>’</w:t>
      </w:r>
      <w:r w:rsidRPr="000F3FF6">
        <w:t>s services may also include assisting with the relevant approvals (in a non-competitive TOC development approach).</w:t>
      </w:r>
    </w:p>
    <w:p w14:paraId="7336664E" w14:textId="77777777" w:rsidR="00C26930" w:rsidRDefault="00C26930" w:rsidP="00945FC5">
      <w:pPr>
        <w:pStyle w:val="Heading3numbered"/>
      </w:pPr>
      <w:r w:rsidRPr="781864CB">
        <w:t>ITC Delivery Deed</w:t>
      </w:r>
    </w:p>
    <w:p w14:paraId="08FFA511" w14:textId="364373AF" w:rsidR="00C26930" w:rsidRDefault="00C26930" w:rsidP="00A0367A">
      <w:pPr>
        <w:pStyle w:val="NormalIndent"/>
      </w:pPr>
      <w:r w:rsidRPr="781864CB">
        <w:t xml:space="preserve">After the Principal </w:t>
      </w:r>
      <w:r>
        <w:t>select</w:t>
      </w:r>
      <w:r w:rsidR="00FE1EA3">
        <w:t>s</w:t>
      </w:r>
      <w:r w:rsidRPr="781864CB">
        <w:t xml:space="preserve"> a Shortlisted Respondent as the Successful Respondent, that party </w:t>
      </w:r>
      <w:r w:rsidR="00FE1EA3">
        <w:t>is</w:t>
      </w:r>
      <w:r w:rsidRPr="781864CB">
        <w:t xml:space="preserve"> engaged as the Contractor under the ITC Delivery Deed to deliver the Project. The Contractor</w:t>
      </w:r>
      <w:r w:rsidR="511CD92A">
        <w:t xml:space="preserve"> is required to</w:t>
      </w:r>
      <w:r w:rsidRPr="781864CB">
        <w:t>:</w:t>
      </w:r>
    </w:p>
    <w:p w14:paraId="526C31D9" w14:textId="584F3789" w:rsidR="00C26930" w:rsidRDefault="00C26930" w:rsidP="000D52B3">
      <w:pPr>
        <w:pStyle w:val="Bulletindent"/>
        <w:rPr>
          <w:rFonts w:eastAsia="Arial"/>
        </w:rPr>
      </w:pPr>
      <w:r w:rsidRPr="095B1436">
        <w:rPr>
          <w:rFonts w:eastAsia="Arial"/>
        </w:rPr>
        <w:t>design</w:t>
      </w:r>
      <w:r w:rsidRPr="781864CB">
        <w:rPr>
          <w:rFonts w:eastAsia="Arial"/>
        </w:rPr>
        <w:t xml:space="preserve"> and </w:t>
      </w:r>
      <w:r w:rsidRPr="095B1436">
        <w:rPr>
          <w:rFonts w:eastAsia="Arial"/>
        </w:rPr>
        <w:t>construct</w:t>
      </w:r>
      <w:r w:rsidRPr="781864CB">
        <w:rPr>
          <w:rFonts w:eastAsia="Arial"/>
        </w:rPr>
        <w:t xml:space="preserve"> the </w:t>
      </w:r>
      <w:r w:rsidR="00D030BC">
        <w:rPr>
          <w:rFonts w:eastAsia="Arial"/>
        </w:rPr>
        <w:t>P</w:t>
      </w:r>
      <w:r w:rsidRPr="781864CB">
        <w:rPr>
          <w:rFonts w:eastAsia="Arial"/>
        </w:rPr>
        <w:t>roject in line with the risk profile of the ITC Delivery Deed</w:t>
      </w:r>
      <w:r w:rsidR="004C4551">
        <w:rPr>
          <w:rFonts w:eastAsia="Arial"/>
        </w:rPr>
        <w:t>;</w:t>
      </w:r>
    </w:p>
    <w:p w14:paraId="1BC14646" w14:textId="4B6E0A85" w:rsidR="00C26930" w:rsidRDefault="736660CC" w:rsidP="000D52B3">
      <w:pPr>
        <w:pStyle w:val="Bulletindent"/>
        <w:rPr>
          <w:rFonts w:eastAsia="Arial"/>
        </w:rPr>
      </w:pPr>
      <w:r w:rsidRPr="095B1436">
        <w:rPr>
          <w:rFonts w:eastAsia="Arial"/>
        </w:rPr>
        <w:t>be</w:t>
      </w:r>
      <w:r w:rsidR="00C26930" w:rsidRPr="0D5AADFC">
        <w:rPr>
          <w:rFonts w:eastAsia="Arial"/>
        </w:rPr>
        <w:t xml:space="preserve"> paid the Reimbursable Costs (Schedule</w:t>
      </w:r>
      <w:r w:rsidR="00754976" w:rsidRPr="00754976">
        <w:rPr>
          <w:rFonts w:ascii="Calibri" w:eastAsia="Arial" w:hAnsi="Calibri"/>
        </w:rPr>
        <w:t> </w:t>
      </w:r>
      <w:r w:rsidR="00C26930" w:rsidRPr="0D5AADFC">
        <w:rPr>
          <w:rFonts w:eastAsia="Arial"/>
        </w:rPr>
        <w:t xml:space="preserve">3), </w:t>
      </w:r>
      <w:r w:rsidR="00D67A04" w:rsidRPr="095B1436">
        <w:rPr>
          <w:rFonts w:eastAsia="Arial"/>
        </w:rPr>
        <w:t>COP</w:t>
      </w:r>
      <w:r w:rsidR="00C26930" w:rsidRPr="0D5AADFC">
        <w:rPr>
          <w:rFonts w:eastAsia="Arial"/>
        </w:rPr>
        <w:t xml:space="preserve"> (Schedule</w:t>
      </w:r>
      <w:r w:rsidR="00754976" w:rsidRPr="00754976">
        <w:rPr>
          <w:rFonts w:ascii="Calibri" w:eastAsia="Arial" w:hAnsi="Calibri"/>
        </w:rPr>
        <w:t> </w:t>
      </w:r>
      <w:r w:rsidR="00C26930" w:rsidRPr="0D5AADFC">
        <w:rPr>
          <w:rFonts w:eastAsia="Arial"/>
        </w:rPr>
        <w:t>4) and any payments due under the Risk or Reward Regime (Schedule</w:t>
      </w:r>
      <w:r w:rsidR="00754976" w:rsidRPr="00754976">
        <w:rPr>
          <w:rFonts w:ascii="Calibri" w:eastAsia="Arial" w:hAnsi="Calibri"/>
        </w:rPr>
        <w:t> </w:t>
      </w:r>
      <w:r w:rsidR="00C26930" w:rsidRPr="0D5AADFC">
        <w:rPr>
          <w:rFonts w:eastAsia="Arial"/>
        </w:rPr>
        <w:t>5)</w:t>
      </w:r>
      <w:r w:rsidR="00692DD7">
        <w:rPr>
          <w:rFonts w:eastAsia="Arial"/>
        </w:rPr>
        <w:t>;</w:t>
      </w:r>
    </w:p>
    <w:p w14:paraId="133CA5B9" w14:textId="315730DE" w:rsidR="002A524B" w:rsidRPr="002A524B" w:rsidRDefault="00C26930" w:rsidP="000D52B3">
      <w:pPr>
        <w:pStyle w:val="Bulletindent"/>
        <w:rPr>
          <w:rFonts w:eastAsia="Arial"/>
        </w:rPr>
      </w:pPr>
      <w:r w:rsidRPr="781864CB">
        <w:rPr>
          <w:rFonts w:eastAsia="Arial"/>
        </w:rPr>
        <w:t xml:space="preserve"> competitively and transparently tender proposed </w:t>
      </w:r>
      <w:r w:rsidR="002B3E3E">
        <w:rPr>
          <w:rFonts w:eastAsia="Arial"/>
        </w:rPr>
        <w:t>S</w:t>
      </w:r>
      <w:r w:rsidRPr="781864CB">
        <w:rPr>
          <w:rFonts w:eastAsia="Arial"/>
        </w:rPr>
        <w:t>ubcontracts</w:t>
      </w:r>
      <w:r w:rsidR="00692DD7">
        <w:rPr>
          <w:rFonts w:eastAsia="Arial"/>
        </w:rPr>
        <w:t>; and</w:t>
      </w:r>
    </w:p>
    <w:p w14:paraId="1AB6AA1C" w14:textId="183B37BE" w:rsidR="00C26930" w:rsidDel="003E1BC4" w:rsidRDefault="00C26930" w:rsidP="000D52B3">
      <w:pPr>
        <w:pStyle w:val="Bulletindent"/>
        <w:rPr>
          <w:rFonts w:eastAsia="Arial"/>
        </w:rPr>
      </w:pPr>
      <w:r w:rsidRPr="781864CB">
        <w:rPr>
          <w:rFonts w:eastAsia="Arial"/>
        </w:rPr>
        <w:t xml:space="preserve"> achieve </w:t>
      </w:r>
      <w:r w:rsidR="005946B6" w:rsidRPr="095B1436">
        <w:rPr>
          <w:rFonts w:eastAsia="Arial"/>
        </w:rPr>
        <w:t>C</w:t>
      </w:r>
      <w:r w:rsidRPr="095B1436">
        <w:rPr>
          <w:rFonts w:eastAsia="Arial"/>
        </w:rPr>
        <w:t>ompletion</w:t>
      </w:r>
      <w:r w:rsidRPr="781864CB">
        <w:rPr>
          <w:rFonts w:eastAsia="Arial"/>
        </w:rPr>
        <w:t xml:space="preserve"> by the relevant date, </w:t>
      </w:r>
      <w:r w:rsidRPr="095B1436">
        <w:rPr>
          <w:rFonts w:eastAsia="Arial"/>
        </w:rPr>
        <w:t>hand</w:t>
      </w:r>
      <w:r w:rsidRPr="781864CB">
        <w:rPr>
          <w:rFonts w:eastAsia="Arial"/>
        </w:rPr>
        <w:t xml:space="preserve"> the </w:t>
      </w:r>
      <w:r w:rsidR="00D030BC">
        <w:rPr>
          <w:rFonts w:eastAsia="Arial"/>
        </w:rPr>
        <w:t>P</w:t>
      </w:r>
      <w:r w:rsidRPr="781864CB">
        <w:rPr>
          <w:rFonts w:eastAsia="Arial"/>
        </w:rPr>
        <w:t xml:space="preserve">roject </w:t>
      </w:r>
      <w:r w:rsidR="00692DD7">
        <w:rPr>
          <w:rFonts w:eastAsia="Arial"/>
        </w:rPr>
        <w:t xml:space="preserve">over </w:t>
      </w:r>
      <w:r w:rsidRPr="781864CB">
        <w:rPr>
          <w:rFonts w:eastAsia="Arial"/>
        </w:rPr>
        <w:t xml:space="preserve">to the Principal and rectify any </w:t>
      </w:r>
      <w:r w:rsidR="00692DD7" w:rsidRPr="095B1436">
        <w:rPr>
          <w:rFonts w:eastAsia="Arial"/>
        </w:rPr>
        <w:t>D</w:t>
      </w:r>
      <w:r w:rsidRPr="095B1436">
        <w:rPr>
          <w:rFonts w:eastAsia="Arial"/>
        </w:rPr>
        <w:t xml:space="preserve">efects </w:t>
      </w:r>
      <w:r w:rsidRPr="781864CB">
        <w:rPr>
          <w:rFonts w:eastAsia="Arial"/>
        </w:rPr>
        <w:t>identified during the Defect</w:t>
      </w:r>
      <w:r w:rsidR="00E12A2F">
        <w:rPr>
          <w:rFonts w:eastAsia="Arial"/>
        </w:rPr>
        <w:t>s</w:t>
      </w:r>
      <w:r w:rsidRPr="781864CB">
        <w:rPr>
          <w:rFonts w:eastAsia="Arial"/>
        </w:rPr>
        <w:t xml:space="preserve"> Liability </w:t>
      </w:r>
      <w:r w:rsidRPr="00671784">
        <w:rPr>
          <w:rFonts w:eastAsia="Arial"/>
        </w:rPr>
        <w:t>Period</w:t>
      </w:r>
      <w:r w:rsidR="00DA5316" w:rsidRPr="00671784">
        <w:rPr>
          <w:rFonts w:eastAsia="Arial"/>
        </w:rPr>
        <w:t xml:space="preserve"> (</w:t>
      </w:r>
      <w:r w:rsidR="00DA5316" w:rsidRPr="00D42D0D">
        <w:rPr>
          <w:rFonts w:eastAsia="Arial"/>
        </w:rPr>
        <w:t>DLP</w:t>
      </w:r>
      <w:r w:rsidR="00DA5316" w:rsidRPr="00671784">
        <w:rPr>
          <w:rFonts w:eastAsia="Arial"/>
        </w:rPr>
        <w:t>)</w:t>
      </w:r>
      <w:r w:rsidRPr="00671784">
        <w:rPr>
          <w:rFonts w:eastAsia="Arial"/>
        </w:rPr>
        <w:t>.</w:t>
      </w:r>
    </w:p>
    <w:p w14:paraId="68E453B3" w14:textId="3A53E6D5" w:rsidR="00BF6544" w:rsidRDefault="00BF6544" w:rsidP="00945FC5">
      <w:pPr>
        <w:pStyle w:val="Heading2numbered"/>
      </w:pPr>
      <w:bookmarkStart w:id="134" w:name="_Toc115180374"/>
      <w:bookmarkStart w:id="135" w:name="_Toc115180375"/>
      <w:bookmarkStart w:id="136" w:name="_Toc115180376"/>
      <w:bookmarkStart w:id="137" w:name="_Toc115180377"/>
      <w:bookmarkStart w:id="138" w:name="_Toc115180378"/>
      <w:bookmarkStart w:id="139" w:name="_Toc115180379"/>
      <w:bookmarkStart w:id="140" w:name="_Toc115180380"/>
      <w:bookmarkStart w:id="141" w:name="_Toc115180381"/>
      <w:bookmarkStart w:id="142" w:name="_Toc115180382"/>
      <w:bookmarkStart w:id="143" w:name="_Toc115180383"/>
      <w:bookmarkStart w:id="144" w:name="_Toc115180384"/>
      <w:bookmarkStart w:id="145" w:name="_Toc115180385"/>
      <w:bookmarkStart w:id="146" w:name="_Toc115180386"/>
      <w:bookmarkStart w:id="147" w:name="_Toc115180387"/>
      <w:bookmarkStart w:id="148" w:name="_Toc115180388"/>
      <w:bookmarkStart w:id="149" w:name="_Toc115180389"/>
      <w:bookmarkStart w:id="150" w:name="_Toc115180390"/>
      <w:bookmarkStart w:id="151" w:name="_Toc115180391"/>
      <w:bookmarkStart w:id="152" w:name="_Toc115180392"/>
      <w:bookmarkStart w:id="153" w:name="_Toc115180393"/>
      <w:bookmarkStart w:id="154" w:name="_Toc115180394"/>
      <w:bookmarkStart w:id="155" w:name="_Toc115180395"/>
      <w:bookmarkStart w:id="156" w:name="_Toc115180396"/>
      <w:bookmarkStart w:id="157" w:name="_Toc115180397"/>
      <w:bookmarkStart w:id="158" w:name="_Toc115180398"/>
      <w:bookmarkStart w:id="159" w:name="_Toc115180399"/>
      <w:bookmarkStart w:id="160" w:name="_Toc115180400"/>
      <w:bookmarkStart w:id="161" w:name="_Toc115180401"/>
      <w:bookmarkStart w:id="162" w:name="_Toc115180402"/>
      <w:bookmarkStart w:id="163" w:name="_Toc115180403"/>
      <w:bookmarkStart w:id="164" w:name="_Toc115180404"/>
      <w:bookmarkStart w:id="165" w:name="_Toc115180405"/>
      <w:bookmarkStart w:id="166" w:name="_Toc115180406"/>
      <w:bookmarkStart w:id="167" w:name="_Toc115180407"/>
      <w:bookmarkStart w:id="168" w:name="_Toc115180408"/>
      <w:bookmarkStart w:id="169" w:name="_Toc115180409"/>
      <w:bookmarkStart w:id="170" w:name="_Toc115180410"/>
      <w:bookmarkStart w:id="171" w:name="_Toc115180411"/>
      <w:bookmarkStart w:id="172" w:name="_Toc115180412"/>
      <w:bookmarkStart w:id="173" w:name="_Toc115180413"/>
      <w:bookmarkStart w:id="174" w:name="_Toc115180414"/>
      <w:bookmarkStart w:id="175" w:name="_Toc115180415"/>
      <w:bookmarkStart w:id="176" w:name="_Toc115180416"/>
      <w:bookmarkStart w:id="177" w:name="_Toc115180417"/>
      <w:bookmarkStart w:id="178" w:name="_Toc115180418"/>
      <w:bookmarkStart w:id="179" w:name="_Toc115180419"/>
      <w:bookmarkStart w:id="180" w:name="_Toc115180420"/>
      <w:bookmarkStart w:id="181" w:name="_Toc115180421"/>
      <w:bookmarkStart w:id="182" w:name="_Toc115180422"/>
      <w:bookmarkStart w:id="183" w:name="_Toc115180423"/>
      <w:bookmarkStart w:id="184" w:name="_Toc115180424"/>
      <w:bookmarkStart w:id="185" w:name="_Toc115180425"/>
      <w:bookmarkStart w:id="186" w:name="_Toc115180426"/>
      <w:bookmarkStart w:id="187" w:name="_Toc115180427"/>
      <w:bookmarkStart w:id="188" w:name="_Toc145612563"/>
      <w:bookmarkStart w:id="189" w:name="_Ref129287034"/>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Legislative context</w:t>
      </w:r>
      <w:bookmarkEnd w:id="188"/>
    </w:p>
    <w:p w14:paraId="6CA8ADF0" w14:textId="4BA08A3E" w:rsidR="00C26930" w:rsidDel="00D266C1" w:rsidRDefault="00C26930" w:rsidP="00945FC5">
      <w:pPr>
        <w:pStyle w:val="Heading3numbered"/>
      </w:pPr>
      <w:r w:rsidRPr="00D42D0D" w:rsidDel="00D266C1">
        <w:rPr>
          <w:i/>
          <w:iCs/>
        </w:rPr>
        <w:t>Major Transport Projects Facilitation Act 2009</w:t>
      </w:r>
      <w:r w:rsidDel="00D266C1">
        <w:t xml:space="preserve"> (Vic)</w:t>
      </w:r>
      <w:bookmarkEnd w:id="189"/>
    </w:p>
    <w:p w14:paraId="1E25D21E" w14:textId="67BCE47B" w:rsidR="00C26930" w:rsidRPr="00CC0E17" w:rsidRDefault="00C26930" w:rsidP="00A0367A">
      <w:pPr>
        <w:pStyle w:val="NormalIndent"/>
      </w:pPr>
      <w:r w:rsidRPr="000F3FF6">
        <w:t>The</w:t>
      </w:r>
      <w:r w:rsidRPr="000F3FF6" w:rsidDel="00657CC1">
        <w:t xml:space="preserve"> </w:t>
      </w:r>
      <w:r w:rsidRPr="000F3FF6">
        <w:t xml:space="preserve">ITC Contract Suite has been drafted on the basis that the </w:t>
      </w:r>
      <w:r w:rsidRPr="000F3FF6" w:rsidDel="00D266C1">
        <w:rPr>
          <w:i/>
          <w:iCs/>
        </w:rPr>
        <w:t>Major Transport Projects</w:t>
      </w:r>
      <w:r w:rsidRPr="000F3FF6">
        <w:rPr>
          <w:i/>
          <w:iCs/>
        </w:rPr>
        <w:t xml:space="preserve"> </w:t>
      </w:r>
      <w:r w:rsidRPr="000F3FF6" w:rsidDel="00D266C1">
        <w:rPr>
          <w:i/>
          <w:iCs/>
        </w:rPr>
        <w:t xml:space="preserve">Facilitation Act 2009 </w:t>
      </w:r>
      <w:r w:rsidRPr="00EE054A" w:rsidDel="00D266C1">
        <w:t>(Vic)</w:t>
      </w:r>
      <w:r w:rsidRPr="000F3FF6" w:rsidDel="00D266C1">
        <w:t xml:space="preserve"> </w:t>
      </w:r>
      <w:r w:rsidRPr="00671784" w:rsidDel="00D266C1">
        <w:t>(</w:t>
      </w:r>
      <w:r w:rsidRPr="00D42D0D" w:rsidDel="00D266C1">
        <w:t>MTPF</w:t>
      </w:r>
      <w:r w:rsidR="00CE545A">
        <w:t xml:space="preserve"> </w:t>
      </w:r>
      <w:r w:rsidRPr="00D42D0D" w:rsidDel="00D266C1">
        <w:t>A</w:t>
      </w:r>
      <w:r w:rsidR="00CE545A">
        <w:t>ct</w:t>
      </w:r>
      <w:r w:rsidRPr="00671784">
        <w:t>) applies</w:t>
      </w:r>
      <w:r w:rsidRPr="000F3FF6">
        <w:t>.</w:t>
      </w:r>
    </w:p>
    <w:p w14:paraId="2BFA7B2D" w14:textId="1EC6448D" w:rsidR="00C26930" w:rsidDel="00D266C1" w:rsidRDefault="00C26930" w:rsidP="00A0367A">
      <w:pPr>
        <w:pStyle w:val="NormalIndent"/>
      </w:pPr>
      <w:r w:rsidRPr="2411A129" w:rsidDel="00D266C1">
        <w:t xml:space="preserve">The </w:t>
      </w:r>
      <w:r w:rsidRPr="00D0569C" w:rsidDel="00D266C1">
        <w:t>MTPF</w:t>
      </w:r>
      <w:r w:rsidR="00CE545A">
        <w:t xml:space="preserve"> </w:t>
      </w:r>
      <w:r w:rsidRPr="00D0569C" w:rsidDel="00D266C1">
        <w:t>A</w:t>
      </w:r>
      <w:r w:rsidR="00CE545A">
        <w:t>ct</w:t>
      </w:r>
      <w:r w:rsidRPr="2411A129" w:rsidDel="00D266C1">
        <w:t xml:space="preserve"> seeks to facilitate the development of major transport projects</w:t>
      </w:r>
      <w:r w:rsidR="00671784">
        <w:t>. It also applies</w:t>
      </w:r>
      <w:r w:rsidRPr="2411A129" w:rsidDel="00D266C1">
        <w:t xml:space="preserve"> when the ITC </w:t>
      </w:r>
      <w:r w:rsidR="00FD7089">
        <w:t>C</w:t>
      </w:r>
      <w:r w:rsidRPr="2411A129" w:rsidDel="00D266C1">
        <w:t xml:space="preserve">ontract </w:t>
      </w:r>
      <w:r w:rsidR="00FD7089">
        <w:t>S</w:t>
      </w:r>
      <w:r w:rsidRPr="2411A129" w:rsidDel="00D266C1">
        <w:t>uite is used for transport projects that are declared projects under section</w:t>
      </w:r>
      <w:r w:rsidR="00754976" w:rsidRPr="00754976">
        <w:rPr>
          <w:rFonts w:ascii="Calibri" w:hAnsi="Calibri" w:cs="Calibri"/>
        </w:rPr>
        <w:t> </w:t>
      </w:r>
      <w:r w:rsidRPr="2411A129" w:rsidDel="00D266C1">
        <w:t>10 of the MTPF</w:t>
      </w:r>
      <w:r w:rsidR="00367483">
        <w:t xml:space="preserve"> </w:t>
      </w:r>
      <w:r w:rsidRPr="2411A129" w:rsidDel="00D266C1">
        <w:t>A</w:t>
      </w:r>
      <w:r w:rsidR="00367483">
        <w:t>ct</w:t>
      </w:r>
      <w:r w:rsidRPr="2411A129" w:rsidDel="00D266C1">
        <w:t>. The Premier of Victoria is responsible for declaring projects under the MTPF</w:t>
      </w:r>
      <w:r w:rsidR="00367483">
        <w:t xml:space="preserve"> </w:t>
      </w:r>
      <w:r w:rsidRPr="2411A129" w:rsidDel="00D266C1">
        <w:t>A</w:t>
      </w:r>
      <w:r w:rsidR="00367483">
        <w:t>ct</w:t>
      </w:r>
      <w:r w:rsidRPr="2411A129" w:rsidDel="00D266C1">
        <w:t>.</w:t>
      </w:r>
    </w:p>
    <w:p w14:paraId="21D1032C" w14:textId="58D34FD7" w:rsidR="00C26930" w:rsidRPr="00C56253" w:rsidDel="00D266C1" w:rsidRDefault="00A11824" w:rsidP="00A0367A">
      <w:pPr>
        <w:pStyle w:val="NormalIndent"/>
      </w:pPr>
      <w:r>
        <w:t>F</w:t>
      </w:r>
      <w:r w:rsidR="00C26930" w:rsidRPr="2411A129" w:rsidDel="00D266C1">
        <w:t>or the purposes of the MTPF</w:t>
      </w:r>
      <w:r w:rsidR="00367483">
        <w:t xml:space="preserve"> </w:t>
      </w:r>
      <w:r w:rsidR="00C26930" w:rsidRPr="2411A129" w:rsidDel="00D266C1">
        <w:t>A</w:t>
      </w:r>
      <w:r w:rsidR="00367483">
        <w:t>ct</w:t>
      </w:r>
      <w:r>
        <w:t xml:space="preserve">, a ‘transport project’ </w:t>
      </w:r>
      <w:r w:rsidR="00C26930" w:rsidRPr="2411A129" w:rsidDel="00D266C1">
        <w:t>is broadly defined as a project for the development of</w:t>
      </w:r>
      <w:r>
        <w:t xml:space="preserve"> </w:t>
      </w:r>
      <w:r w:rsidR="00C26930" w:rsidRPr="00945FC5" w:rsidDel="00D266C1">
        <w:t>transport infrastructure</w:t>
      </w:r>
      <w:r>
        <w:t>,</w:t>
      </w:r>
      <w:r w:rsidR="00C26930" w:rsidRPr="00945FC5" w:rsidDel="00D266C1">
        <w:t xml:space="preserve"> or</w:t>
      </w:r>
      <w:r>
        <w:t xml:space="preserve"> </w:t>
      </w:r>
      <w:r w:rsidR="00C26930" w:rsidRPr="00945FC5" w:rsidDel="00D266C1">
        <w:t>transport infrastructure together with non-transport infrastructure.</w:t>
      </w:r>
      <w:r>
        <w:t xml:space="preserve"> </w:t>
      </w:r>
      <w:r w:rsidR="00C26930" w:rsidRPr="00C56253" w:rsidDel="00D266C1">
        <w:t>Some non-transport infrastructure may also qualify as part of a transport project under the MTPF</w:t>
      </w:r>
      <w:r w:rsidR="00981275">
        <w:t xml:space="preserve"> </w:t>
      </w:r>
      <w:r w:rsidR="00C26930" w:rsidRPr="00C56253" w:rsidDel="00D266C1">
        <w:t>A</w:t>
      </w:r>
      <w:r w:rsidR="00981275">
        <w:t>ct</w:t>
      </w:r>
      <w:r w:rsidR="00C26930" w:rsidRPr="00C56253" w:rsidDel="00D266C1">
        <w:t>.</w:t>
      </w:r>
    </w:p>
    <w:p w14:paraId="20E33283" w14:textId="4F8C3BAF" w:rsidR="00C26930" w:rsidRPr="00945FC5" w:rsidDel="00D266C1" w:rsidRDefault="00C26930" w:rsidP="00A0367A">
      <w:pPr>
        <w:pStyle w:val="NormalIndent"/>
      </w:pPr>
      <w:r w:rsidRPr="00C56253" w:rsidDel="00D266C1">
        <w:t>The declaration of a transport project may either be in relation to</w:t>
      </w:r>
      <w:r w:rsidR="00A11824">
        <w:t xml:space="preserve"> </w:t>
      </w:r>
      <w:r w:rsidRPr="00945FC5" w:rsidDel="00D266C1">
        <w:t>the entire MTPF</w:t>
      </w:r>
      <w:r w:rsidR="00981275">
        <w:t xml:space="preserve"> </w:t>
      </w:r>
      <w:r w:rsidRPr="00945FC5" w:rsidDel="00D266C1">
        <w:t>A</w:t>
      </w:r>
      <w:r w:rsidR="00981275">
        <w:t>ct</w:t>
      </w:r>
      <w:r w:rsidRPr="00945FC5" w:rsidDel="00D266C1">
        <w:t xml:space="preserve"> (including planning assessment and approval) or</w:t>
      </w:r>
      <w:r w:rsidR="00A11824">
        <w:t xml:space="preserve"> </w:t>
      </w:r>
      <w:r w:rsidRPr="00945FC5" w:rsidDel="00D266C1">
        <w:t>the MTPF</w:t>
      </w:r>
      <w:r w:rsidR="00981275">
        <w:t xml:space="preserve"> </w:t>
      </w:r>
      <w:r w:rsidRPr="00945FC5" w:rsidDel="00D266C1">
        <w:t>A</w:t>
      </w:r>
      <w:r w:rsidR="00981275">
        <w:t>ct</w:t>
      </w:r>
      <w:r w:rsidRPr="00945FC5" w:rsidDel="00D266C1">
        <w:t xml:space="preserve"> </w:t>
      </w:r>
      <w:r w:rsidR="00A11824">
        <w:t>excluding</w:t>
      </w:r>
      <w:r w:rsidRPr="00945FC5" w:rsidDel="00D266C1">
        <w:t xml:space="preserve"> Part</w:t>
      </w:r>
      <w:r w:rsidR="00A11824">
        <w:t>s</w:t>
      </w:r>
      <w:r w:rsidR="00754976" w:rsidRPr="00754976">
        <w:rPr>
          <w:rFonts w:ascii="Calibri" w:hAnsi="Calibri" w:cs="Calibri"/>
        </w:rPr>
        <w:t> </w:t>
      </w:r>
      <w:r w:rsidRPr="00945FC5" w:rsidDel="00D266C1">
        <w:t>3 and 8 (project delivery only).</w:t>
      </w:r>
    </w:p>
    <w:p w14:paraId="4715A009" w14:textId="2E0E72E6" w:rsidR="00C26930" w:rsidRPr="00C56253" w:rsidDel="00D266C1" w:rsidRDefault="00C26930" w:rsidP="00A0367A">
      <w:pPr>
        <w:pStyle w:val="NormalIndent"/>
      </w:pPr>
      <w:r w:rsidRPr="00C56253" w:rsidDel="00D266C1">
        <w:t>If the entire MTPF</w:t>
      </w:r>
      <w:r w:rsidR="00057A0E">
        <w:t xml:space="preserve"> </w:t>
      </w:r>
      <w:r w:rsidRPr="00C56253" w:rsidDel="00D266C1">
        <w:t>A</w:t>
      </w:r>
      <w:r w:rsidR="00057A0E">
        <w:t>ct</w:t>
      </w:r>
      <w:r w:rsidRPr="00C56253" w:rsidDel="00D266C1">
        <w:t xml:space="preserve"> applies, the transport project attract</w:t>
      </w:r>
      <w:r w:rsidR="00057A0E">
        <w:t>s</w:t>
      </w:r>
      <w:r w:rsidRPr="00C56253" w:rsidDel="00057A0E">
        <w:t xml:space="preserve"> </w:t>
      </w:r>
      <w:r w:rsidRPr="00C56253" w:rsidDel="00D266C1">
        <w:t>the planning assessment and approval processes and the project delivery powers under the MTPF</w:t>
      </w:r>
      <w:r w:rsidR="00057A0E">
        <w:t xml:space="preserve"> </w:t>
      </w:r>
      <w:r w:rsidRPr="00C56253" w:rsidDel="00D266C1">
        <w:t>A</w:t>
      </w:r>
      <w:r w:rsidR="00057A0E">
        <w:t>ct</w:t>
      </w:r>
      <w:r w:rsidRPr="00C56253" w:rsidDel="00D266C1">
        <w:t>.</w:t>
      </w:r>
    </w:p>
    <w:p w14:paraId="23A947F2" w14:textId="005F1007" w:rsidR="00C26930" w:rsidRPr="00C56253" w:rsidDel="00D266C1" w:rsidRDefault="00C26930" w:rsidP="00A0367A">
      <w:pPr>
        <w:pStyle w:val="NormalIndent"/>
      </w:pPr>
      <w:r w:rsidRPr="00C56253" w:rsidDel="00D266C1">
        <w:t>If the MTPF</w:t>
      </w:r>
      <w:r w:rsidR="006E2900">
        <w:t xml:space="preserve"> </w:t>
      </w:r>
      <w:r w:rsidRPr="00C56253" w:rsidDel="00D266C1">
        <w:t>A</w:t>
      </w:r>
      <w:r w:rsidR="006E2900">
        <w:t>ct</w:t>
      </w:r>
      <w:r w:rsidRPr="00C56253" w:rsidDel="00D266C1">
        <w:t xml:space="preserve"> </w:t>
      </w:r>
      <w:r w:rsidR="00A11824">
        <w:t>excluding</w:t>
      </w:r>
      <w:r w:rsidRPr="00C56253" w:rsidDel="00D266C1">
        <w:t xml:space="preserve"> Parts</w:t>
      </w:r>
      <w:r w:rsidR="00754976" w:rsidRPr="00754976">
        <w:rPr>
          <w:rFonts w:ascii="Calibri" w:hAnsi="Calibri" w:cs="Calibri"/>
        </w:rPr>
        <w:t> </w:t>
      </w:r>
      <w:r w:rsidRPr="00C56253" w:rsidDel="00D266C1">
        <w:t>3 and 8 applies</w:t>
      </w:r>
      <w:r w:rsidR="00A11824">
        <w:t>,</w:t>
      </w:r>
      <w:r w:rsidRPr="00C56253" w:rsidDel="00D266C1">
        <w:t xml:space="preserve"> the transport project </w:t>
      </w:r>
      <w:r w:rsidR="3944B8FA">
        <w:t xml:space="preserve">can </w:t>
      </w:r>
      <w:r w:rsidRPr="00C56253" w:rsidDel="00D266C1">
        <w:t>benefit from the project delivery provisions of the MTPF</w:t>
      </w:r>
      <w:r w:rsidR="00A303DC">
        <w:t xml:space="preserve"> </w:t>
      </w:r>
      <w:r w:rsidRPr="00C56253" w:rsidDel="00D266C1">
        <w:t>A</w:t>
      </w:r>
      <w:r w:rsidR="00A303DC">
        <w:t>ct,</w:t>
      </w:r>
      <w:r w:rsidRPr="00C56253" w:rsidDel="00D266C1">
        <w:t xml:space="preserve"> once planning approval has been obtained under standard processes.</w:t>
      </w:r>
    </w:p>
    <w:p w14:paraId="3039DE1D" w14:textId="1DB9CF95" w:rsidR="00C26930" w:rsidRPr="00C56253" w:rsidDel="00D266C1" w:rsidRDefault="00C26930" w:rsidP="00A0367A">
      <w:pPr>
        <w:pStyle w:val="NormalIndent"/>
      </w:pPr>
      <w:r w:rsidRPr="00C56253" w:rsidDel="00D266C1">
        <w:t>The MTPF</w:t>
      </w:r>
      <w:r w:rsidR="00A303DC">
        <w:t xml:space="preserve"> </w:t>
      </w:r>
      <w:r w:rsidRPr="00C56253" w:rsidDel="00D266C1">
        <w:t>A</w:t>
      </w:r>
      <w:r w:rsidR="00A303DC">
        <w:t>ct</w:t>
      </w:r>
      <w:r w:rsidRPr="00C56253" w:rsidDel="00D266C1">
        <w:t>’s planning assessment and approval provisions seek to streamline the assessment and approvals processes</w:t>
      </w:r>
      <w:r w:rsidR="00BA609A">
        <w:t xml:space="preserve">. They </w:t>
      </w:r>
      <w:r w:rsidRPr="00C56253" w:rsidDel="00D266C1">
        <w:t>provide a range of planning and environmental approvals for a project in a single approval decision (see Parts</w:t>
      </w:r>
      <w:r w:rsidR="00754976" w:rsidRPr="00754976">
        <w:rPr>
          <w:rFonts w:ascii="Calibri" w:hAnsi="Calibri" w:cs="Calibri"/>
        </w:rPr>
        <w:t> </w:t>
      </w:r>
      <w:r w:rsidRPr="00C56253" w:rsidDel="00D266C1">
        <w:t>3 and 8 of the MTPF</w:t>
      </w:r>
      <w:r w:rsidR="00B07A79">
        <w:t xml:space="preserve"> </w:t>
      </w:r>
      <w:r w:rsidRPr="00C56253" w:rsidDel="00D266C1">
        <w:t>A</w:t>
      </w:r>
      <w:r w:rsidR="00B07A79">
        <w:t>ct</w:t>
      </w:r>
      <w:r w:rsidRPr="00C56253" w:rsidDel="00D266C1">
        <w:t>).</w:t>
      </w:r>
    </w:p>
    <w:p w14:paraId="370AD826" w14:textId="69E69591" w:rsidR="00C26930" w:rsidRPr="00C56253" w:rsidDel="00D266C1" w:rsidRDefault="00C26930" w:rsidP="00A0367A">
      <w:pPr>
        <w:pStyle w:val="NormalIndent"/>
      </w:pPr>
      <w:r w:rsidRPr="00C56253" w:rsidDel="00D266C1">
        <w:t>The MTPF</w:t>
      </w:r>
      <w:r w:rsidR="00B07A79">
        <w:t xml:space="preserve"> </w:t>
      </w:r>
      <w:r w:rsidRPr="00C56253" w:rsidDel="00D266C1">
        <w:t>A</w:t>
      </w:r>
      <w:r w:rsidR="00B07A79">
        <w:t>ct</w:t>
      </w:r>
      <w:r w:rsidRPr="00C56253" w:rsidDel="00D266C1">
        <w:t>’s project delivery provisions provide a range of project delivery powers</w:t>
      </w:r>
      <w:r w:rsidR="00BA609A">
        <w:t>. These</w:t>
      </w:r>
      <w:r w:rsidRPr="00C56253" w:rsidDel="00D266C1">
        <w:t xml:space="preserve"> govern land acquisition</w:t>
      </w:r>
      <w:r w:rsidR="00B16240">
        <w:t>,</w:t>
      </w:r>
      <w:r w:rsidRPr="00C56253" w:rsidDel="00D266C1">
        <w:t xml:space="preserve"> assembly</w:t>
      </w:r>
      <w:r>
        <w:t xml:space="preserve"> and </w:t>
      </w:r>
      <w:r w:rsidRPr="00C56253" w:rsidDel="00D266C1">
        <w:t>management, road management, utilities</w:t>
      </w:r>
      <w:r w:rsidR="00931F96">
        <w:rPr>
          <w:rFonts w:hint="eastAsia"/>
        </w:rPr>
        <w:t xml:space="preserve"> and</w:t>
      </w:r>
      <w:r w:rsidRPr="00C56253" w:rsidDel="00D266C1">
        <w:t xml:space="preserve"> a range of other facilitating provisions.</w:t>
      </w:r>
    </w:p>
    <w:p w14:paraId="36130CF0" w14:textId="22EE6881" w:rsidR="00C26930" w:rsidDel="00D266C1" w:rsidRDefault="00C26930" w:rsidP="00945FC5">
      <w:pPr>
        <w:pStyle w:val="Heading3numbered"/>
      </w:pPr>
      <w:r w:rsidRPr="00C26930" w:rsidDel="00D266C1">
        <w:t>ITC Delivery Deed implications</w:t>
      </w:r>
    </w:p>
    <w:p w14:paraId="13E41294" w14:textId="1C214377" w:rsidR="00C26930" w:rsidDel="00D266C1" w:rsidRDefault="00C26930" w:rsidP="00D56CF5">
      <w:pPr>
        <w:pStyle w:val="NormalIndent"/>
        <w:keepNext/>
      </w:pPr>
      <w:r>
        <w:t>T</w:t>
      </w:r>
      <w:r w:rsidRPr="3A8420CF" w:rsidDel="00D266C1">
        <w:t>he ITC Delivery Deed has been drafted on the assumption that the MTPF</w:t>
      </w:r>
      <w:r w:rsidR="00444FDE">
        <w:t xml:space="preserve"> </w:t>
      </w:r>
      <w:r w:rsidRPr="3A8420CF" w:rsidDel="00D266C1">
        <w:t>A</w:t>
      </w:r>
      <w:r w:rsidR="00444FDE">
        <w:t>ct</w:t>
      </w:r>
      <w:r w:rsidRPr="3A8420CF" w:rsidDel="00D266C1">
        <w:t xml:space="preserve"> applies. Accordingly, amendments may need to be made to the following clauses in the ITC Delivery Deed where there are project</w:t>
      </w:r>
      <w:r w:rsidR="00043711">
        <w:t>-specific</w:t>
      </w:r>
      <w:r w:rsidRPr="3A8420CF" w:rsidDel="00D266C1">
        <w:t xml:space="preserve"> issues that do not accord with the assumptions or regimes included in the MTPF</w:t>
      </w:r>
      <w:r w:rsidR="00444FDE">
        <w:t xml:space="preserve"> </w:t>
      </w:r>
      <w:r w:rsidRPr="3A8420CF" w:rsidDel="00D266C1">
        <w:t>A</w:t>
      </w:r>
      <w:r w:rsidR="00444FDE">
        <w:t>ct</w:t>
      </w:r>
      <w:r w:rsidRPr="3A8420CF" w:rsidDel="00D266C1">
        <w:t>:</w:t>
      </w:r>
    </w:p>
    <w:p w14:paraId="2FA984DE" w14:textId="2B119F8F" w:rsidR="00C26930" w:rsidRPr="00945FC5" w:rsidDel="00D266C1" w:rsidRDefault="00BA609A" w:rsidP="00D56CF5">
      <w:pPr>
        <w:pStyle w:val="Bulletindent"/>
        <w:keepNext/>
        <w:rPr>
          <w:rFonts w:eastAsia="Arial"/>
        </w:rPr>
      </w:pPr>
      <w:r>
        <w:rPr>
          <w:rFonts w:eastAsia="Arial"/>
        </w:rPr>
        <w:t>t</w:t>
      </w:r>
      <w:r w:rsidR="00C26930" w:rsidRPr="00945FC5" w:rsidDel="00D266C1">
        <w:rPr>
          <w:rFonts w:eastAsia="Arial"/>
        </w:rPr>
        <w:t xml:space="preserve">raffic </w:t>
      </w:r>
      <w:r>
        <w:rPr>
          <w:rFonts w:eastAsia="Arial"/>
        </w:rPr>
        <w:t>m</w:t>
      </w:r>
      <w:r w:rsidR="00C26930" w:rsidRPr="00945FC5" w:rsidDel="00D266C1">
        <w:rPr>
          <w:rFonts w:eastAsia="Arial"/>
        </w:rPr>
        <w:t>anagement (clause</w:t>
      </w:r>
      <w:r w:rsidR="00754976" w:rsidRPr="00754976">
        <w:rPr>
          <w:rFonts w:ascii="Calibri" w:eastAsia="Arial" w:hAnsi="Calibri"/>
        </w:rPr>
        <w:t> </w:t>
      </w:r>
      <w:r w:rsidR="00C26930" w:rsidRPr="00945FC5" w:rsidDel="00D266C1">
        <w:rPr>
          <w:rFonts w:eastAsia="Arial"/>
        </w:rPr>
        <w:t>12.4</w:t>
      </w:r>
      <w:r w:rsidR="00B51DC4">
        <w:rPr>
          <w:rFonts w:eastAsia="Arial"/>
        </w:rPr>
        <w:t xml:space="preserve"> of the ITC Delivery Deed</w:t>
      </w:r>
      <w:r w:rsidR="00C26930" w:rsidRPr="00945FC5" w:rsidDel="00D266C1">
        <w:rPr>
          <w:rFonts w:eastAsia="Arial"/>
        </w:rPr>
        <w:t>) – potential traffic management implications</w:t>
      </w:r>
      <w:r w:rsidR="00FB5A71">
        <w:rPr>
          <w:rFonts w:eastAsia="Arial"/>
        </w:rPr>
        <w:t>;</w:t>
      </w:r>
    </w:p>
    <w:p w14:paraId="7B27B68F" w14:textId="6D488B02" w:rsidR="002A524B" w:rsidRPr="002A524B" w:rsidRDefault="00C26930" w:rsidP="00D56CF5">
      <w:pPr>
        <w:pStyle w:val="Bulletindent"/>
        <w:keepNext/>
        <w:rPr>
          <w:rFonts w:eastAsia="Arial"/>
        </w:rPr>
      </w:pPr>
      <w:r w:rsidRPr="00945FC5">
        <w:rPr>
          <w:rFonts w:eastAsia="Arial"/>
        </w:rPr>
        <w:t>U</w:t>
      </w:r>
      <w:r w:rsidRPr="00945FC5" w:rsidDel="00D266C1">
        <w:rPr>
          <w:rFonts w:eastAsia="Arial"/>
        </w:rPr>
        <w:t>tilities (clause</w:t>
      </w:r>
      <w:r w:rsidR="00754976" w:rsidRPr="00754976">
        <w:rPr>
          <w:rFonts w:ascii="Calibri" w:eastAsia="Arial" w:hAnsi="Calibri"/>
        </w:rPr>
        <w:t> </w:t>
      </w:r>
      <w:r w:rsidRPr="00945FC5" w:rsidDel="00D266C1">
        <w:rPr>
          <w:rFonts w:eastAsia="Arial"/>
        </w:rPr>
        <w:t>1</w:t>
      </w:r>
      <w:r w:rsidR="00B51DC4">
        <w:rPr>
          <w:rFonts w:eastAsia="Arial"/>
        </w:rPr>
        <w:t>3 of the ITC Delivery Deed</w:t>
      </w:r>
      <w:r w:rsidRPr="00945FC5" w:rsidDel="00D266C1">
        <w:rPr>
          <w:rFonts w:eastAsia="Arial"/>
        </w:rPr>
        <w:t>) – regime under Part</w:t>
      </w:r>
      <w:r w:rsidR="00754976" w:rsidRPr="00754976">
        <w:rPr>
          <w:rFonts w:ascii="Calibri" w:eastAsia="Arial" w:hAnsi="Calibri"/>
        </w:rPr>
        <w:t> </w:t>
      </w:r>
      <w:r w:rsidRPr="00945FC5" w:rsidDel="00D266C1">
        <w:rPr>
          <w:rFonts w:eastAsia="Arial"/>
        </w:rPr>
        <w:t>7 of the MTPF</w:t>
      </w:r>
      <w:r w:rsidR="009927AC">
        <w:rPr>
          <w:rFonts w:eastAsia="Arial"/>
        </w:rPr>
        <w:t xml:space="preserve"> </w:t>
      </w:r>
      <w:r w:rsidRPr="00945FC5" w:rsidDel="00D266C1">
        <w:rPr>
          <w:rFonts w:eastAsia="Arial"/>
        </w:rPr>
        <w:t>A</w:t>
      </w:r>
      <w:r w:rsidR="009927AC">
        <w:rPr>
          <w:rFonts w:eastAsia="Arial"/>
        </w:rPr>
        <w:t>ct</w:t>
      </w:r>
      <w:r w:rsidRPr="00945FC5" w:rsidDel="00D266C1">
        <w:rPr>
          <w:rFonts w:eastAsia="Arial"/>
        </w:rPr>
        <w:t xml:space="preserve"> in relation to interface with </w:t>
      </w:r>
      <w:r w:rsidR="00FB5A71" w:rsidRPr="23669252">
        <w:rPr>
          <w:rFonts w:eastAsia="Arial"/>
        </w:rPr>
        <w:t>U</w:t>
      </w:r>
      <w:r w:rsidRPr="23669252">
        <w:rPr>
          <w:rFonts w:eastAsia="Arial"/>
        </w:rPr>
        <w:t>tilities</w:t>
      </w:r>
      <w:r w:rsidRPr="00945FC5" w:rsidDel="00D266C1">
        <w:rPr>
          <w:rFonts w:eastAsia="Arial"/>
        </w:rPr>
        <w:t xml:space="preserve"> and discovery of unknown </w:t>
      </w:r>
      <w:r w:rsidRPr="00945FC5">
        <w:rPr>
          <w:rFonts w:eastAsia="Arial"/>
        </w:rPr>
        <w:t>Utility</w:t>
      </w:r>
      <w:r w:rsidRPr="00945FC5" w:rsidDel="00D266C1">
        <w:rPr>
          <w:rFonts w:eastAsia="Arial"/>
        </w:rPr>
        <w:t xml:space="preserve"> </w:t>
      </w:r>
      <w:r w:rsidRPr="00945FC5">
        <w:rPr>
          <w:rFonts w:eastAsia="Arial"/>
        </w:rPr>
        <w:t>Infrastructure</w:t>
      </w:r>
      <w:r w:rsidR="00FB5A71">
        <w:rPr>
          <w:rFonts w:eastAsia="Arial"/>
        </w:rPr>
        <w:t>; and</w:t>
      </w:r>
    </w:p>
    <w:p w14:paraId="6159FD29" w14:textId="5F89E11F" w:rsidR="00C26930" w:rsidRPr="00945FC5" w:rsidDel="00D266C1" w:rsidRDefault="00C26930" w:rsidP="000D52B3">
      <w:pPr>
        <w:pStyle w:val="Bulletindent"/>
        <w:rPr>
          <w:rFonts w:eastAsia="Arial"/>
        </w:rPr>
      </w:pPr>
      <w:r w:rsidRPr="00945FC5">
        <w:rPr>
          <w:rFonts w:eastAsia="Arial"/>
        </w:rPr>
        <w:t>D</w:t>
      </w:r>
      <w:r w:rsidRPr="00945FC5" w:rsidDel="00D266C1">
        <w:rPr>
          <w:rFonts w:eastAsia="Arial"/>
        </w:rPr>
        <w:t xml:space="preserve">ate </w:t>
      </w:r>
      <w:r w:rsidR="00072C85">
        <w:rPr>
          <w:rFonts w:eastAsia="Arial"/>
        </w:rPr>
        <w:t>for</w:t>
      </w:r>
      <w:r w:rsidR="00072C85" w:rsidRPr="00945FC5" w:rsidDel="00D266C1">
        <w:rPr>
          <w:rFonts w:eastAsia="Arial"/>
        </w:rPr>
        <w:t xml:space="preserve"> </w:t>
      </w:r>
      <w:r w:rsidRPr="00945FC5">
        <w:rPr>
          <w:rFonts w:eastAsia="Arial"/>
        </w:rPr>
        <w:t>P</w:t>
      </w:r>
      <w:r w:rsidRPr="00945FC5" w:rsidDel="00D266C1">
        <w:rPr>
          <w:rFonts w:eastAsia="Arial"/>
        </w:rPr>
        <w:t xml:space="preserve">ractical </w:t>
      </w:r>
      <w:r w:rsidRPr="00945FC5">
        <w:rPr>
          <w:rFonts w:eastAsia="Arial"/>
        </w:rPr>
        <w:t>C</w:t>
      </w:r>
      <w:r w:rsidRPr="00945FC5" w:rsidDel="00D266C1">
        <w:rPr>
          <w:rFonts w:eastAsia="Arial"/>
        </w:rPr>
        <w:t>ompletion (clause</w:t>
      </w:r>
      <w:r w:rsidR="00754976" w:rsidRPr="00754976">
        <w:rPr>
          <w:rFonts w:ascii="Calibri" w:eastAsia="Arial" w:hAnsi="Calibri"/>
        </w:rPr>
        <w:t> </w:t>
      </w:r>
      <w:r w:rsidRPr="00945FC5" w:rsidDel="00D266C1">
        <w:rPr>
          <w:rFonts w:eastAsia="Arial"/>
        </w:rPr>
        <w:t>2</w:t>
      </w:r>
      <w:r w:rsidR="00B51DC4">
        <w:rPr>
          <w:rFonts w:eastAsia="Arial"/>
        </w:rPr>
        <w:t>7 of the ITC Delivery Deed</w:t>
      </w:r>
      <w:r w:rsidRPr="00945FC5" w:rsidDel="00D266C1">
        <w:rPr>
          <w:rFonts w:eastAsia="Arial"/>
        </w:rPr>
        <w:t xml:space="preserve"> and </w:t>
      </w:r>
      <w:r w:rsidR="00B51DC4">
        <w:rPr>
          <w:rFonts w:eastAsia="Arial"/>
        </w:rPr>
        <w:t xml:space="preserve">associated </w:t>
      </w:r>
      <w:r w:rsidRPr="00945FC5" w:rsidDel="00D266C1">
        <w:rPr>
          <w:rFonts w:eastAsia="Arial"/>
        </w:rPr>
        <w:t>definitions).</w:t>
      </w:r>
    </w:p>
    <w:p w14:paraId="5451E928" w14:textId="01F5CDF2" w:rsidR="00C26930" w:rsidDel="00D266C1" w:rsidRDefault="00C26930" w:rsidP="000D52B3">
      <w:pPr>
        <w:pStyle w:val="NormalIndent"/>
      </w:pPr>
      <w:r w:rsidRPr="3A8420CF" w:rsidDel="00D266C1">
        <w:t>Further amendments will also need to be made to the above clauses if the MTPF</w:t>
      </w:r>
      <w:r w:rsidR="00B81FFB">
        <w:t xml:space="preserve"> </w:t>
      </w:r>
      <w:r w:rsidRPr="3A8420CF" w:rsidDel="00D266C1">
        <w:t>A</w:t>
      </w:r>
      <w:r w:rsidR="00B81FFB">
        <w:t>ct</w:t>
      </w:r>
      <w:r w:rsidRPr="3A8420CF" w:rsidDel="00D266C1">
        <w:t xml:space="preserve"> does not apply </w:t>
      </w:r>
      <w:r w:rsidR="324F5039">
        <w:t xml:space="preserve">or </w:t>
      </w:r>
      <w:r w:rsidRPr="3A8420CF" w:rsidDel="00D266C1">
        <w:t xml:space="preserve">reflect the </w:t>
      </w:r>
      <w:r w:rsidRPr="3A8420CF">
        <w:t>P</w:t>
      </w:r>
      <w:r w:rsidRPr="3A8420CF" w:rsidDel="00D266C1">
        <w:t>rincipal</w:t>
      </w:r>
      <w:r w:rsidR="002A076C">
        <w:t>’</w:t>
      </w:r>
      <w:r w:rsidRPr="3A8420CF" w:rsidDel="00D266C1">
        <w:t>s preferred risk allocation.</w:t>
      </w:r>
    </w:p>
    <w:p w14:paraId="656A8682" w14:textId="68364740" w:rsidR="00C26930" w:rsidDel="00D266C1" w:rsidRDefault="00C26930" w:rsidP="00945FC5">
      <w:pPr>
        <w:pStyle w:val="Heading3numbered"/>
      </w:pPr>
      <w:r>
        <w:t xml:space="preserve">Alternative </w:t>
      </w:r>
      <w:r w:rsidR="00BA609A">
        <w:t>s</w:t>
      </w:r>
      <w:r>
        <w:t xml:space="preserve">upporting </w:t>
      </w:r>
      <w:r w:rsidR="00BA609A">
        <w:t>l</w:t>
      </w:r>
      <w:r>
        <w:t xml:space="preserve">egislative </w:t>
      </w:r>
      <w:r w:rsidR="00BA609A">
        <w:t>f</w:t>
      </w:r>
      <w:r>
        <w:t>rameworks</w:t>
      </w:r>
    </w:p>
    <w:p w14:paraId="5EDF1F31" w14:textId="52BB06C9" w:rsidR="00C26930" w:rsidRDefault="00C26930" w:rsidP="00A0367A">
      <w:pPr>
        <w:pStyle w:val="NormalIndent"/>
      </w:pPr>
      <w:r w:rsidRPr="000F3FF6">
        <w:t>The</w:t>
      </w:r>
      <w:r w:rsidRPr="000F3FF6" w:rsidDel="00657CC1">
        <w:t xml:space="preserve"> </w:t>
      </w:r>
      <w:r w:rsidRPr="000F3FF6">
        <w:t xml:space="preserve">ITC </w:t>
      </w:r>
      <w:r>
        <w:t>Contract Suite</w:t>
      </w:r>
      <w:r w:rsidRPr="000F3FF6">
        <w:t xml:space="preserve"> </w:t>
      </w:r>
      <w:r>
        <w:t>can be amended to incorporate alternative supporting legislation to the MTPF</w:t>
      </w:r>
      <w:r w:rsidR="002E2D03">
        <w:t xml:space="preserve"> </w:t>
      </w:r>
      <w:r>
        <w:t>A</w:t>
      </w:r>
      <w:r w:rsidR="002E2D03">
        <w:t>ct</w:t>
      </w:r>
      <w:r>
        <w:t>, such as the</w:t>
      </w:r>
      <w:r w:rsidRPr="000F3FF6">
        <w:t xml:space="preserve"> </w:t>
      </w:r>
      <w:r w:rsidRPr="00C26930">
        <w:rPr>
          <w:i/>
          <w:iCs/>
        </w:rPr>
        <w:t>Project Development and Construction Management Act</w:t>
      </w:r>
      <w:r w:rsidRPr="00C26930" w:rsidDel="00D266C1">
        <w:rPr>
          <w:i/>
          <w:iCs/>
        </w:rPr>
        <w:t xml:space="preserve"> </w:t>
      </w:r>
      <w:r w:rsidRPr="00C26930">
        <w:rPr>
          <w:i/>
          <w:iCs/>
        </w:rPr>
        <w:t xml:space="preserve">1994 </w:t>
      </w:r>
      <w:r w:rsidRPr="00EE054A" w:rsidDel="00D266C1">
        <w:t>(</w:t>
      </w:r>
      <w:r w:rsidRPr="000F3FF6" w:rsidDel="00D266C1">
        <w:t>Vic)</w:t>
      </w:r>
      <w:r>
        <w:t xml:space="preserve">. Amendments to the ITC Contract Suite should be drafted with input from the </w:t>
      </w:r>
      <w:r w:rsidR="009941BA">
        <w:t>p</w:t>
      </w:r>
      <w:r>
        <w:t xml:space="preserve">rocuring </w:t>
      </w:r>
      <w:r w:rsidR="009941BA">
        <w:t>a</w:t>
      </w:r>
      <w:r>
        <w:t>gency’s legal advis</w:t>
      </w:r>
      <w:r w:rsidR="00E8256E">
        <w:t>e</w:t>
      </w:r>
      <w:r>
        <w:t>r to ensure the appropriate legislative requirements apply.</w:t>
      </w:r>
    </w:p>
    <w:p w14:paraId="533EEDF2" w14:textId="58506480" w:rsidR="00C26930" w:rsidRDefault="00C26930" w:rsidP="00945FC5">
      <w:pPr>
        <w:pStyle w:val="Heading1numbered"/>
      </w:pPr>
      <w:bookmarkStart w:id="190" w:name="_Toc130925412"/>
      <w:bookmarkStart w:id="191" w:name="_Toc130925413"/>
      <w:bookmarkStart w:id="192" w:name="_Toc130925414"/>
      <w:bookmarkStart w:id="193" w:name="_Toc130925415"/>
      <w:bookmarkStart w:id="194" w:name="_Toc130925416"/>
      <w:bookmarkStart w:id="195" w:name="_Toc130925417"/>
      <w:bookmarkStart w:id="196" w:name="_Toc130925418"/>
      <w:bookmarkStart w:id="197" w:name="_Toc130925419"/>
      <w:bookmarkStart w:id="198" w:name="_Toc130925420"/>
      <w:bookmarkStart w:id="199" w:name="_Toc130925421"/>
      <w:bookmarkStart w:id="200" w:name="_Toc130925422"/>
      <w:bookmarkStart w:id="201" w:name="_Toc130925423"/>
      <w:bookmarkStart w:id="202" w:name="_Toc130925424"/>
      <w:bookmarkStart w:id="203" w:name="_Toc115180429"/>
      <w:bookmarkStart w:id="204" w:name="_Toc115180430"/>
      <w:bookmarkStart w:id="205" w:name="_Toc115180431"/>
      <w:bookmarkStart w:id="206" w:name="_Toc115180432"/>
      <w:bookmarkStart w:id="207" w:name="_Toc115180433"/>
      <w:bookmarkStart w:id="208" w:name="_Toc115180434"/>
      <w:bookmarkStart w:id="209" w:name="_Toc115180435"/>
      <w:bookmarkStart w:id="210" w:name="_Toc130925426"/>
      <w:bookmarkStart w:id="211" w:name="_Toc133577865"/>
      <w:bookmarkStart w:id="212" w:name="_Toc14561256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t>Governance</w:t>
      </w:r>
      <w:bookmarkEnd w:id="210"/>
      <w:r w:rsidR="00935199">
        <w:t xml:space="preserve">, </w:t>
      </w:r>
      <w:r w:rsidR="00BA609A">
        <w:t>a</w:t>
      </w:r>
      <w:r w:rsidR="00935199">
        <w:t>pprovals</w:t>
      </w:r>
      <w:r>
        <w:t xml:space="preserve"> and </w:t>
      </w:r>
      <w:r w:rsidR="00BA609A">
        <w:t>a</w:t>
      </w:r>
      <w:r>
        <w:t>ssurance</w:t>
      </w:r>
      <w:bookmarkEnd w:id="211"/>
      <w:bookmarkEnd w:id="212"/>
    </w:p>
    <w:p w14:paraId="303B310F" w14:textId="6E2D0102" w:rsidR="00C26930" w:rsidRPr="00302E36" w:rsidRDefault="00C26930" w:rsidP="00400321">
      <w:pPr>
        <w:pStyle w:val="NormalIndent"/>
        <w:keepNext/>
      </w:pPr>
      <w:r w:rsidRPr="002B40AF">
        <w:t xml:space="preserve">Project governance sets a firm framework </w:t>
      </w:r>
      <w:r w:rsidR="00AF401E">
        <w:t>that</w:t>
      </w:r>
      <w:r w:rsidR="00AF401E" w:rsidRPr="002B40AF">
        <w:t xml:space="preserve"> </w:t>
      </w:r>
      <w:r w:rsidRPr="002B40AF">
        <w:t xml:space="preserve">guides project </w:t>
      </w:r>
      <w:r w:rsidRPr="00302E36">
        <w:t>delivery</w:t>
      </w:r>
      <w:r w:rsidR="00BA609A">
        <w:t xml:space="preserve"> to create</w:t>
      </w:r>
      <w:r w:rsidRPr="00302E36">
        <w:t xml:space="preserve"> transparency and confidence in decision</w:t>
      </w:r>
      <w:r w:rsidR="007C277D">
        <w:t>-</w:t>
      </w:r>
      <w:r w:rsidRPr="00302E36">
        <w:t>making, clarity of roles and responsibilities</w:t>
      </w:r>
      <w:r w:rsidR="00764A70">
        <w:t>,</w:t>
      </w:r>
      <w:r w:rsidRPr="00302E36">
        <w:t xml:space="preserve"> and consideration of stakeholder interests.</w:t>
      </w:r>
    </w:p>
    <w:p w14:paraId="69D5E59D" w14:textId="14B4CEAF" w:rsidR="00C26930" w:rsidRPr="00302E36" w:rsidRDefault="00C26930" w:rsidP="00400321">
      <w:pPr>
        <w:pStyle w:val="NormalIndent"/>
        <w:keepNext/>
      </w:pPr>
      <w:r w:rsidRPr="00302E36">
        <w:t xml:space="preserve">Strong project governance is integral to maximising the benefits of the ITC </w:t>
      </w:r>
      <w:r w:rsidR="00E76F07">
        <w:t>C</w:t>
      </w:r>
      <w:r w:rsidRPr="00302E36">
        <w:t xml:space="preserve">ontract </w:t>
      </w:r>
      <w:r w:rsidR="00E76F07">
        <w:t>S</w:t>
      </w:r>
      <w:r w:rsidRPr="00302E36">
        <w:t>uite and support</w:t>
      </w:r>
      <w:r w:rsidR="00C52F4B">
        <w:t>ing</w:t>
      </w:r>
      <w:r w:rsidRPr="00302E36">
        <w:t xml:space="preserve"> successful project delivery.</w:t>
      </w:r>
    </w:p>
    <w:p w14:paraId="4DD697B8" w14:textId="3EC606FC" w:rsidR="00C26930" w:rsidRPr="00302E36" w:rsidRDefault="00C26930" w:rsidP="00A0367A">
      <w:pPr>
        <w:pStyle w:val="NormalIndent"/>
      </w:pPr>
      <w:r>
        <w:t xml:space="preserve">The </w:t>
      </w:r>
      <w:r w:rsidR="00134E93">
        <w:t>I</w:t>
      </w:r>
      <w:r w:rsidR="61BD5A6F">
        <w:t xml:space="preserve">nvestment Lifecycle Guidelines </w:t>
      </w:r>
      <w:r>
        <w:t>Governance Technical Supplement</w:t>
      </w:r>
      <w:r w:rsidR="32F64642">
        <w:t xml:space="preserve">, </w:t>
      </w:r>
      <w:r w:rsidR="0DD8BCE9">
        <w:t>available</w:t>
      </w:r>
      <w:r w:rsidR="32F64642">
        <w:t xml:space="preserve"> on </w:t>
      </w:r>
      <w:r w:rsidR="0FC73E11">
        <w:t>the</w:t>
      </w:r>
      <w:r>
        <w:t xml:space="preserve"> </w:t>
      </w:r>
      <w:hyperlink r:id="rId49">
        <w:r w:rsidR="567593AF" w:rsidRPr="39CF9C9B">
          <w:rPr>
            <w:rStyle w:val="Hyperlink"/>
          </w:rPr>
          <w:t xml:space="preserve">Procurement </w:t>
        </w:r>
        <w:r w:rsidR="00A111F8" w:rsidRPr="23669252">
          <w:rPr>
            <w:rStyle w:val="Hyperlink"/>
          </w:rPr>
          <w:t>–</w:t>
        </w:r>
        <w:r w:rsidR="2745D7C9" w:rsidRPr="39CF9C9B">
          <w:rPr>
            <w:rStyle w:val="Hyperlink"/>
          </w:rPr>
          <w:t xml:space="preserve"> </w:t>
        </w:r>
        <w:r w:rsidR="567593AF" w:rsidRPr="39CF9C9B">
          <w:rPr>
            <w:rStyle w:val="Hyperlink"/>
          </w:rPr>
          <w:t>Investment Lifecycle High Value High Risk Guid</w:t>
        </w:r>
        <w:r w:rsidR="452C3277" w:rsidRPr="39CF9C9B">
          <w:rPr>
            <w:rStyle w:val="Hyperlink"/>
          </w:rPr>
          <w:t>elines</w:t>
        </w:r>
        <w:r w:rsidR="567593AF" w:rsidRPr="39CF9C9B">
          <w:rPr>
            <w:rStyle w:val="Hyperlink"/>
          </w:rPr>
          <w:t xml:space="preserve"> webpage</w:t>
        </w:r>
      </w:hyperlink>
      <w:r w:rsidR="567593AF">
        <w:t xml:space="preserve">, </w:t>
      </w:r>
      <w:r>
        <w:t xml:space="preserve">and </w:t>
      </w:r>
      <w:r w:rsidR="00E42C03">
        <w:t xml:space="preserve">the </w:t>
      </w:r>
      <w:r w:rsidR="000961FB">
        <w:t>Cost</w:t>
      </w:r>
      <w:r w:rsidR="0070196E">
        <w:t xml:space="preserve"> Re</w:t>
      </w:r>
      <w:r w:rsidR="00155E97">
        <w:t>imbursable</w:t>
      </w:r>
      <w:r w:rsidR="000961FB">
        <w:t xml:space="preserve"> </w:t>
      </w:r>
      <w:r w:rsidR="1349ECC1">
        <w:t>Procurement</w:t>
      </w:r>
      <w:r w:rsidR="6FDEF95E">
        <w:t xml:space="preserve"> </w:t>
      </w:r>
      <w:r w:rsidR="157EF55E">
        <w:t>Requirements</w:t>
      </w:r>
      <w:r>
        <w:t xml:space="preserve"> </w:t>
      </w:r>
      <w:r w:rsidR="39D9DE6A">
        <w:t>document</w:t>
      </w:r>
      <w:r w:rsidR="5EFA0763">
        <w:t>,</w:t>
      </w:r>
      <w:r w:rsidR="39D9DE6A">
        <w:t xml:space="preserve"> available on the</w:t>
      </w:r>
      <w:r w:rsidR="007063A7">
        <w:t xml:space="preserve"> </w:t>
      </w:r>
      <w:hyperlink r:id="rId50" w:history="1">
        <w:r w:rsidR="007063A7">
          <w:rPr>
            <w:rStyle w:val="Hyperlink"/>
          </w:rPr>
          <w:t>Cost Reimbursable Procurement Category webpage</w:t>
        </w:r>
      </w:hyperlink>
      <w:r w:rsidR="1CB9C56B">
        <w:t>,</w:t>
      </w:r>
      <w:r w:rsidR="39629138">
        <w:t xml:space="preserve"> </w:t>
      </w:r>
      <w:r>
        <w:t>provide guidance on governance for major infrastructure projects</w:t>
      </w:r>
      <w:r w:rsidR="002119B8">
        <w:t>,</w:t>
      </w:r>
      <w:r w:rsidR="002922D1">
        <w:t xml:space="preserve"> includ</w:t>
      </w:r>
      <w:r w:rsidR="00D24755">
        <w:t>ing</w:t>
      </w:r>
      <w:r>
        <w:t xml:space="preserve"> the requirement for a Project Steering Committee with DTF representation.</w:t>
      </w:r>
    </w:p>
    <w:p w14:paraId="3C8745F6" w14:textId="77777777" w:rsidR="00C26930" w:rsidRDefault="00C26930" w:rsidP="00945FC5">
      <w:pPr>
        <w:pStyle w:val="Heading2numbered"/>
      </w:pPr>
      <w:bookmarkStart w:id="213" w:name="_Toc130925427"/>
      <w:bookmarkStart w:id="214" w:name="_Toc133577866"/>
      <w:bookmarkStart w:id="215" w:name="_Toc145612565"/>
      <w:r w:rsidRPr="00522983">
        <w:t>Governance</w:t>
      </w:r>
      <w:r>
        <w:t xml:space="preserve"> arrangements</w:t>
      </w:r>
      <w:bookmarkEnd w:id="213"/>
      <w:bookmarkEnd w:id="214"/>
      <w:bookmarkEnd w:id="215"/>
    </w:p>
    <w:p w14:paraId="2C93B939" w14:textId="2501FC2A" w:rsidR="00C26930" w:rsidRPr="000F3FF6" w:rsidRDefault="00C26930" w:rsidP="00382569">
      <w:pPr>
        <w:pStyle w:val="NormalIndent"/>
        <w:keepNext/>
      </w:pPr>
      <w:r w:rsidRPr="000F3FF6">
        <w:t>The</w:t>
      </w:r>
      <w:r w:rsidR="00AB625E" w:rsidDel="00C37696">
        <w:t xml:space="preserve"> </w:t>
      </w:r>
      <w:r w:rsidRPr="000F3FF6">
        <w:t xml:space="preserve">ITC </w:t>
      </w:r>
      <w:r w:rsidR="00AB625E">
        <w:t>C</w:t>
      </w:r>
      <w:r w:rsidRPr="000F3FF6">
        <w:t xml:space="preserve">ontract </w:t>
      </w:r>
      <w:r w:rsidR="00AB625E">
        <w:t>S</w:t>
      </w:r>
      <w:r w:rsidRPr="000F3FF6">
        <w:t>uite requires the establishment of the following contractual governance and personnel arrangements</w:t>
      </w:r>
      <w:r w:rsidR="00900CD9">
        <w:t>.</w:t>
      </w:r>
    </w:p>
    <w:p w14:paraId="6594302E" w14:textId="67B09BA2" w:rsidR="002922D1" w:rsidRDefault="00C26930" w:rsidP="000D52B3">
      <w:pPr>
        <w:pStyle w:val="Heading3numbered"/>
      </w:pPr>
      <w:r w:rsidRPr="00945FC5">
        <w:t>Senior Representatives Group</w:t>
      </w:r>
    </w:p>
    <w:p w14:paraId="3A3584CB" w14:textId="5964A8BC" w:rsidR="00C26930" w:rsidRPr="00945FC5" w:rsidRDefault="00C26930" w:rsidP="00A0367A">
      <w:pPr>
        <w:pStyle w:val="NormalIndent"/>
      </w:pPr>
      <w:r w:rsidRPr="00945FC5">
        <w:t>This group makes strategic decisions and provides the leadership required to successfully implement the contract</w:t>
      </w:r>
      <w:r w:rsidR="002922D1">
        <w:t xml:space="preserve">. </w:t>
      </w:r>
      <w:r w:rsidR="00900CD9">
        <w:t xml:space="preserve">Its </w:t>
      </w:r>
      <w:r w:rsidR="002922D1">
        <w:t>key functions include:</w:t>
      </w:r>
    </w:p>
    <w:p w14:paraId="3234255B" w14:textId="16577651" w:rsidR="00C26930" w:rsidRPr="00945FC5" w:rsidRDefault="00C26930" w:rsidP="000D52B3">
      <w:pPr>
        <w:pStyle w:val="Bulletindent"/>
      </w:pPr>
      <w:r w:rsidRPr="00945FC5">
        <w:t>providing strategic leadership</w:t>
      </w:r>
      <w:r w:rsidR="00900CD9">
        <w:t>;</w:t>
      </w:r>
    </w:p>
    <w:p w14:paraId="1589E416" w14:textId="1F8752E7" w:rsidR="00C26930" w:rsidRPr="00945FC5" w:rsidRDefault="00C26930" w:rsidP="000D52B3">
      <w:pPr>
        <w:pStyle w:val="Bulletindent"/>
      </w:pPr>
      <w:r w:rsidRPr="00945FC5">
        <w:t>promoting appropriate culture and behaviours</w:t>
      </w:r>
      <w:r w:rsidR="00900CD9">
        <w:t>;</w:t>
      </w:r>
    </w:p>
    <w:p w14:paraId="0BB80DE8" w14:textId="53DCF179" w:rsidR="002A524B" w:rsidRPr="002A524B" w:rsidRDefault="00C26930" w:rsidP="000D52B3">
      <w:pPr>
        <w:pStyle w:val="Bulletindent"/>
      </w:pPr>
      <w:r w:rsidRPr="00945FC5">
        <w:t xml:space="preserve">reviewing </w:t>
      </w:r>
      <w:r w:rsidR="00022DB9">
        <w:t>C</w:t>
      </w:r>
      <w:r w:rsidR="00184A02">
        <w:t>ontractor</w:t>
      </w:r>
      <w:r w:rsidRPr="00945FC5">
        <w:t xml:space="preserve"> performance</w:t>
      </w:r>
      <w:r w:rsidR="00900CD9">
        <w:t>; and</w:t>
      </w:r>
    </w:p>
    <w:p w14:paraId="2254F4C9" w14:textId="036318B8" w:rsidR="00C26930" w:rsidRPr="00945FC5" w:rsidRDefault="00C26930" w:rsidP="000D52B3">
      <w:pPr>
        <w:pStyle w:val="Bulletindent"/>
      </w:pPr>
      <w:r w:rsidRPr="00945FC5">
        <w:t>monitoring and helping resolve issues referred to the group.</w:t>
      </w:r>
    </w:p>
    <w:p w14:paraId="6CC1991E" w14:textId="13EAE99C" w:rsidR="002922D1" w:rsidRPr="00B51DC4" w:rsidRDefault="00C26930" w:rsidP="000D52B3">
      <w:pPr>
        <w:pStyle w:val="Heading3numbered"/>
      </w:pPr>
      <w:r w:rsidRPr="00B51DC4">
        <w:t>Project Control Group</w:t>
      </w:r>
    </w:p>
    <w:p w14:paraId="303F8688" w14:textId="7562DAE8" w:rsidR="00C26930" w:rsidRPr="00302E36" w:rsidRDefault="00C26930" w:rsidP="00A0367A">
      <w:pPr>
        <w:pStyle w:val="NormalIndent"/>
      </w:pPr>
      <w:r w:rsidRPr="00116579">
        <w:t xml:space="preserve">This group makes tactical decisions and is across the detail of the </w:t>
      </w:r>
      <w:r w:rsidR="0071024D">
        <w:t>P</w:t>
      </w:r>
      <w:r>
        <w:t>roject</w:t>
      </w:r>
      <w:r w:rsidR="002922D1">
        <w:t>.</w:t>
      </w:r>
      <w:r w:rsidRPr="00116579" w:rsidDel="00900CD9">
        <w:t xml:space="preserve"> </w:t>
      </w:r>
      <w:r w:rsidR="00900CD9">
        <w:t>Its</w:t>
      </w:r>
      <w:r w:rsidR="00900CD9" w:rsidRPr="00116579">
        <w:t xml:space="preserve"> </w:t>
      </w:r>
      <w:r w:rsidRPr="00116579">
        <w:t>key functions includ</w:t>
      </w:r>
      <w:r w:rsidR="002922D1">
        <w:t>e</w:t>
      </w:r>
      <w:r w:rsidRPr="00116579">
        <w:t>:</w:t>
      </w:r>
    </w:p>
    <w:p w14:paraId="1018DC23" w14:textId="5AFA3E45" w:rsidR="00C26930" w:rsidRPr="000F3FF6" w:rsidRDefault="00C26930" w:rsidP="000D52B3">
      <w:pPr>
        <w:pStyle w:val="Bulletindent"/>
      </w:pPr>
      <w:r w:rsidRPr="000F3FF6">
        <w:t xml:space="preserve">monitoring </w:t>
      </w:r>
      <w:r w:rsidR="00022DB9">
        <w:t>C</w:t>
      </w:r>
      <w:r w:rsidR="00184A02">
        <w:t>ontractor</w:t>
      </w:r>
      <w:r w:rsidRPr="000F3FF6">
        <w:t xml:space="preserve"> compliance with </w:t>
      </w:r>
      <w:r w:rsidR="0071024D">
        <w:t>P</w:t>
      </w:r>
      <w:r>
        <w:t>roject</w:t>
      </w:r>
      <w:r w:rsidRPr="000F3FF6">
        <w:t xml:space="preserve"> documentation</w:t>
      </w:r>
      <w:r w:rsidR="00AF1A96">
        <w:t xml:space="preserve"> and providing guidance on achievement of key requirements</w:t>
      </w:r>
      <w:r w:rsidR="00301F49">
        <w:t>;</w:t>
      </w:r>
    </w:p>
    <w:p w14:paraId="67099779" w14:textId="3CF1BBE6" w:rsidR="00AF1A96" w:rsidRPr="000F3FF6" w:rsidRDefault="00C26930" w:rsidP="000D52B3">
      <w:pPr>
        <w:pStyle w:val="Bulletindent"/>
      </w:pPr>
      <w:r w:rsidRPr="000F3FF6">
        <w:t>assisting in resolving matters referred to the group</w:t>
      </w:r>
      <w:r w:rsidR="00301F49">
        <w:t>;</w:t>
      </w:r>
    </w:p>
    <w:p w14:paraId="2C3F0940" w14:textId="58FBEBC0" w:rsidR="002A524B" w:rsidRPr="002A524B" w:rsidRDefault="00C26930" w:rsidP="000D52B3">
      <w:pPr>
        <w:pStyle w:val="Bulletindent"/>
      </w:pPr>
      <w:r w:rsidRPr="000F3FF6">
        <w:t xml:space="preserve">reviewing reports, plans and the quality of </w:t>
      </w:r>
      <w:r w:rsidR="003A3D4A">
        <w:t>C</w:t>
      </w:r>
      <w:r w:rsidR="00184A02">
        <w:t>ontractor</w:t>
      </w:r>
      <w:r w:rsidRPr="000F3FF6">
        <w:t xml:space="preserve"> work</w:t>
      </w:r>
      <w:r w:rsidR="00301F49">
        <w:t>; and</w:t>
      </w:r>
    </w:p>
    <w:p w14:paraId="565F2DEE" w14:textId="290E1D91" w:rsidR="0013339F" w:rsidRPr="000F3FF6" w:rsidRDefault="002922D1" w:rsidP="000D52B3">
      <w:pPr>
        <w:pStyle w:val="Bulletindent"/>
      </w:pPr>
      <w:r w:rsidRPr="000F3FF6">
        <w:t>consider</w:t>
      </w:r>
      <w:r>
        <w:t>ing</w:t>
      </w:r>
      <w:r w:rsidRPr="000F3FF6">
        <w:t xml:space="preserve"> </w:t>
      </w:r>
      <w:r w:rsidR="00C26930" w:rsidRPr="000F3FF6">
        <w:t xml:space="preserve">value engineering, cost-saving opportunities </w:t>
      </w:r>
      <w:r w:rsidR="00301F49">
        <w:t>and</w:t>
      </w:r>
      <w:r w:rsidR="00C26930" w:rsidRPr="000F3FF6">
        <w:t xml:space="preserve"> other issues</w:t>
      </w:r>
      <w:r w:rsidR="00301F49">
        <w:t>,</w:t>
      </w:r>
      <w:r w:rsidR="00C26930" w:rsidRPr="000F3FF6">
        <w:t xml:space="preserve"> including interface management, environmental issues and occupational health and safety.</w:t>
      </w:r>
    </w:p>
    <w:p w14:paraId="6D2CD485" w14:textId="758F037F" w:rsidR="002922D1" w:rsidRDefault="00C26930" w:rsidP="000D52B3">
      <w:pPr>
        <w:pStyle w:val="Heading3numbered"/>
      </w:pPr>
      <w:r w:rsidRPr="00AB625E">
        <w:t>Working groups</w:t>
      </w:r>
    </w:p>
    <w:p w14:paraId="71EFDA8E" w14:textId="32284838" w:rsidR="00C26930" w:rsidRPr="00116579" w:rsidRDefault="002922D1" w:rsidP="00A0367A">
      <w:pPr>
        <w:pStyle w:val="NormalIndent"/>
      </w:pPr>
      <w:r>
        <w:t xml:space="preserve">These </w:t>
      </w:r>
      <w:r w:rsidR="00C26930" w:rsidRPr="002B40AF">
        <w:t>can be established by the Principal as required.</w:t>
      </w:r>
    </w:p>
    <w:p w14:paraId="19A06BB4" w14:textId="38C00C28" w:rsidR="00C26930" w:rsidRPr="00522983" w:rsidRDefault="00C26930" w:rsidP="00945FC5">
      <w:pPr>
        <w:pStyle w:val="Heading2numbered"/>
      </w:pPr>
      <w:bookmarkStart w:id="216" w:name="_Toc130925428"/>
      <w:bookmarkStart w:id="217" w:name="_Toc133577867"/>
      <w:bookmarkStart w:id="218" w:name="_Toc145612566"/>
      <w:r w:rsidRPr="00522983">
        <w:t xml:space="preserve">Role of the </w:t>
      </w:r>
      <w:r w:rsidRPr="00D41319">
        <w:t xml:space="preserve">informed and engaged </w:t>
      </w:r>
      <w:bookmarkEnd w:id="216"/>
      <w:bookmarkEnd w:id="217"/>
      <w:r>
        <w:t>client</w:t>
      </w:r>
      <w:bookmarkEnd w:id="218"/>
    </w:p>
    <w:p w14:paraId="3A50A472" w14:textId="6520A8DB" w:rsidR="00C26930" w:rsidRPr="00302E36" w:rsidRDefault="00C26930" w:rsidP="00A0367A">
      <w:pPr>
        <w:pStyle w:val="NormalIndent"/>
      </w:pPr>
      <w:r>
        <w:t xml:space="preserve">The ITC </w:t>
      </w:r>
      <w:r w:rsidR="00ED6C21">
        <w:t>Development Deed</w:t>
      </w:r>
      <w:r w:rsidR="00AB625E">
        <w:t xml:space="preserve"> </w:t>
      </w:r>
      <w:r>
        <w:t xml:space="preserve">and </w:t>
      </w:r>
      <w:r w:rsidR="00AB625E">
        <w:t xml:space="preserve">the ITC </w:t>
      </w:r>
      <w:r>
        <w:t>Delivery Deed support the achievement of V</w:t>
      </w:r>
      <w:r w:rsidR="00E342CF">
        <w:t>fM</w:t>
      </w:r>
      <w:r>
        <w:t xml:space="preserve"> principles (as outlined in </w:t>
      </w:r>
      <w:r w:rsidR="30546AB0">
        <w:t>the</w:t>
      </w:r>
      <w:r w:rsidR="00292AB4">
        <w:t xml:space="preserve"> </w:t>
      </w:r>
      <w:hyperlink r:id="rId51">
        <w:r w:rsidR="00292AB4" w:rsidRPr="39CF9C9B">
          <w:rPr>
            <w:rStyle w:val="Hyperlink"/>
          </w:rPr>
          <w:t xml:space="preserve">Procurement </w:t>
        </w:r>
        <w:r w:rsidR="00292AB4" w:rsidRPr="23669252">
          <w:rPr>
            <w:rStyle w:val="Hyperlink"/>
          </w:rPr>
          <w:t>–</w:t>
        </w:r>
        <w:r w:rsidR="00292AB4" w:rsidRPr="39CF9C9B">
          <w:rPr>
            <w:rStyle w:val="Hyperlink"/>
          </w:rPr>
          <w:t xml:space="preserve"> Investment Lifecycle High Value High Risk Guidelines webpage</w:t>
        </w:r>
      </w:hyperlink>
      <w:r w:rsidR="30546AB0">
        <w:t xml:space="preserve">) </w:t>
      </w:r>
      <w:r>
        <w:t xml:space="preserve">and broader project objectives through the </w:t>
      </w:r>
      <w:r w:rsidR="00831647" w:rsidDel="00AA2F7E">
        <w:t>S</w:t>
      </w:r>
      <w:r>
        <w:t xml:space="preserve">tate’s role as an </w:t>
      </w:r>
      <w:r w:rsidDel="003521A9">
        <w:t>‘</w:t>
      </w:r>
      <w:r w:rsidR="00D6360C">
        <w:t>i</w:t>
      </w:r>
      <w:r>
        <w:t xml:space="preserve">nformed and </w:t>
      </w:r>
      <w:r w:rsidR="00D6360C">
        <w:t>e</w:t>
      </w:r>
      <w:r>
        <w:t xml:space="preserve">ngaged </w:t>
      </w:r>
      <w:r w:rsidR="00D6360C">
        <w:t>c</w:t>
      </w:r>
      <w:r>
        <w:t>lient</w:t>
      </w:r>
      <w:r w:rsidDel="003521A9">
        <w:t>’</w:t>
      </w:r>
      <w:r>
        <w:t>.</w:t>
      </w:r>
    </w:p>
    <w:p w14:paraId="42C16AE7" w14:textId="5E1579E0" w:rsidR="00C26930" w:rsidRPr="000F3FF6" w:rsidRDefault="00C26930" w:rsidP="001D061B">
      <w:pPr>
        <w:pStyle w:val="NormalIndent"/>
        <w:keepNext/>
      </w:pPr>
      <w:r w:rsidRPr="000F3FF6">
        <w:t xml:space="preserve">DTF considers an </w:t>
      </w:r>
      <w:r w:rsidR="00D6360C">
        <w:t>i</w:t>
      </w:r>
      <w:r w:rsidRPr="000F3FF6">
        <w:t xml:space="preserve">nformed and </w:t>
      </w:r>
      <w:r w:rsidR="00D6360C">
        <w:t>e</w:t>
      </w:r>
      <w:r w:rsidRPr="000F3FF6">
        <w:t xml:space="preserve">ngaged </w:t>
      </w:r>
      <w:r w:rsidR="00D6360C">
        <w:t>c</w:t>
      </w:r>
      <w:r w:rsidRPr="000F3FF6">
        <w:t xml:space="preserve">lient to be one where the </w:t>
      </w:r>
      <w:r w:rsidR="00D42DF5">
        <w:t>S</w:t>
      </w:r>
      <w:r>
        <w:t>tate</w:t>
      </w:r>
      <w:r w:rsidRPr="000F3FF6">
        <w:t>:</w:t>
      </w:r>
    </w:p>
    <w:p w14:paraId="112EF052" w14:textId="32927348" w:rsidR="00C26930" w:rsidRPr="00945FC5" w:rsidRDefault="00C26930" w:rsidP="001D061B">
      <w:pPr>
        <w:pStyle w:val="Bulletindent"/>
        <w:keepNext/>
      </w:pPr>
      <w:r w:rsidRPr="00945FC5">
        <w:t xml:space="preserve">has </w:t>
      </w:r>
      <w:r w:rsidR="00F52F10">
        <w:t xml:space="preserve">the </w:t>
      </w:r>
      <w:r w:rsidRPr="00945FC5">
        <w:t xml:space="preserve">capacity, capability and seniority of resources to manage the achievement of the </w:t>
      </w:r>
      <w:r w:rsidR="0099451F">
        <w:t>S</w:t>
      </w:r>
      <w:r>
        <w:t>tate’s</w:t>
      </w:r>
      <w:r w:rsidRPr="00945FC5">
        <w:t xml:space="preserve"> outcomes throughout project planning, procurement and delivery</w:t>
      </w:r>
      <w:r w:rsidR="00F52F10">
        <w:t>;</w:t>
      </w:r>
    </w:p>
    <w:p w14:paraId="50C62971" w14:textId="3E2389DF" w:rsidR="00C26930" w:rsidRPr="00945FC5" w:rsidRDefault="00C26930" w:rsidP="001D061B">
      <w:pPr>
        <w:pStyle w:val="Bulletindent"/>
        <w:keepNext/>
      </w:pPr>
      <w:r w:rsidRPr="00945FC5">
        <w:t xml:space="preserve">participates in the development of the Delivery Phase Offer </w:t>
      </w:r>
      <w:r w:rsidR="00D6360C">
        <w:t>by interrogating</w:t>
      </w:r>
      <w:r w:rsidRPr="00945FC5">
        <w:t xml:space="preserve"> the TOC and </w:t>
      </w:r>
      <w:r w:rsidR="00D6360C">
        <w:t>taking part in</w:t>
      </w:r>
      <w:r w:rsidRPr="00945FC5">
        <w:t xml:space="preserve"> risk identification</w:t>
      </w:r>
      <w:r w:rsidR="00022DB9">
        <w:t>, mitigation</w:t>
      </w:r>
      <w:r w:rsidRPr="00945FC5">
        <w:t xml:space="preserve"> and quantification workshops</w:t>
      </w:r>
      <w:r w:rsidR="009820CB">
        <w:t xml:space="preserve"> to confirm the Delivery Phase Offer meet</w:t>
      </w:r>
      <w:r w:rsidR="00155EAF">
        <w:t>s</w:t>
      </w:r>
      <w:r w:rsidR="009820CB">
        <w:t xml:space="preserve"> expectations</w:t>
      </w:r>
      <w:r w:rsidR="00155EAF">
        <w:t>;</w:t>
      </w:r>
    </w:p>
    <w:p w14:paraId="5D30C1F8" w14:textId="2C8929D6" w:rsidR="00C26930" w:rsidRPr="00945FC5" w:rsidRDefault="00C26930" w:rsidP="000D52B3">
      <w:pPr>
        <w:pStyle w:val="Bulletindent"/>
      </w:pPr>
      <w:r w:rsidRPr="00945FC5">
        <w:t>demonstrates professional judgement and discernment in administering the delivery contract</w:t>
      </w:r>
      <w:r w:rsidR="00155EAF">
        <w:t>;</w:t>
      </w:r>
    </w:p>
    <w:p w14:paraId="67BDDF4C" w14:textId="089D1D72" w:rsidR="002A524B" w:rsidRPr="002A524B" w:rsidRDefault="00C26930" w:rsidP="000D52B3">
      <w:pPr>
        <w:pStyle w:val="Bulletindent"/>
      </w:pPr>
      <w:r w:rsidRPr="00945FC5">
        <w:t xml:space="preserve">shares </w:t>
      </w:r>
      <w:r w:rsidR="00D6360C">
        <w:t>knowledge and experience gained</w:t>
      </w:r>
      <w:r w:rsidRPr="00945FC5">
        <w:t xml:space="preserve"> throughout the </w:t>
      </w:r>
      <w:r w:rsidR="00AF70F2">
        <w:t>P</w:t>
      </w:r>
      <w:r>
        <w:t>roject</w:t>
      </w:r>
      <w:r w:rsidRPr="00945FC5">
        <w:t xml:space="preserve"> lifecycle</w:t>
      </w:r>
      <w:r w:rsidR="00155EAF">
        <w:t>; and</w:t>
      </w:r>
    </w:p>
    <w:p w14:paraId="14414397" w14:textId="4BA521DF" w:rsidR="00C26930" w:rsidRPr="00945FC5" w:rsidRDefault="00C26930" w:rsidP="000D52B3">
      <w:pPr>
        <w:pStyle w:val="Bulletindent"/>
      </w:pPr>
      <w:r w:rsidRPr="00945FC5">
        <w:t xml:space="preserve">works closely with the </w:t>
      </w:r>
      <w:r w:rsidR="00022DB9">
        <w:t>C</w:t>
      </w:r>
      <w:r w:rsidR="00184A02">
        <w:t>ontractor</w:t>
      </w:r>
      <w:r w:rsidRPr="00945FC5">
        <w:t xml:space="preserve"> to support the achievement of </w:t>
      </w:r>
      <w:r w:rsidR="00AF70F2">
        <w:t>P</w:t>
      </w:r>
      <w:r>
        <w:t>roject</w:t>
      </w:r>
      <w:r w:rsidRPr="00945FC5">
        <w:t xml:space="preserve"> outcomes.</w:t>
      </w:r>
    </w:p>
    <w:p w14:paraId="203AF038" w14:textId="20E61B3C" w:rsidR="4171E018" w:rsidRDefault="4171E018" w:rsidP="23669252">
      <w:pPr>
        <w:pStyle w:val="NormalIndent"/>
      </w:pPr>
      <w:r w:rsidRPr="23669252">
        <w:t>Cost reimbursable contracting models require the procuring agency to establish an organisational structure that aligns with the Contractor’s skills, capability and seniority to ensure both parties benefit from the collaborative approach.</w:t>
      </w:r>
    </w:p>
    <w:p w14:paraId="49EA78BB" w14:textId="261FB648" w:rsidR="00C26930" w:rsidRPr="00302E36" w:rsidRDefault="00C26930" w:rsidP="00A0367A">
      <w:pPr>
        <w:pStyle w:val="NormalIndent"/>
      </w:pPr>
      <w:r w:rsidRPr="00302E36">
        <w:t xml:space="preserve">Procuring </w:t>
      </w:r>
      <w:r w:rsidR="00D6360C">
        <w:t>a</w:t>
      </w:r>
      <w:r w:rsidRPr="00302E36">
        <w:t xml:space="preserve">gencies should work closely with the Contractor throughout the investment lifecycle to understand and identify the specific risks of the </w:t>
      </w:r>
      <w:r w:rsidR="00847089">
        <w:t>P</w:t>
      </w:r>
      <w:r>
        <w:t>roject</w:t>
      </w:r>
      <w:r w:rsidR="00D6360C">
        <w:t>. They should</w:t>
      </w:r>
      <w:r w:rsidRPr="00302E36">
        <w:t xml:space="preserve"> provide input to the quantification and </w:t>
      </w:r>
      <w:r w:rsidR="00D6360C">
        <w:t xml:space="preserve">risk </w:t>
      </w:r>
      <w:r w:rsidRPr="00302E36">
        <w:t>mitigation strategies</w:t>
      </w:r>
      <w:r w:rsidR="005D4166">
        <w:t>,</w:t>
      </w:r>
      <w:r w:rsidRPr="00302E36">
        <w:t xml:space="preserve"> particularly for risks </w:t>
      </w:r>
      <w:r w:rsidR="005D4166">
        <w:t>that</w:t>
      </w:r>
      <w:r w:rsidR="005D4166" w:rsidRPr="00302E36">
        <w:t xml:space="preserve"> </w:t>
      </w:r>
      <w:r w:rsidRPr="00302E36">
        <w:t xml:space="preserve">are shared. In some scenarios, the </w:t>
      </w:r>
      <w:r w:rsidR="00D6360C">
        <w:t>p</w:t>
      </w:r>
      <w:r w:rsidRPr="00302E36">
        <w:t xml:space="preserve">rocuring </w:t>
      </w:r>
      <w:r w:rsidR="00D6360C">
        <w:t>a</w:t>
      </w:r>
      <w:r w:rsidRPr="00302E36">
        <w:t xml:space="preserve">gency may have more expertise in </w:t>
      </w:r>
      <w:r w:rsidR="00AF51C1">
        <w:t xml:space="preserve">the specific </w:t>
      </w:r>
      <w:r w:rsidRPr="00302E36">
        <w:t>risk mitigation strategies</w:t>
      </w:r>
      <w:r w:rsidR="00AF51C1">
        <w:t>. These</w:t>
      </w:r>
      <w:r w:rsidRPr="00302E36">
        <w:t xml:space="preserve"> should be used to assist and supplement the Contractor’s own processes.</w:t>
      </w:r>
    </w:p>
    <w:p w14:paraId="43266C02" w14:textId="75730520" w:rsidR="00C26930" w:rsidRPr="00302E36" w:rsidRDefault="00C26930" w:rsidP="00A0367A">
      <w:pPr>
        <w:pStyle w:val="NormalIndent"/>
      </w:pPr>
      <w:r w:rsidRPr="00302E36">
        <w:t xml:space="preserve">Similar to other </w:t>
      </w:r>
      <w:r w:rsidR="00094839">
        <w:t>cost reimbursable</w:t>
      </w:r>
      <w:r w:rsidRPr="00302E36">
        <w:t xml:space="preserve"> contracting models, the </w:t>
      </w:r>
      <w:r w:rsidR="007D350D">
        <w:t xml:space="preserve">resourcing and capability required </w:t>
      </w:r>
      <w:r w:rsidRPr="00302E36">
        <w:t xml:space="preserve">to procure and deliver the ITC </w:t>
      </w:r>
      <w:r w:rsidR="00ED6C21">
        <w:t>Development Deed</w:t>
      </w:r>
      <w:r w:rsidR="00AB625E">
        <w:t xml:space="preserve">s </w:t>
      </w:r>
      <w:r w:rsidRPr="00302E36">
        <w:t xml:space="preserve">and </w:t>
      </w:r>
      <w:r w:rsidR="00AB625E">
        <w:t>ITC D</w:t>
      </w:r>
      <w:r w:rsidRPr="00302E36">
        <w:t xml:space="preserve">elivery </w:t>
      </w:r>
      <w:r w:rsidR="00AB625E">
        <w:t>Deed</w:t>
      </w:r>
      <w:r w:rsidRPr="00302E36">
        <w:t xml:space="preserve">s is expected to be higher than </w:t>
      </w:r>
      <w:r w:rsidR="00EC3DBE">
        <w:t xml:space="preserve">those </w:t>
      </w:r>
      <w:r w:rsidRPr="00302E36">
        <w:t xml:space="preserve">of a </w:t>
      </w:r>
      <w:r>
        <w:t>traditional</w:t>
      </w:r>
      <w:r w:rsidRPr="00302E36">
        <w:t xml:space="preserve"> contract, such as a </w:t>
      </w:r>
      <w:r w:rsidR="00AF51C1">
        <w:t>f</w:t>
      </w:r>
      <w:r w:rsidRPr="00302E36">
        <w:t>ixed</w:t>
      </w:r>
      <w:r w:rsidR="002A2A26">
        <w:t>-</w:t>
      </w:r>
      <w:r w:rsidR="00AF51C1">
        <w:t>p</w:t>
      </w:r>
      <w:r w:rsidRPr="00302E36">
        <w:t xml:space="preserve">rice </w:t>
      </w:r>
      <w:r w:rsidR="00AF51C1">
        <w:t>D&amp;C</w:t>
      </w:r>
      <w:r w:rsidR="0034036B">
        <w:t xml:space="preserve"> contract</w:t>
      </w:r>
      <w:r w:rsidRPr="00302E36">
        <w:t>.</w:t>
      </w:r>
    </w:p>
    <w:p w14:paraId="340A6CE8" w14:textId="56EF95DC" w:rsidR="00C26930" w:rsidRPr="00302E36" w:rsidRDefault="00C26930" w:rsidP="00A0367A">
      <w:pPr>
        <w:pStyle w:val="NormalIndent"/>
      </w:pPr>
      <w:r w:rsidRPr="00302E36">
        <w:t xml:space="preserve">An </w:t>
      </w:r>
      <w:r w:rsidR="00AF51C1">
        <w:t>i</w:t>
      </w:r>
      <w:r w:rsidRPr="00302E36">
        <w:t xml:space="preserve">nformed and </w:t>
      </w:r>
      <w:r w:rsidR="00AF51C1">
        <w:t>e</w:t>
      </w:r>
      <w:r w:rsidRPr="00302E36">
        <w:t xml:space="preserve">ngaged </w:t>
      </w:r>
      <w:r w:rsidR="00AF51C1">
        <w:t>c</w:t>
      </w:r>
      <w:r w:rsidRPr="00302E36">
        <w:t xml:space="preserve">lient </w:t>
      </w:r>
      <w:r w:rsidR="00AF51C1">
        <w:t>m</w:t>
      </w:r>
      <w:r w:rsidRPr="00302E36">
        <w:t>odel requires expertise and experience in:</w:t>
      </w:r>
    </w:p>
    <w:p w14:paraId="0F00D481" w14:textId="217200C1" w:rsidR="00C26930" w:rsidRPr="00945FC5" w:rsidRDefault="00C26930" w:rsidP="000D52B3">
      <w:pPr>
        <w:pStyle w:val="Bulletindent"/>
        <w:contextualSpacing/>
      </w:pPr>
      <w:r w:rsidRPr="00945FC5">
        <w:t>project delivery</w:t>
      </w:r>
      <w:r w:rsidR="002A2A26">
        <w:t>;</w:t>
      </w:r>
    </w:p>
    <w:p w14:paraId="2DE512A2" w14:textId="34FC84DA" w:rsidR="00C26930" w:rsidRPr="00945FC5" w:rsidRDefault="00C26930" w:rsidP="000D52B3">
      <w:pPr>
        <w:pStyle w:val="Bulletindent"/>
        <w:contextualSpacing/>
      </w:pPr>
      <w:r w:rsidRPr="00945FC5">
        <w:t>planning and approvals</w:t>
      </w:r>
      <w:r w:rsidR="002A2A26">
        <w:t>;</w:t>
      </w:r>
    </w:p>
    <w:p w14:paraId="4808AC6A" w14:textId="3F8BB1D4" w:rsidR="00C26930" w:rsidRPr="00945FC5" w:rsidRDefault="00C26930" w:rsidP="000D52B3">
      <w:pPr>
        <w:pStyle w:val="Bulletindent"/>
        <w:contextualSpacing/>
      </w:pPr>
      <w:r w:rsidRPr="00945FC5">
        <w:t>environmental and cultural heritage impact</w:t>
      </w:r>
      <w:r w:rsidR="00AF51C1">
        <w:t>s</w:t>
      </w:r>
      <w:r w:rsidR="00131EA4">
        <w:t>;</w:t>
      </w:r>
    </w:p>
    <w:p w14:paraId="0FCB3700" w14:textId="42B45161" w:rsidR="00C26930" w:rsidRPr="00945FC5" w:rsidRDefault="00C26930" w:rsidP="000D52B3">
      <w:pPr>
        <w:pStyle w:val="Bulletindent"/>
        <w:contextualSpacing/>
      </w:pPr>
      <w:r w:rsidRPr="00945FC5">
        <w:t>communication and stakeholder engagement</w:t>
      </w:r>
      <w:r w:rsidR="00131EA4">
        <w:t>;</w:t>
      </w:r>
    </w:p>
    <w:p w14:paraId="0209C256" w14:textId="236D6595" w:rsidR="00C26930" w:rsidRPr="00945FC5" w:rsidRDefault="00C26930" w:rsidP="000D52B3">
      <w:pPr>
        <w:pStyle w:val="Bulletindent"/>
        <w:contextualSpacing/>
      </w:pPr>
      <w:r w:rsidRPr="00945FC5">
        <w:t>health and safety management systems</w:t>
      </w:r>
      <w:r w:rsidR="00131EA4">
        <w:t>;</w:t>
      </w:r>
    </w:p>
    <w:p w14:paraId="4B710DB8" w14:textId="36AE728E" w:rsidR="00C26930" w:rsidRPr="00945FC5" w:rsidRDefault="00131EA4" w:rsidP="000D52B3">
      <w:pPr>
        <w:pStyle w:val="Bulletindent"/>
        <w:contextualSpacing/>
      </w:pPr>
      <w:r>
        <w:t>U</w:t>
      </w:r>
      <w:r w:rsidR="00C26930">
        <w:t>tilities</w:t>
      </w:r>
      <w:r w:rsidR="00C26930" w:rsidRPr="00945FC5">
        <w:t xml:space="preserve"> management</w:t>
      </w:r>
      <w:r>
        <w:t>;</w:t>
      </w:r>
    </w:p>
    <w:p w14:paraId="0CF6654D" w14:textId="501F2CB7" w:rsidR="002A524B" w:rsidRPr="002A524B" w:rsidRDefault="00C26930" w:rsidP="000D52B3">
      <w:pPr>
        <w:pStyle w:val="Bulletindent"/>
        <w:contextualSpacing/>
      </w:pPr>
      <w:r w:rsidRPr="00945FC5">
        <w:t>cost and risk assessment</w:t>
      </w:r>
      <w:r w:rsidR="00131EA4">
        <w:t>; and</w:t>
      </w:r>
    </w:p>
    <w:p w14:paraId="590EF2BF" w14:textId="6785A421" w:rsidR="00935199" w:rsidRDefault="00C26930" w:rsidP="000D52B3">
      <w:pPr>
        <w:pStyle w:val="Bulletindent"/>
        <w:contextualSpacing/>
      </w:pPr>
      <w:r w:rsidRPr="00945FC5">
        <w:t>commercial and contract manag</w:t>
      </w:r>
      <w:r w:rsidR="00AF51C1">
        <w:t>em</w:t>
      </w:r>
      <w:r w:rsidRPr="00945FC5">
        <w:t>ent.</w:t>
      </w:r>
    </w:p>
    <w:p w14:paraId="620B6BDD" w14:textId="77777777" w:rsidR="00935199" w:rsidRPr="009C65D5" w:rsidRDefault="00935199" w:rsidP="00382569">
      <w:pPr>
        <w:pStyle w:val="Heading3numbered"/>
      </w:pPr>
      <w:r>
        <w:t>Relationship between the parties</w:t>
      </w:r>
    </w:p>
    <w:p w14:paraId="0FCF0728" w14:textId="1B1F73E7" w:rsidR="00935199" w:rsidRDefault="00935199" w:rsidP="001D01EA">
      <w:pPr>
        <w:pStyle w:val="NormalIndent"/>
        <w:keepNext/>
      </w:pPr>
      <w:r>
        <w:t>The parties involved in the ITC Delivery Deed are the same as those under a traditional</w:t>
      </w:r>
      <w:r w:rsidR="00AF51C1">
        <w:t xml:space="preserve"> D&amp;C </w:t>
      </w:r>
      <w:r>
        <w:t xml:space="preserve">contract. </w:t>
      </w:r>
      <w:r>
        <w:fldChar w:fldCharType="begin" w:fldLock="1"/>
      </w:r>
      <w:r>
        <w:instrText xml:space="preserve"> REF _Ref129286847 \h </w:instrText>
      </w:r>
      <w:r w:rsidR="005B2FBA">
        <w:instrText xml:space="preserve"> \* MERGEFORMAT </w:instrText>
      </w:r>
      <w:r>
        <w:fldChar w:fldCharType="separate"/>
      </w:r>
      <w:r w:rsidR="00400321">
        <w:t xml:space="preserve">Figure </w:t>
      </w:r>
      <w:r w:rsidR="00400321">
        <w:rPr>
          <w:noProof/>
        </w:rPr>
        <w:t>4</w:t>
      </w:r>
      <w:r>
        <w:fldChar w:fldCharType="end"/>
      </w:r>
      <w:r>
        <w:t xml:space="preserve"> below shows the interrelationship between the different entit</w:t>
      </w:r>
      <w:r w:rsidR="6B2E0066">
        <w:t>ies</w:t>
      </w:r>
      <w:r>
        <w:t>.</w:t>
      </w:r>
    </w:p>
    <w:p w14:paraId="1452439B" w14:textId="29F21C42" w:rsidR="00935199" w:rsidRDefault="00935199" w:rsidP="00BA17E2">
      <w:pPr>
        <w:pStyle w:val="Captionindent"/>
      </w:pPr>
      <w:bookmarkStart w:id="219" w:name="_Ref129286847"/>
      <w:r>
        <w:t xml:space="preserve">Figure </w:t>
      </w:r>
      <w:r>
        <w:fldChar w:fldCharType="begin"/>
      </w:r>
      <w:r>
        <w:instrText>SEQ Figure \* ARABIC</w:instrText>
      </w:r>
      <w:r>
        <w:fldChar w:fldCharType="separate"/>
      </w:r>
      <w:r w:rsidR="00131EE1">
        <w:rPr>
          <w:noProof/>
        </w:rPr>
        <w:t>4</w:t>
      </w:r>
      <w:r>
        <w:fldChar w:fldCharType="end"/>
      </w:r>
      <w:bookmarkEnd w:id="219"/>
      <w:r>
        <w:t xml:space="preserve"> </w:t>
      </w:r>
      <w:r w:rsidR="00AF51C1">
        <w:t>–</w:t>
      </w:r>
      <w:r>
        <w:t xml:space="preserve"> </w:t>
      </w:r>
      <w:r w:rsidRPr="005B2FBA">
        <w:t>Interrelationship</w:t>
      </w:r>
      <w:r>
        <w:t xml:space="preserve"> between entities</w:t>
      </w:r>
    </w:p>
    <w:p w14:paraId="111EF809" w14:textId="3939A9D1" w:rsidR="009E7252" w:rsidRDefault="009E7252" w:rsidP="0005402F">
      <w:pPr>
        <w:pStyle w:val="NormalIndent"/>
      </w:pPr>
      <w:r>
        <w:rPr>
          <w:noProof/>
        </w:rPr>
        <w:drawing>
          <wp:inline distT="0" distB="0" distL="0" distR="0" wp14:anchorId="74347DE1" wp14:editId="3A6AF904">
            <wp:extent cx="5029200" cy="2219289"/>
            <wp:effectExtent l="0" t="0" r="0" b="0"/>
            <wp:docPr id="5" name="Picture 5" descr="Figure illustrates the interrelationship between the parties involved in the ITC Delivery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illustrates the interrelationship between the parties involved in the ITC Delivery Deed."/>
                    <pic:cNvPicPr/>
                  </pic:nvPicPr>
                  <pic:blipFill>
                    <a:blip r:embed="rId52">
                      <a:extLst>
                        <a:ext uri="{96DAC541-7B7A-43D3-8B79-37D633B846F1}">
                          <asvg:svgBlip xmlns:asvg="http://schemas.microsoft.com/office/drawing/2016/SVG/main" r:embed="rId53"/>
                        </a:ext>
                      </a:extLst>
                    </a:blip>
                    <a:stretch>
                      <a:fillRect/>
                    </a:stretch>
                  </pic:blipFill>
                  <pic:spPr>
                    <a:xfrm>
                      <a:off x="0" y="0"/>
                      <a:ext cx="5038428" cy="2223361"/>
                    </a:xfrm>
                    <a:prstGeom prst="rect">
                      <a:avLst/>
                    </a:prstGeom>
                  </pic:spPr>
                </pic:pic>
              </a:graphicData>
            </a:graphic>
          </wp:inline>
        </w:drawing>
      </w:r>
    </w:p>
    <w:p w14:paraId="0BA03F62" w14:textId="684ED01D" w:rsidR="00C26930" w:rsidRPr="00522983" w:rsidRDefault="00C26930" w:rsidP="005B2FBA">
      <w:pPr>
        <w:pStyle w:val="Heading2numbered"/>
      </w:pPr>
      <w:bookmarkStart w:id="220" w:name="_Toc130925429"/>
      <w:bookmarkStart w:id="221" w:name="_Toc133577868"/>
      <w:bookmarkStart w:id="222" w:name="_Toc145612567"/>
      <w:r w:rsidRPr="00522983">
        <w:t>Approvals and project assurance</w:t>
      </w:r>
      <w:bookmarkEnd w:id="220"/>
      <w:bookmarkEnd w:id="221"/>
      <w:bookmarkEnd w:id="222"/>
    </w:p>
    <w:p w14:paraId="1DAC5298" w14:textId="64448642" w:rsidR="00C26930" w:rsidRDefault="00C26930" w:rsidP="00E9066C">
      <w:pPr>
        <w:pStyle w:val="NormalIndent"/>
      </w:pPr>
      <w:r w:rsidRPr="44F9A5C0">
        <w:t xml:space="preserve">All HVHR </w:t>
      </w:r>
      <w:r w:rsidR="00934835">
        <w:t>P</w:t>
      </w:r>
      <w:r>
        <w:t>rojects</w:t>
      </w:r>
      <w:r w:rsidRPr="44F9A5C0">
        <w:t xml:space="preserve"> are required to undertake a series of centralised checks and processes tailored to the risk profile and characteristics of the </w:t>
      </w:r>
      <w:r w:rsidR="00685822">
        <w:t>P</w:t>
      </w:r>
      <w:r>
        <w:t>roject.</w:t>
      </w:r>
      <w:r w:rsidRPr="44F9A5C0">
        <w:t xml:space="preserve"> These are documented in the Project Assurance Plan </w:t>
      </w:r>
      <w:r w:rsidR="00AF51C1">
        <w:t xml:space="preserve">that is </w:t>
      </w:r>
      <w:r w:rsidRPr="44F9A5C0">
        <w:t>developed for each project.</w:t>
      </w:r>
    </w:p>
    <w:p w14:paraId="035C1779" w14:textId="2AA19ECB" w:rsidR="000143F4" w:rsidRDefault="62CC12D3" w:rsidP="00E9066C">
      <w:pPr>
        <w:pStyle w:val="NormalIndent"/>
      </w:pPr>
      <w:r w:rsidRPr="56DE8DEE">
        <w:t xml:space="preserve">HVHR </w:t>
      </w:r>
      <w:r w:rsidR="00934835">
        <w:t>P</w:t>
      </w:r>
      <w:r>
        <w:t>rojects</w:t>
      </w:r>
      <w:r w:rsidRPr="56DE8DEE" w:rsidDel="00934835">
        <w:t xml:space="preserve"> </w:t>
      </w:r>
      <w:r w:rsidRPr="56DE8DEE">
        <w:t>require the Treasurer’s approval at key phases of the procurement process. In some cases</w:t>
      </w:r>
      <w:r w:rsidR="00AF51C1">
        <w:t>,</w:t>
      </w:r>
      <w:r w:rsidRPr="56DE8DEE">
        <w:t xml:space="preserve"> central agencies may be involved in the tender selection process.</w:t>
      </w:r>
    </w:p>
    <w:p w14:paraId="76E94956" w14:textId="02B9283C" w:rsidR="00C26930" w:rsidRDefault="6AAEBE0D" w:rsidP="00E9066C">
      <w:pPr>
        <w:pStyle w:val="NormalIndent"/>
      </w:pPr>
      <w:r>
        <w:t>Variations to standard deeds</w:t>
      </w:r>
      <w:r w:rsidR="06864A19">
        <w:t>,</w:t>
      </w:r>
      <w:r>
        <w:t xml:space="preserve"> commercial principles</w:t>
      </w:r>
      <w:r w:rsidR="06864A19">
        <w:t xml:space="preserve"> or </w:t>
      </w:r>
      <w:r>
        <w:t xml:space="preserve">risk </w:t>
      </w:r>
      <w:r w:rsidR="06864A19">
        <w:t>allocations require input from DTF</w:t>
      </w:r>
      <w:r w:rsidR="086E6884">
        <w:t>,</w:t>
      </w:r>
      <w:r w:rsidR="06864A19">
        <w:t xml:space="preserve"> </w:t>
      </w:r>
      <w:r w:rsidR="086E6884">
        <w:t xml:space="preserve">and </w:t>
      </w:r>
      <w:r w:rsidR="07FB93C8">
        <w:t xml:space="preserve">are typically confirmed through </w:t>
      </w:r>
      <w:r w:rsidR="00A64146">
        <w:t>P</w:t>
      </w:r>
      <w:r w:rsidR="07FB93C8">
        <w:t xml:space="preserve">roject governance groups but </w:t>
      </w:r>
      <w:r w:rsidR="086E6884">
        <w:t xml:space="preserve">may also require DTF </w:t>
      </w:r>
      <w:r w:rsidR="06864A19">
        <w:t xml:space="preserve">or </w:t>
      </w:r>
      <w:r>
        <w:t>Treasurer</w:t>
      </w:r>
      <w:r w:rsidR="210CADA5">
        <w:t xml:space="preserve"> approval</w:t>
      </w:r>
      <w:r>
        <w:t xml:space="preserve"> </w:t>
      </w:r>
      <w:r w:rsidR="086E6884">
        <w:t>(</w:t>
      </w:r>
      <w:r w:rsidR="06864A19">
        <w:t>or both</w:t>
      </w:r>
      <w:r w:rsidR="086E6884">
        <w:t>)</w:t>
      </w:r>
      <w:r w:rsidR="06864A19">
        <w:t xml:space="preserve">, </w:t>
      </w:r>
      <w:r w:rsidR="77457DD5">
        <w:t>as</w:t>
      </w:r>
      <w:r>
        <w:t xml:space="preserve"> </w:t>
      </w:r>
      <w:r w:rsidR="412DBBA5">
        <w:t xml:space="preserve">specified </w:t>
      </w:r>
      <w:r>
        <w:t xml:space="preserve">in </w:t>
      </w:r>
      <w:r w:rsidR="06864A19">
        <w:t xml:space="preserve">a </w:t>
      </w:r>
      <w:r w:rsidR="00396B32">
        <w:t>P</w:t>
      </w:r>
      <w:r w:rsidR="06864A19">
        <w:t xml:space="preserve">roject’s individual </w:t>
      </w:r>
      <w:r>
        <w:t>Project Assurance Plan.</w:t>
      </w:r>
    </w:p>
    <w:p w14:paraId="6EAF6A51" w14:textId="4C604C8B" w:rsidR="00C26930" w:rsidRDefault="00C26930" w:rsidP="00E9066C">
      <w:pPr>
        <w:pStyle w:val="NormalIndent"/>
      </w:pPr>
      <w:r w:rsidRPr="11EC4063">
        <w:t xml:space="preserve">Projects procured through </w:t>
      </w:r>
      <w:r>
        <w:t>cost reimbursable</w:t>
      </w:r>
      <w:r w:rsidRPr="11EC4063">
        <w:t xml:space="preserve"> contracts, including the ITC model, are</w:t>
      </w:r>
      <w:r>
        <w:t xml:space="preserve"> also</w:t>
      </w:r>
      <w:r w:rsidRPr="11EC4063">
        <w:t xml:space="preserve"> required to meet the </w:t>
      </w:r>
      <w:r w:rsidR="000B563E">
        <w:t>Cost Reimbursable Procurement Requirements</w:t>
      </w:r>
      <w:r w:rsidRPr="11EC4063">
        <w:t>.</w:t>
      </w:r>
    </w:p>
    <w:p w14:paraId="5A8E8BDA" w14:textId="60D12B89" w:rsidR="00C26930" w:rsidRDefault="00C26930" w:rsidP="00E9066C">
      <w:pPr>
        <w:pStyle w:val="NormalIndent"/>
        <w:rPr>
          <w:color w:val="232A38"/>
        </w:rPr>
      </w:pPr>
      <w:r w:rsidRPr="4E453056">
        <w:t>For the</w:t>
      </w:r>
      <w:r w:rsidRPr="4E453056" w:rsidDel="00C37696">
        <w:t xml:space="preserve"> </w:t>
      </w:r>
      <w:r w:rsidRPr="4E453056">
        <w:t xml:space="preserve">ITC </w:t>
      </w:r>
      <w:r w:rsidR="00AB625E">
        <w:t>C</w:t>
      </w:r>
      <w:r w:rsidRPr="4E453056">
        <w:t xml:space="preserve">ontract </w:t>
      </w:r>
      <w:r w:rsidR="00AB625E">
        <w:t>S</w:t>
      </w:r>
      <w:r w:rsidRPr="4E453056">
        <w:t>uite, DTF</w:t>
      </w:r>
      <w:r w:rsidR="00773779">
        <w:t>’</w:t>
      </w:r>
      <w:r w:rsidR="00AF51C1">
        <w:t>s</w:t>
      </w:r>
      <w:r>
        <w:t xml:space="preserve"> Commercial Division</w:t>
      </w:r>
      <w:r w:rsidRPr="4E453056">
        <w:t xml:space="preserve"> </w:t>
      </w:r>
      <w:r w:rsidRPr="592B649A">
        <w:t>expects</w:t>
      </w:r>
      <w:r w:rsidRPr="4E453056">
        <w:t xml:space="preserve"> to be consulted on proposed changes to key commercial principles</w:t>
      </w:r>
      <w:r w:rsidR="00AF51C1">
        <w:t xml:space="preserve"> or </w:t>
      </w:r>
      <w:r w:rsidRPr="4E453056">
        <w:t>risk allocations</w:t>
      </w:r>
      <w:r w:rsidR="00FA3C02">
        <w:t>,</w:t>
      </w:r>
      <w:r w:rsidRPr="4E453056">
        <w:t xml:space="preserve"> including:</w:t>
      </w:r>
    </w:p>
    <w:p w14:paraId="29980FBA" w14:textId="1F09D75D" w:rsidR="00C26930" w:rsidRPr="005B2FBA" w:rsidRDefault="00C26930" w:rsidP="000D52B3">
      <w:pPr>
        <w:pStyle w:val="Bulletindent"/>
      </w:pPr>
      <w:r w:rsidRPr="005B2FBA">
        <w:t>whether</w:t>
      </w:r>
      <w:r w:rsidRPr="005B2FBA">
        <w:rPr>
          <w:rFonts w:eastAsia="Arial"/>
        </w:rPr>
        <w:t xml:space="preserve"> a </w:t>
      </w:r>
      <w:r w:rsidR="00C56FAD">
        <w:rPr>
          <w:rFonts w:eastAsia="Arial"/>
        </w:rPr>
        <w:t>S</w:t>
      </w:r>
      <w:r w:rsidRPr="005B2FBA">
        <w:rPr>
          <w:rFonts w:eastAsia="Arial"/>
        </w:rPr>
        <w:t>ingle</w:t>
      </w:r>
      <w:r w:rsidR="00AF51C1">
        <w:rPr>
          <w:rFonts w:eastAsia="Arial"/>
        </w:rPr>
        <w:t xml:space="preserve"> </w:t>
      </w:r>
      <w:r w:rsidRPr="005B2FBA">
        <w:rPr>
          <w:rFonts w:eastAsia="Arial"/>
        </w:rPr>
        <w:t xml:space="preserve">TOC </w:t>
      </w:r>
      <w:r w:rsidR="00C56FAD">
        <w:rPr>
          <w:rFonts w:eastAsia="Arial"/>
        </w:rPr>
        <w:t>P</w:t>
      </w:r>
      <w:r w:rsidRPr="005B2FBA">
        <w:rPr>
          <w:rFonts w:eastAsia="Arial"/>
        </w:rPr>
        <w:t xml:space="preserve">rocess is used instead of a </w:t>
      </w:r>
      <w:r w:rsidR="00C56FAD">
        <w:rPr>
          <w:rFonts w:eastAsia="Arial"/>
        </w:rPr>
        <w:t>C</w:t>
      </w:r>
      <w:r w:rsidRPr="005B2FBA">
        <w:rPr>
          <w:rFonts w:eastAsia="Arial"/>
        </w:rPr>
        <w:t xml:space="preserve">ompetitive TOC </w:t>
      </w:r>
      <w:r w:rsidR="00C56FAD">
        <w:rPr>
          <w:rFonts w:eastAsia="Arial"/>
        </w:rPr>
        <w:t>P</w:t>
      </w:r>
      <w:r w:rsidRPr="005B2FBA">
        <w:rPr>
          <w:rFonts w:eastAsia="Arial"/>
        </w:rPr>
        <w:t>rocess</w:t>
      </w:r>
      <w:r w:rsidR="00F16980">
        <w:rPr>
          <w:rFonts w:eastAsia="Arial"/>
        </w:rPr>
        <w:t>;</w:t>
      </w:r>
    </w:p>
    <w:p w14:paraId="748D8909" w14:textId="14524D47" w:rsidR="002A524B" w:rsidRPr="002A524B" w:rsidRDefault="00AF51C1" w:rsidP="000D52B3">
      <w:pPr>
        <w:pStyle w:val="Bulletindent"/>
      </w:pPr>
      <w:r>
        <w:t xml:space="preserve">any </w:t>
      </w:r>
      <w:r w:rsidR="00C26930" w:rsidRPr="005B2FBA">
        <w:t>changes to the default payment and performance regimes</w:t>
      </w:r>
      <w:r w:rsidR="00171067">
        <w:t>; and</w:t>
      </w:r>
    </w:p>
    <w:p w14:paraId="73DB1030" w14:textId="3AC925E8" w:rsidR="00C26930" w:rsidRPr="005B2FBA" w:rsidRDefault="00C26930" w:rsidP="000D52B3">
      <w:pPr>
        <w:pStyle w:val="Bulletindent"/>
        <w:rPr>
          <w:rFonts w:eastAsia="Arial"/>
        </w:rPr>
      </w:pPr>
      <w:r w:rsidRPr="005B2FBA">
        <w:t>whe</w:t>
      </w:r>
      <w:r w:rsidRPr="005B2FBA">
        <w:rPr>
          <w:rFonts w:eastAsia="Arial"/>
        </w:rPr>
        <w:t>ther traditional or delayed liquidated damages regimes are used.</w:t>
      </w:r>
    </w:p>
    <w:p w14:paraId="635D9832" w14:textId="6B182CD8" w:rsidR="00DE7575" w:rsidRDefault="00DE7575" w:rsidP="005B2FBA">
      <w:pPr>
        <w:pStyle w:val="Heading2numbered"/>
      </w:pPr>
      <w:bookmarkStart w:id="223" w:name="_Toc145612568"/>
      <w:r>
        <w:t>Principal Rep</w:t>
      </w:r>
      <w:r w:rsidR="00C45109">
        <w:t>resentative</w:t>
      </w:r>
      <w:bookmarkEnd w:id="223"/>
    </w:p>
    <w:p w14:paraId="6CDD9EEC" w14:textId="0AAFD895" w:rsidR="00DE7575" w:rsidRPr="00522983" w:rsidRDefault="68D6367B" w:rsidP="00E9066C">
      <w:pPr>
        <w:pStyle w:val="NormalIndent"/>
      </w:pPr>
      <w:r w:rsidRPr="00EE054A">
        <w:t>The role of the Principal Representative under the</w:t>
      </w:r>
      <w:r w:rsidR="00DD153A">
        <w:t xml:space="preserve"> </w:t>
      </w:r>
      <w:r w:rsidRPr="00EE054A">
        <w:t xml:space="preserve">ITC </w:t>
      </w:r>
      <w:r w:rsidR="00DD423F">
        <w:t>C</w:t>
      </w:r>
      <w:r w:rsidRPr="00EE054A">
        <w:t xml:space="preserve">ontract </w:t>
      </w:r>
      <w:r w:rsidR="00DD423F">
        <w:t>S</w:t>
      </w:r>
      <w:r w:rsidRPr="00EE054A">
        <w:t xml:space="preserve">uite is to </w:t>
      </w:r>
      <w:r>
        <w:t>administer</w:t>
      </w:r>
      <w:r w:rsidRPr="00EE054A">
        <w:t xml:space="preserve"> the </w:t>
      </w:r>
      <w:r w:rsidR="00A043E7" w:rsidRPr="00BE64B5">
        <w:rPr>
          <w:rFonts w:ascii="VIC" w:eastAsia="Arial" w:hAnsi="VIC" w:cs="Arial"/>
        </w:rPr>
        <w:t xml:space="preserve">ITC Development Deed and the ITC Delivery Deed </w:t>
      </w:r>
      <w:r w:rsidRPr="00EE054A">
        <w:t>and ensure the contractual obligations are performed.</w:t>
      </w:r>
    </w:p>
    <w:p w14:paraId="1476D5C3" w14:textId="79A4D460" w:rsidR="00DE7575" w:rsidRPr="00522983" w:rsidRDefault="68D6367B" w:rsidP="00382569">
      <w:pPr>
        <w:pStyle w:val="NormalIndent"/>
        <w:keepNext/>
      </w:pPr>
      <w:r w:rsidRPr="00EE054A">
        <w:t>The Principal Representative has two separate and distinct roles:</w:t>
      </w:r>
    </w:p>
    <w:p w14:paraId="7EDAF14F" w14:textId="7BAB809E" w:rsidR="002A524B" w:rsidRPr="002A524B" w:rsidRDefault="68D6367B" w:rsidP="00382569">
      <w:pPr>
        <w:pStyle w:val="Bulletindent"/>
        <w:keepNext/>
      </w:pPr>
      <w:r w:rsidRPr="005B2FBA">
        <w:t xml:space="preserve">to act as agent for the </w:t>
      </w:r>
      <w:r w:rsidR="00DD423F" w:rsidRPr="005B2FBA">
        <w:t>P</w:t>
      </w:r>
      <w:r w:rsidRPr="005B2FBA">
        <w:t>rincipal</w:t>
      </w:r>
      <w:r w:rsidR="000B778F">
        <w:t>; and</w:t>
      </w:r>
    </w:p>
    <w:p w14:paraId="6FCF14F3" w14:textId="0B7ABE15" w:rsidR="00DE7575" w:rsidRPr="005B2FBA" w:rsidRDefault="68D6367B" w:rsidP="000D52B3">
      <w:pPr>
        <w:pStyle w:val="Bulletindent"/>
      </w:pPr>
      <w:r w:rsidRPr="005B2FBA">
        <w:t>to act as an independent certifier</w:t>
      </w:r>
      <w:r w:rsidR="7DBCAE0F" w:rsidRPr="005B2FBA">
        <w:t>.</w:t>
      </w:r>
    </w:p>
    <w:p w14:paraId="4FE74E6D" w14:textId="44D4B1F4" w:rsidR="00DE7575" w:rsidRPr="00522983" w:rsidRDefault="68D6367B" w:rsidP="00E9066C">
      <w:pPr>
        <w:pStyle w:val="NormalIndent"/>
      </w:pPr>
      <w:r w:rsidRPr="00EE054A">
        <w:t>As the agent for the Principal</w:t>
      </w:r>
      <w:r w:rsidR="00D72E24">
        <w:t>,</w:t>
      </w:r>
      <w:r w:rsidRPr="00EE054A">
        <w:t xml:space="preserve"> the </w:t>
      </w:r>
      <w:r w:rsidR="00A77792">
        <w:t>Principal Representative</w:t>
      </w:r>
      <w:r w:rsidRPr="00EE054A">
        <w:t xml:space="preserve"> may exercise all rights, powers, authority and functions of the Principal under</w:t>
      </w:r>
      <w:r w:rsidR="00A043E7">
        <w:t xml:space="preserve"> </w:t>
      </w:r>
      <w:r w:rsidR="00A043E7" w:rsidRPr="00BE64B5">
        <w:t>the</w:t>
      </w:r>
      <w:r w:rsidRPr="00BE64B5">
        <w:t xml:space="preserve"> </w:t>
      </w:r>
      <w:r w:rsidR="00A043E7" w:rsidRPr="00BE64B5">
        <w:t>ITC Development Deed and the relevant Project Documents (including the ITC Delivery Deed)</w:t>
      </w:r>
      <w:r w:rsidRPr="00BE64B5">
        <w:t>. This role may include</w:t>
      </w:r>
      <w:r w:rsidRPr="00EE054A">
        <w:t>:</w:t>
      </w:r>
    </w:p>
    <w:p w14:paraId="4CCF97E4" w14:textId="4EF3D949" w:rsidR="00A043E7" w:rsidRPr="00424277" w:rsidRDefault="00A043E7" w:rsidP="000D52B3">
      <w:pPr>
        <w:pStyle w:val="Bulletindent"/>
      </w:pPr>
      <w:r w:rsidRPr="00470C48">
        <w:t>issuing directions to</w:t>
      </w:r>
      <w:r>
        <w:t xml:space="preserve"> the Shortlisted Respondent (during the Development Phase) and</w:t>
      </w:r>
      <w:r w:rsidRPr="00470C48">
        <w:t xml:space="preserve"> the</w:t>
      </w:r>
      <w:r w:rsidRPr="00424277">
        <w:t xml:space="preserve"> Contractor (during the Delivery Phase) on behalf of the Principal</w:t>
      </w:r>
      <w:r w:rsidR="00BE3F5B">
        <w:t>;</w:t>
      </w:r>
    </w:p>
    <w:p w14:paraId="5302F3AC" w14:textId="74D5542D" w:rsidR="00A043E7" w:rsidRPr="00424277" w:rsidRDefault="00A043E7" w:rsidP="000D52B3">
      <w:pPr>
        <w:pStyle w:val="Bulletindent"/>
      </w:pPr>
      <w:r w:rsidRPr="00424277">
        <w:t>reviewing updates to the Design Development Program and the Development Phase Program (during the Development Phase) and updates to the Program (during the Delivery Phase)</w:t>
      </w:r>
      <w:r w:rsidR="00BE3F5B">
        <w:t>;</w:t>
      </w:r>
    </w:p>
    <w:p w14:paraId="334AF244" w14:textId="65FDE9F4" w:rsidR="00A043E7" w:rsidRPr="00424277" w:rsidRDefault="00A043E7" w:rsidP="000D52B3">
      <w:pPr>
        <w:pStyle w:val="Bulletindent"/>
      </w:pPr>
      <w:r w:rsidRPr="00424277">
        <w:t>approving the Contractor</w:t>
      </w:r>
      <w:r w:rsidR="002A076C" w:rsidRPr="00424277">
        <w:t>’</w:t>
      </w:r>
      <w:r w:rsidRPr="00424277">
        <w:t>s proposals to enter into Subcontracts during the Delivery Phase</w:t>
      </w:r>
      <w:r w:rsidR="00BE3F5B">
        <w:t>;</w:t>
      </w:r>
    </w:p>
    <w:p w14:paraId="5D3CD9F1" w14:textId="6ECF02DA" w:rsidR="00A043E7" w:rsidRPr="00424277" w:rsidRDefault="00A043E7" w:rsidP="000D52B3">
      <w:pPr>
        <w:pStyle w:val="Bulletindent"/>
      </w:pPr>
      <w:r w:rsidRPr="00424277">
        <w:t xml:space="preserve">resolving </w:t>
      </w:r>
      <w:r w:rsidRPr="00424277">
        <w:rPr>
          <w:rFonts w:eastAsia="Arial"/>
        </w:rPr>
        <w:t xml:space="preserve">ambiguities in the ITC Development Deed (during the Development Phase) and ambiguities within and between the </w:t>
      </w:r>
      <w:r w:rsidRPr="00424277">
        <w:t>Project Documents (during the Delivery Phase)</w:t>
      </w:r>
      <w:r w:rsidR="00BE3F5B">
        <w:t>;</w:t>
      </w:r>
    </w:p>
    <w:p w14:paraId="6020A3F4" w14:textId="7172C477" w:rsidR="002A524B" w:rsidRPr="002A524B" w:rsidRDefault="00A043E7" w:rsidP="000D52B3">
      <w:pPr>
        <w:pStyle w:val="Bulletindent"/>
      </w:pPr>
      <w:r w:rsidRPr="00424277">
        <w:t>postponement and suspension of the Development Phase Services (during the Development Phase) and the Contractor</w:t>
      </w:r>
      <w:r w:rsidR="002A076C" w:rsidRPr="00424277">
        <w:t>’</w:t>
      </w:r>
      <w:r w:rsidRPr="00424277">
        <w:t>s Activities (during the Delivery Phase)</w:t>
      </w:r>
      <w:r w:rsidR="004246DC">
        <w:t>;</w:t>
      </w:r>
      <w:r w:rsidR="00754976" w:rsidRPr="00754976">
        <w:rPr>
          <w:rFonts w:ascii="Calibri" w:hAnsi="Calibri"/>
        </w:rPr>
        <w:t> </w:t>
      </w:r>
      <w:r w:rsidR="004246DC">
        <w:t>and</w:t>
      </w:r>
    </w:p>
    <w:p w14:paraId="4A4B55D3" w14:textId="7F57A34C" w:rsidR="00A043E7" w:rsidRPr="00424277" w:rsidRDefault="00A043E7" w:rsidP="000D52B3">
      <w:pPr>
        <w:pStyle w:val="Bulletindent"/>
        <w:rPr>
          <w:rFonts w:eastAsia="Open Sans"/>
        </w:rPr>
      </w:pPr>
      <w:r w:rsidRPr="00424277">
        <w:t>issuing Variation Orders and Scope Variation Orders during the Delivery Phase.</w:t>
      </w:r>
    </w:p>
    <w:p w14:paraId="0C3DAE5E" w14:textId="524294AE" w:rsidR="00DE7575" w:rsidRPr="00522983" w:rsidRDefault="68D6367B" w:rsidP="00E9066C">
      <w:pPr>
        <w:pStyle w:val="NormalIndent"/>
      </w:pPr>
      <w:r w:rsidRPr="00EE054A">
        <w:t xml:space="preserve">In its role as certifier under the ITC </w:t>
      </w:r>
      <w:r w:rsidR="00D72E24">
        <w:t>C</w:t>
      </w:r>
      <w:r w:rsidRPr="00EE054A">
        <w:t xml:space="preserve">ontract </w:t>
      </w:r>
      <w:r w:rsidR="00D72E24">
        <w:t>S</w:t>
      </w:r>
      <w:r w:rsidRPr="00EE054A">
        <w:t>uite, the Principal Representative performs certain certification functions around time, cost and Practical Completion. In undertaking its certification functions, the Principal Representative must:</w:t>
      </w:r>
    </w:p>
    <w:p w14:paraId="7845A944" w14:textId="55CF3638" w:rsidR="00DE7575" w:rsidRPr="005B2FBA" w:rsidRDefault="68D6367B" w:rsidP="000D52B3">
      <w:pPr>
        <w:pStyle w:val="Bulletindent"/>
      </w:pPr>
      <w:r w:rsidRPr="005B2FBA">
        <w:t>act honestly and impartially</w:t>
      </w:r>
      <w:r w:rsidR="004246DC">
        <w:t>;</w:t>
      </w:r>
    </w:p>
    <w:p w14:paraId="2A199006" w14:textId="6E0E7B1A" w:rsidR="00DE7575" w:rsidRPr="005B2FBA" w:rsidRDefault="68D6367B" w:rsidP="000D52B3">
      <w:pPr>
        <w:pStyle w:val="Bulletindent"/>
      </w:pPr>
      <w:r w:rsidRPr="005B2FBA">
        <w:t xml:space="preserve">arrive at a reasonable measure </w:t>
      </w:r>
      <w:r w:rsidR="0012307A">
        <w:t>f</w:t>
      </w:r>
      <w:r w:rsidRPr="005B2FBA">
        <w:t>or value of work, quantities or time</w:t>
      </w:r>
      <w:r w:rsidR="004246DC">
        <w:t>;</w:t>
      </w:r>
    </w:p>
    <w:p w14:paraId="46930766" w14:textId="3770D007" w:rsidR="002A524B" w:rsidRPr="002A524B" w:rsidRDefault="0003416D" w:rsidP="000D52B3">
      <w:pPr>
        <w:pStyle w:val="Bulletindent"/>
      </w:pPr>
      <w:r>
        <w:t>determine reasonably</w:t>
      </w:r>
      <w:r w:rsidR="68D6367B" w:rsidRPr="005B2FBA">
        <w:t xml:space="preserve"> whether Practical Completion has been achieved</w:t>
      </w:r>
      <w:r w:rsidR="00134210">
        <w:t>; and</w:t>
      </w:r>
    </w:p>
    <w:p w14:paraId="63BABB89" w14:textId="1E769731" w:rsidR="00DE7575" w:rsidRPr="005B2FBA" w:rsidRDefault="68D6367B" w:rsidP="000D52B3">
      <w:pPr>
        <w:pStyle w:val="Bulletindent"/>
        <w:rPr>
          <w:rFonts w:eastAsia="Open Sans"/>
        </w:rPr>
      </w:pPr>
      <w:r w:rsidRPr="005B2FBA">
        <w:t>act within the time prescribed under</w:t>
      </w:r>
      <w:r w:rsidR="00F24626">
        <w:t xml:space="preserve"> the</w:t>
      </w:r>
      <w:r w:rsidRPr="005B2FBA">
        <w:t xml:space="preserve"> </w:t>
      </w:r>
      <w:r w:rsidR="00A043E7">
        <w:t>ITC Delivery Deed</w:t>
      </w:r>
      <w:r w:rsidR="00A043E7" w:rsidRPr="005B2FBA">
        <w:t xml:space="preserve"> </w:t>
      </w:r>
      <w:r w:rsidRPr="005B2FBA">
        <w:t>or, where no time is prescribed, within a reasonable time.</w:t>
      </w:r>
    </w:p>
    <w:p w14:paraId="5BE76390" w14:textId="2EE9D0A8" w:rsidR="00DE7575" w:rsidRPr="00522983" w:rsidRDefault="68D6367B" w:rsidP="00E9066C">
      <w:pPr>
        <w:pStyle w:val="NormalIndent"/>
      </w:pPr>
      <w:r w:rsidRPr="00EE054A">
        <w:t>On a project</w:t>
      </w:r>
      <w:r w:rsidR="00043711">
        <w:t>-specific</w:t>
      </w:r>
      <w:r w:rsidRPr="00EE054A">
        <w:t xml:space="preserve"> basis, agencies may elect to</w:t>
      </w:r>
      <w:r w:rsidR="003111DF">
        <w:t xml:space="preserve"> also</w:t>
      </w:r>
      <w:r w:rsidRPr="00EE054A">
        <w:t xml:space="preserve"> appoint an </w:t>
      </w:r>
      <w:r w:rsidR="00A043E7">
        <w:t>i</w:t>
      </w:r>
      <w:r w:rsidRPr="00EE054A">
        <w:t xml:space="preserve">ndependent </w:t>
      </w:r>
      <w:r w:rsidR="00A043E7">
        <w:t>r</w:t>
      </w:r>
      <w:r w:rsidRPr="00EE054A">
        <w:t xml:space="preserve">eviewer </w:t>
      </w:r>
      <w:r w:rsidR="2572513E" w:rsidRPr="6AD5472B">
        <w:t xml:space="preserve">or </w:t>
      </w:r>
      <w:r w:rsidR="00A043E7">
        <w:t>c</w:t>
      </w:r>
      <w:r w:rsidR="2572513E" w:rsidRPr="6AD5472B">
        <w:t xml:space="preserve">ertifier </w:t>
      </w:r>
      <w:r w:rsidRPr="00EE054A">
        <w:t>who may certify payment, determ</w:t>
      </w:r>
      <w:r w:rsidR="0012307A">
        <w:t xml:space="preserve">ine </w:t>
      </w:r>
      <w:r w:rsidRPr="00EE054A">
        <w:t>extensions of time</w:t>
      </w:r>
      <w:r w:rsidR="00931F96">
        <w:rPr>
          <w:rFonts w:hint="eastAsia"/>
        </w:rPr>
        <w:t xml:space="preserve"> and</w:t>
      </w:r>
      <w:r w:rsidRPr="00EE054A">
        <w:t xml:space="preserve"> certify Practical Completion. An </w:t>
      </w:r>
      <w:r w:rsidR="00A043E7">
        <w:t>i</w:t>
      </w:r>
      <w:r w:rsidRPr="00EE054A">
        <w:t xml:space="preserve">ndependent </w:t>
      </w:r>
      <w:r w:rsidR="00A043E7">
        <w:t>r</w:t>
      </w:r>
      <w:r w:rsidRPr="00EE054A">
        <w:t>eviewer may be well suited to large projects where the benefit of</w:t>
      </w:r>
      <w:r w:rsidRPr="6AD5472B">
        <w:t xml:space="preserve"> </w:t>
      </w:r>
      <w:r w:rsidR="5CB6A100" w:rsidRPr="6AD5472B">
        <w:t>additional assurance provided by a third</w:t>
      </w:r>
      <w:r w:rsidR="0003416D">
        <w:t xml:space="preserve"> </w:t>
      </w:r>
      <w:r w:rsidR="5CB6A100" w:rsidRPr="6AD5472B">
        <w:t>party</w:t>
      </w:r>
      <w:r w:rsidRPr="6AD5472B">
        <w:t xml:space="preserve"> and</w:t>
      </w:r>
      <w:r w:rsidR="00A043E7">
        <w:t xml:space="preserve"> the</w:t>
      </w:r>
      <w:r w:rsidRPr="6AD5472B">
        <w:t xml:space="preserve"> </w:t>
      </w:r>
      <w:r w:rsidR="5CB6A100" w:rsidRPr="6AD5472B">
        <w:t>materiality of</w:t>
      </w:r>
      <w:r w:rsidRPr="00EE054A">
        <w:t xml:space="preserve"> </w:t>
      </w:r>
      <w:r w:rsidR="00A043E7">
        <w:t xml:space="preserve">the relevant </w:t>
      </w:r>
      <w:r w:rsidRPr="00EE054A">
        <w:t>decision</w:t>
      </w:r>
      <w:r w:rsidR="007C277D">
        <w:t>-</w:t>
      </w:r>
      <w:r w:rsidRPr="00EE054A">
        <w:t xml:space="preserve">making could outweigh the additional costs that come with an </w:t>
      </w:r>
      <w:r w:rsidR="00A043E7">
        <w:t>i</w:t>
      </w:r>
      <w:r w:rsidRPr="00EE054A">
        <w:t xml:space="preserve">ndependent </w:t>
      </w:r>
      <w:r w:rsidR="00A043E7">
        <w:t>r</w:t>
      </w:r>
      <w:r w:rsidRPr="00EE054A">
        <w:t>eviewer.</w:t>
      </w:r>
    </w:p>
    <w:p w14:paraId="3881A9A9" w14:textId="46BC71A7" w:rsidR="00C26930" w:rsidRPr="00522983" w:rsidRDefault="00C26930" w:rsidP="000272A3">
      <w:pPr>
        <w:pStyle w:val="Heading1numbered"/>
      </w:pPr>
      <w:bookmarkStart w:id="224" w:name="_Toc130925430"/>
      <w:bookmarkStart w:id="225" w:name="_Toc133577869"/>
      <w:bookmarkStart w:id="226" w:name="_Toc145612569"/>
      <w:r>
        <w:t xml:space="preserve">Commercial </w:t>
      </w:r>
      <w:r w:rsidR="00E83ED0">
        <w:t>f</w:t>
      </w:r>
      <w:r>
        <w:t>ramework</w:t>
      </w:r>
      <w:bookmarkEnd w:id="224"/>
      <w:bookmarkEnd w:id="225"/>
      <w:bookmarkEnd w:id="226"/>
    </w:p>
    <w:p w14:paraId="6156850B" w14:textId="32343408" w:rsidR="00C26930" w:rsidRDefault="00C26930" w:rsidP="005B2FBA">
      <w:pPr>
        <w:pStyle w:val="Heading2numbered"/>
      </w:pPr>
      <w:bookmarkStart w:id="227" w:name="_Toc130925431"/>
      <w:bookmarkStart w:id="228" w:name="_Toc133577870"/>
      <w:bookmarkStart w:id="229" w:name="_Toc145612570"/>
      <w:r>
        <w:t>Value</w:t>
      </w:r>
      <w:r w:rsidR="00BC1032">
        <w:t>-</w:t>
      </w:r>
      <w:r>
        <w:t>for</w:t>
      </w:r>
      <w:r w:rsidR="00BC1032">
        <w:t>-</w:t>
      </w:r>
      <w:r>
        <w:t>Money</w:t>
      </w:r>
      <w:bookmarkEnd w:id="227"/>
      <w:bookmarkEnd w:id="228"/>
      <w:bookmarkEnd w:id="229"/>
    </w:p>
    <w:p w14:paraId="6CD93765" w14:textId="1CCA70A5" w:rsidR="00E83ED0" w:rsidRDefault="00C26930" w:rsidP="00E9066C">
      <w:pPr>
        <w:pStyle w:val="NormalIndent"/>
      </w:pPr>
      <w:r>
        <w:t xml:space="preserve">VfM is an assessment of outcomes that weighs up the cost of procuring infrastructure against the value it provides. In doing so, it balances the </w:t>
      </w:r>
      <w:r w:rsidR="004706A7">
        <w:t xml:space="preserve">Whole </w:t>
      </w:r>
      <w:r>
        <w:t>of</w:t>
      </w:r>
      <w:r w:rsidR="00D524AA">
        <w:t xml:space="preserve"> </w:t>
      </w:r>
      <w:r w:rsidR="004706A7">
        <w:t>L</w:t>
      </w:r>
      <w:r>
        <w:t xml:space="preserve">ife </w:t>
      </w:r>
      <w:r w:rsidR="004706A7">
        <w:t>C</w:t>
      </w:r>
      <w:r>
        <w:t>osts against</w:t>
      </w:r>
      <w:r w:rsidR="00E83ED0">
        <w:t xml:space="preserve"> </w:t>
      </w:r>
      <w:r>
        <w:t>a range of outcomes,</w:t>
      </w:r>
      <w:r w:rsidR="006A1F9B">
        <w:t xml:space="preserve"> including</w:t>
      </w:r>
      <w:r w:rsidR="00E83ED0">
        <w:t>:</w:t>
      </w:r>
    </w:p>
    <w:p w14:paraId="3E89CE08" w14:textId="1A13B77E" w:rsidR="00E83ED0" w:rsidRDefault="00C26930" w:rsidP="000D52B3">
      <w:pPr>
        <w:pStyle w:val="Bulletindent"/>
      </w:pPr>
      <w:r>
        <w:t>suitability and quality of infrastructure</w:t>
      </w:r>
      <w:r w:rsidR="00474E06">
        <w:t>;</w:t>
      </w:r>
    </w:p>
    <w:p w14:paraId="5A53920B" w14:textId="36CA59D9" w:rsidR="00E83ED0" w:rsidRDefault="00C26930" w:rsidP="000D52B3">
      <w:pPr>
        <w:pStyle w:val="Bulletindent"/>
      </w:pPr>
      <w:r>
        <w:t>financial benefits</w:t>
      </w:r>
      <w:r w:rsidR="00474E06">
        <w:t>;</w:t>
      </w:r>
    </w:p>
    <w:p w14:paraId="71634E9D" w14:textId="1D55D8C2" w:rsidR="00E83ED0" w:rsidRDefault="00C26930" w:rsidP="000D52B3">
      <w:pPr>
        <w:pStyle w:val="Bulletindent"/>
      </w:pPr>
      <w:r>
        <w:t>risk exposure</w:t>
      </w:r>
      <w:r w:rsidR="00474E06">
        <w:t>;</w:t>
      </w:r>
    </w:p>
    <w:p w14:paraId="5005AD6E" w14:textId="2A187A5D" w:rsidR="002A524B" w:rsidRPr="002A524B" w:rsidRDefault="00C26930" w:rsidP="000D52B3">
      <w:pPr>
        <w:pStyle w:val="Bulletindent"/>
      </w:pPr>
      <w:r>
        <w:t>timeliness of outcomes</w:t>
      </w:r>
      <w:r w:rsidR="00474E06">
        <w:t>; and</w:t>
      </w:r>
    </w:p>
    <w:p w14:paraId="289F0226" w14:textId="7745E8EC" w:rsidR="00E83ED0" w:rsidRPr="00CA140E" w:rsidRDefault="00C26930" w:rsidP="000D52B3">
      <w:pPr>
        <w:pStyle w:val="Bulletindent"/>
      </w:pPr>
      <w:r>
        <w:t xml:space="preserve">social, environmental and industry </w:t>
      </w:r>
      <w:r w:rsidRPr="00E83ED0">
        <w:t>outcomes.</w:t>
      </w:r>
    </w:p>
    <w:p w14:paraId="4F3AF03B" w14:textId="2EB69F36" w:rsidR="00C26930" w:rsidRDefault="00C26930" w:rsidP="0005402F">
      <w:pPr>
        <w:pStyle w:val="NormalIndent"/>
      </w:pPr>
      <w:r>
        <w:t>Whole</w:t>
      </w:r>
      <w:r w:rsidR="00F231B7">
        <w:t xml:space="preserve"> </w:t>
      </w:r>
      <w:r>
        <w:t>of</w:t>
      </w:r>
      <w:r w:rsidR="00F231B7">
        <w:t xml:space="preserve"> L</w:t>
      </w:r>
      <w:r>
        <w:t xml:space="preserve">ife </w:t>
      </w:r>
      <w:r w:rsidR="00F231B7">
        <w:t>C</w:t>
      </w:r>
      <w:r>
        <w:t xml:space="preserve">osts include technology, obsolescence and maintenance costs. Further, costs to operate, support costs, costs to upgrade and disposal costs should be </w:t>
      </w:r>
      <w:r w:rsidR="09AF5273">
        <w:t>considered.</w:t>
      </w:r>
    </w:p>
    <w:p w14:paraId="231EDD3B" w14:textId="043B403E" w:rsidR="00C26930" w:rsidRDefault="7C83B06D" w:rsidP="00E9066C">
      <w:pPr>
        <w:pStyle w:val="NormalIndent"/>
      </w:pPr>
      <w:r>
        <w:t xml:space="preserve">This </w:t>
      </w:r>
      <w:r w:rsidR="42E68BBC">
        <w:t>VfM framework</w:t>
      </w:r>
      <w:r>
        <w:t xml:space="preserve"> applies to the ITC </w:t>
      </w:r>
      <w:r w:rsidR="23923B9B">
        <w:t>C</w:t>
      </w:r>
      <w:r>
        <w:t xml:space="preserve">ontract </w:t>
      </w:r>
      <w:r w:rsidR="23923B9B">
        <w:t>S</w:t>
      </w:r>
      <w:r>
        <w:t xml:space="preserve">uite even </w:t>
      </w:r>
      <w:r w:rsidR="210CADA5">
        <w:t>though</w:t>
      </w:r>
      <w:r>
        <w:t xml:space="preserve"> the operating phase is not typically bundled under this</w:t>
      </w:r>
      <w:r w:rsidR="210CADA5">
        <w:t xml:space="preserve"> contracting</w:t>
      </w:r>
      <w:r>
        <w:t xml:space="preserve"> model.</w:t>
      </w:r>
      <w:r w:rsidR="2FD5627A">
        <w:t xml:space="preserve"> </w:t>
      </w:r>
      <w:r w:rsidR="2049A423">
        <w:t xml:space="preserve">More information on VfM can be found in </w:t>
      </w:r>
      <w:r w:rsidR="2049A423" w:rsidRPr="23669252">
        <w:t xml:space="preserve">chapter </w:t>
      </w:r>
      <w:r w:rsidR="001E1E15">
        <w:t>3</w:t>
      </w:r>
      <w:r w:rsidR="2049A423">
        <w:t xml:space="preserve"> of the </w:t>
      </w:r>
      <w:r w:rsidR="4342C822">
        <w:t>Cost Reimbursable Procurement Requirements</w:t>
      </w:r>
      <w:r w:rsidR="2D2F6C69">
        <w:t xml:space="preserve"> available on the </w:t>
      </w:r>
      <w:hyperlink r:id="rId54" w:history="1">
        <w:r w:rsidR="00844EB1">
          <w:rPr>
            <w:rStyle w:val="Hyperlink"/>
          </w:rPr>
          <w:t>Cost Reimbursable Procurement Category webpage</w:t>
        </w:r>
      </w:hyperlink>
      <w:r w:rsidR="2049A423">
        <w:t>.</w:t>
      </w:r>
    </w:p>
    <w:p w14:paraId="7219D315" w14:textId="0F737DFE" w:rsidR="00C26930" w:rsidRPr="00522983" w:rsidRDefault="00C26930" w:rsidP="005B2FBA">
      <w:pPr>
        <w:pStyle w:val="Heading2numbered"/>
      </w:pPr>
      <w:bookmarkStart w:id="230" w:name="_Toc130925432"/>
      <w:bookmarkStart w:id="231" w:name="_Toc133577871"/>
      <w:bookmarkStart w:id="232" w:name="_Toc145612571"/>
      <w:r>
        <w:t>Assessing the Delivery Phase Offer</w:t>
      </w:r>
      <w:bookmarkEnd w:id="230"/>
      <w:bookmarkEnd w:id="231"/>
      <w:bookmarkEnd w:id="232"/>
    </w:p>
    <w:p w14:paraId="63C3C4BD" w14:textId="55443EB7" w:rsidR="00C26930" w:rsidRPr="003A34C3" w:rsidRDefault="00C26930" w:rsidP="00E9066C">
      <w:pPr>
        <w:pStyle w:val="NormalIndent"/>
      </w:pPr>
      <w:r w:rsidRPr="002B40AF">
        <w:t>The</w:t>
      </w:r>
      <w:r w:rsidR="00AB625E" w:rsidDel="00C37696">
        <w:t xml:space="preserve"> </w:t>
      </w:r>
      <w:r w:rsidRPr="002B40AF">
        <w:t xml:space="preserve">ITC </w:t>
      </w:r>
      <w:r w:rsidR="00AB625E">
        <w:t>Contract Suite</w:t>
      </w:r>
      <w:r w:rsidRPr="002B40AF">
        <w:t xml:space="preserve"> contemplates one or more </w:t>
      </w:r>
      <w:r w:rsidR="0089042C">
        <w:t>C</w:t>
      </w:r>
      <w:r w:rsidRPr="002B40AF">
        <w:t>ontractors being engaged through a</w:t>
      </w:r>
      <w:r w:rsidR="00AB625E">
        <w:t xml:space="preserve">n ITC </w:t>
      </w:r>
      <w:r w:rsidR="00ED6C21">
        <w:t>Development Deed</w:t>
      </w:r>
      <w:r w:rsidRPr="002B40AF">
        <w:t xml:space="preserve"> to develop a Delivery Phase Offer. The Delivery Phase Offer includes </w:t>
      </w:r>
      <w:r w:rsidR="00371AD5">
        <w:t>several</w:t>
      </w:r>
      <w:r w:rsidRPr="002B40AF">
        <w:t xml:space="preserve"> components </w:t>
      </w:r>
      <w:r w:rsidR="009D6BC9">
        <w:t>that</w:t>
      </w:r>
      <w:r w:rsidR="009D6BC9" w:rsidRPr="002B40AF">
        <w:t xml:space="preserve"> </w:t>
      </w:r>
      <w:r w:rsidRPr="002B40AF">
        <w:t xml:space="preserve">should be viewed holistically by the </w:t>
      </w:r>
      <w:r w:rsidR="0099451F">
        <w:t>S</w:t>
      </w:r>
      <w:r>
        <w:t>tate</w:t>
      </w:r>
      <w:r w:rsidRPr="002B40AF">
        <w:t xml:space="preserve"> to assess </w:t>
      </w:r>
      <w:r w:rsidRPr="003A34C3">
        <w:t>VfM. These components include:</w:t>
      </w:r>
    </w:p>
    <w:p w14:paraId="685F6717" w14:textId="6C1C2BD3" w:rsidR="00C26930" w:rsidRPr="005B2FBA" w:rsidRDefault="0089042C" w:rsidP="000D52B3">
      <w:pPr>
        <w:pStyle w:val="Bulletindent"/>
      </w:pPr>
      <w:r>
        <w:t>D</w:t>
      </w:r>
      <w:r w:rsidR="00C26930" w:rsidRPr="005B2FBA">
        <w:t>esign Management Plan</w:t>
      </w:r>
      <w:r w:rsidR="00E97984">
        <w:t>;</w:t>
      </w:r>
    </w:p>
    <w:p w14:paraId="2F02D4CB" w14:textId="24A643B4" w:rsidR="00C26930" w:rsidRPr="005B2FBA" w:rsidRDefault="00C26930" w:rsidP="000D52B3">
      <w:pPr>
        <w:pStyle w:val="Bulletindent"/>
      </w:pPr>
      <w:r w:rsidRPr="005B2FBA">
        <w:t>Design</w:t>
      </w:r>
      <w:r w:rsidR="00E97984">
        <w:t>;</w:t>
      </w:r>
    </w:p>
    <w:p w14:paraId="1AAA37C1" w14:textId="1474A83C" w:rsidR="00C26930" w:rsidRPr="005B2FBA" w:rsidRDefault="00C26930" w:rsidP="000D52B3">
      <w:pPr>
        <w:pStyle w:val="Bulletindent"/>
      </w:pPr>
      <w:r w:rsidRPr="005B2FBA">
        <w:t>Delivery Phase Program</w:t>
      </w:r>
      <w:r w:rsidR="00E97984">
        <w:t>;</w:t>
      </w:r>
    </w:p>
    <w:p w14:paraId="0F29AFF2" w14:textId="6A2B2B71" w:rsidR="00C26930" w:rsidRPr="005B2FBA" w:rsidRDefault="00C26930" w:rsidP="000D52B3">
      <w:pPr>
        <w:pStyle w:val="Bulletindent"/>
      </w:pPr>
      <w:r w:rsidRPr="005B2FBA">
        <w:t>Project Plans</w:t>
      </w:r>
      <w:r w:rsidR="00E97984">
        <w:t>;</w:t>
      </w:r>
    </w:p>
    <w:p w14:paraId="4D4F9FAB" w14:textId="74385F7A" w:rsidR="00C26930" w:rsidRPr="005B2FBA" w:rsidRDefault="00C26930" w:rsidP="000D52B3">
      <w:pPr>
        <w:pStyle w:val="Bulletindent"/>
      </w:pPr>
      <w:r w:rsidRPr="005B2FBA">
        <w:t>Subcontract</w:t>
      </w:r>
      <w:r w:rsidR="00A846FC">
        <w:t>or</w:t>
      </w:r>
      <w:r w:rsidRPr="005B2FBA">
        <w:t xml:space="preserve"> Packaging and Procurement Plan</w:t>
      </w:r>
      <w:r w:rsidR="00E97984">
        <w:t>;</w:t>
      </w:r>
    </w:p>
    <w:p w14:paraId="02AD4B47" w14:textId="2B754982" w:rsidR="00C26930" w:rsidRPr="005B2FBA" w:rsidRDefault="00C26930" w:rsidP="000D52B3">
      <w:pPr>
        <w:pStyle w:val="Bulletindent"/>
      </w:pPr>
      <w:r w:rsidRPr="005B2FBA">
        <w:t>Project Local Industry Development Plan and Workforce Development Plan</w:t>
      </w:r>
      <w:r w:rsidR="00E97984">
        <w:t>;</w:t>
      </w:r>
    </w:p>
    <w:p w14:paraId="4D2D8256" w14:textId="4A6C7AF9" w:rsidR="00C26930" w:rsidRPr="005B2FBA" w:rsidRDefault="00C26930" w:rsidP="000D52B3">
      <w:pPr>
        <w:pStyle w:val="Bulletindent"/>
      </w:pPr>
      <w:r w:rsidRPr="005B2FBA">
        <w:t xml:space="preserve">Social Procurement Commitment </w:t>
      </w:r>
      <w:r w:rsidR="00B62B9F">
        <w:t>p</w:t>
      </w:r>
      <w:r>
        <w:t>roposal</w:t>
      </w:r>
      <w:r w:rsidR="005C2481">
        <w:t>;</w:t>
      </w:r>
    </w:p>
    <w:p w14:paraId="65EE0924" w14:textId="33B15374" w:rsidR="00C26930" w:rsidRPr="005B2FBA" w:rsidRDefault="00C26930" w:rsidP="000D52B3">
      <w:pPr>
        <w:pStyle w:val="Bulletindent"/>
      </w:pPr>
      <w:r w:rsidRPr="005B2FBA">
        <w:t>Recycled First Plan</w:t>
      </w:r>
      <w:r w:rsidR="005C2481">
        <w:t>;</w:t>
      </w:r>
    </w:p>
    <w:p w14:paraId="15641112" w14:textId="5B4C50D1" w:rsidR="002A524B" w:rsidRPr="002A524B" w:rsidRDefault="00C26930" w:rsidP="000D52B3">
      <w:pPr>
        <w:pStyle w:val="Bulletindent"/>
      </w:pPr>
      <w:r w:rsidRPr="005B2FBA">
        <w:t>TOC Estimate</w:t>
      </w:r>
      <w:r w:rsidR="00E97984">
        <w:t>,</w:t>
      </w:r>
      <w:r w:rsidRPr="005B2FBA">
        <w:t xml:space="preserve"> including the </w:t>
      </w:r>
      <w:r w:rsidR="0099451F">
        <w:t>S</w:t>
      </w:r>
      <w:r>
        <w:t>tate’s</w:t>
      </w:r>
      <w:r w:rsidRPr="005B2FBA">
        <w:t xml:space="preserve"> assessment of risk</w:t>
      </w:r>
      <w:r w:rsidR="005C2481">
        <w:t>; and</w:t>
      </w:r>
    </w:p>
    <w:p w14:paraId="227D3550" w14:textId="5DD0268E" w:rsidR="00C26930" w:rsidRPr="005B2FBA" w:rsidRDefault="00C26930" w:rsidP="000D52B3">
      <w:pPr>
        <w:pStyle w:val="Bulletindent"/>
      </w:pPr>
      <w:r w:rsidRPr="005B2FBA">
        <w:t>Value Management.</w:t>
      </w:r>
    </w:p>
    <w:p w14:paraId="2D1647E4" w14:textId="42326308" w:rsidR="00C26930" w:rsidRPr="002B40AF" w:rsidRDefault="00C26930" w:rsidP="00E9066C">
      <w:pPr>
        <w:pStyle w:val="NormalIndent"/>
      </w:pPr>
      <w:r w:rsidRPr="003A34C3">
        <w:t xml:space="preserve">This section provides an overview of the key activities to be undertaken by the </w:t>
      </w:r>
      <w:r w:rsidR="00371AD5">
        <w:t>p</w:t>
      </w:r>
      <w:r w:rsidRPr="003A34C3">
        <w:t xml:space="preserve">rocuring </w:t>
      </w:r>
      <w:r w:rsidR="00371AD5">
        <w:t>a</w:t>
      </w:r>
      <w:r w:rsidRPr="003A34C3">
        <w:t>gencies and best practice associated with</w:t>
      </w:r>
      <w:r w:rsidR="00685CED">
        <w:t xml:space="preserve"> the</w:t>
      </w:r>
      <w:r w:rsidRPr="003A34C3">
        <w:t xml:space="preserve"> Design</w:t>
      </w:r>
      <w:r>
        <w:t xml:space="preserve"> </w:t>
      </w:r>
      <w:r w:rsidR="0089042C">
        <w:t>D</w:t>
      </w:r>
      <w:r>
        <w:t>evelopment</w:t>
      </w:r>
      <w:r w:rsidR="00685CED">
        <w:t xml:space="preserve"> Process</w:t>
      </w:r>
      <w:r w:rsidRPr="003A34C3">
        <w:t xml:space="preserve"> and the TOC </w:t>
      </w:r>
      <w:r w:rsidR="00CD743D">
        <w:t>E</w:t>
      </w:r>
      <w:r w:rsidRPr="003A34C3">
        <w:t>stimate</w:t>
      </w:r>
      <w:r w:rsidR="005959A0">
        <w:t>,</w:t>
      </w:r>
      <w:r w:rsidRPr="003A34C3">
        <w:t xml:space="preserve"> as these are likely to have the greatest impact on VfM. However, the Delivery Phase Offer should be considered in light of all components outlined above. More detail on the specific requirements relating to the broader Delivery Phase Offer can be found in </w:t>
      </w:r>
      <w:r w:rsidRPr="00090B58">
        <w:t>section</w:t>
      </w:r>
      <w:r w:rsidR="00754976" w:rsidRPr="00754976">
        <w:rPr>
          <w:rFonts w:ascii="Calibri" w:hAnsi="Calibri" w:cs="Calibri"/>
        </w:rPr>
        <w:t> </w:t>
      </w:r>
      <w:r w:rsidR="00685CED" w:rsidRPr="00AB0731">
        <w:t>5</w:t>
      </w:r>
      <w:r w:rsidRPr="00090B58">
        <w:t>.</w:t>
      </w:r>
    </w:p>
    <w:p w14:paraId="4AD0CC12" w14:textId="2E6B09E8" w:rsidR="00C26930" w:rsidRPr="00B51E09" w:rsidRDefault="00C26930" w:rsidP="005B2FBA">
      <w:pPr>
        <w:pStyle w:val="Heading2numbered"/>
      </w:pPr>
      <w:bookmarkStart w:id="233" w:name="_Ref116384228"/>
      <w:bookmarkStart w:id="234" w:name="_Toc130925433"/>
      <w:bookmarkStart w:id="235" w:name="_Toc133577872"/>
      <w:bookmarkStart w:id="236" w:name="_Toc145612572"/>
      <w:r w:rsidRPr="00B51E09">
        <w:t>Principal’s Benchmark</w:t>
      </w:r>
      <w:bookmarkEnd w:id="233"/>
      <w:bookmarkEnd w:id="234"/>
      <w:bookmarkEnd w:id="235"/>
      <w:bookmarkEnd w:id="236"/>
    </w:p>
    <w:p w14:paraId="5779FE62" w14:textId="5619ADA0" w:rsidR="00C26930" w:rsidRPr="00356DE0" w:rsidRDefault="00C26930" w:rsidP="00E9066C">
      <w:pPr>
        <w:pStyle w:val="NormalIndent"/>
        <w:rPr>
          <w:color w:val="232A38"/>
        </w:rPr>
      </w:pPr>
      <w:bookmarkStart w:id="237" w:name="_Hlk141202935"/>
      <w:r w:rsidRPr="000F3FF6">
        <w:t>Prior to entering into a</w:t>
      </w:r>
      <w:r w:rsidR="00AB625E">
        <w:t>n ITC</w:t>
      </w:r>
      <w:r w:rsidRPr="000F3FF6">
        <w:t xml:space="preserve"> </w:t>
      </w:r>
      <w:r w:rsidR="00ED6C21">
        <w:t>Development Deed</w:t>
      </w:r>
      <w:r w:rsidRPr="000F3FF6">
        <w:t xml:space="preserve"> with one or more Shortlisted Respondent</w:t>
      </w:r>
      <w:r w:rsidR="002C3952">
        <w:t>s</w:t>
      </w:r>
      <w:r w:rsidRPr="000F3FF6">
        <w:t xml:space="preserve">, the </w:t>
      </w:r>
      <w:r w:rsidR="00076803">
        <w:t>p</w:t>
      </w:r>
      <w:r>
        <w:t xml:space="preserve">rocuring </w:t>
      </w:r>
      <w:r w:rsidR="00076803">
        <w:t>a</w:t>
      </w:r>
      <w:r>
        <w:t>gency</w:t>
      </w:r>
      <w:r w:rsidRPr="000F3FF6">
        <w:t xml:space="preserve"> should develop a Principal’s Benchmark. </w:t>
      </w:r>
      <w:bookmarkEnd w:id="237"/>
      <w:r w:rsidRPr="000F3FF6">
        <w:t xml:space="preserve">The Principal’s Benchmark is the </w:t>
      </w:r>
      <w:r w:rsidR="0099451F">
        <w:t>S</w:t>
      </w:r>
      <w:r>
        <w:t>tate’s</w:t>
      </w:r>
      <w:r w:rsidRPr="000F3FF6">
        <w:t xml:space="preserve"> independent price comparator estimate of the TOC. This </w:t>
      </w:r>
      <w:r w:rsidR="001622AB">
        <w:t>is</w:t>
      </w:r>
      <w:r w:rsidRPr="000F3FF6">
        <w:t xml:space="preserve"> developed independent</w:t>
      </w:r>
      <w:r w:rsidR="001622AB">
        <w:t>ly</w:t>
      </w:r>
      <w:r w:rsidRPr="000F3FF6">
        <w:t xml:space="preserve"> of the Shortlisted </w:t>
      </w:r>
      <w:r>
        <w:t>Respondent</w:t>
      </w:r>
      <w:r w:rsidR="004F17C5">
        <w:t>’</w:t>
      </w:r>
      <w:r>
        <w:t>s</w:t>
      </w:r>
      <w:r w:rsidRPr="000F3FF6">
        <w:t xml:space="preserve"> pricing, other than in respect of ensuring the scope, risk and other </w:t>
      </w:r>
      <w:r>
        <w:t>bas</w:t>
      </w:r>
      <w:r w:rsidR="004F17C5">
        <w:t>e</w:t>
      </w:r>
      <w:r>
        <w:t>s</w:t>
      </w:r>
      <w:r w:rsidRPr="000F3FF6">
        <w:t xml:space="preserve"> of estimate assumptions are aligned to enable an appropriate price comparison. Best practice is for the Principal’s Benchmark to be developed prior to the procurement process for the ITC </w:t>
      </w:r>
      <w:r w:rsidR="00ED6C21">
        <w:t>Development Deed</w:t>
      </w:r>
      <w:r w:rsidRPr="000F3FF6">
        <w:t xml:space="preserve">, noting that the Principal’s Benchmark may be subject to revision as design and construction methodology is refined through the </w:t>
      </w:r>
      <w:r w:rsidR="00AB625E">
        <w:t>D</w:t>
      </w:r>
      <w:r w:rsidRPr="000F3FF6">
        <w:t xml:space="preserve">evelopment </w:t>
      </w:r>
      <w:r w:rsidR="00AB625E">
        <w:t>P</w:t>
      </w:r>
      <w:r w:rsidRPr="000F3FF6">
        <w:t>hase.</w:t>
      </w:r>
      <w:r w:rsidR="1EABB2A9" w:rsidRPr="2A850924">
        <w:t xml:space="preserve"> </w:t>
      </w:r>
      <w:r w:rsidR="11958161" w:rsidRPr="72C50593">
        <w:t xml:space="preserve">This should be a </w:t>
      </w:r>
      <w:r w:rsidR="11958161" w:rsidRPr="415BB2A2">
        <w:t>pre</w:t>
      </w:r>
      <w:r w:rsidR="003541CF">
        <w:t>-estimate</w:t>
      </w:r>
      <w:r w:rsidR="11958161" w:rsidRPr="72C50593">
        <w:t xml:space="preserve"> of the TOC that </w:t>
      </w:r>
      <w:r w:rsidR="3249C2B4" w:rsidRPr="72C50593">
        <w:t>reflects wheth</w:t>
      </w:r>
      <w:r w:rsidR="11958161" w:rsidRPr="72C50593">
        <w:t>er</w:t>
      </w:r>
      <w:r w:rsidR="3249C2B4" w:rsidRPr="72C50593">
        <w:t xml:space="preserve"> risks are allocated to the </w:t>
      </w:r>
      <w:r w:rsidR="00685CED">
        <w:t>Principal</w:t>
      </w:r>
      <w:r w:rsidR="3249C2B4" w:rsidRPr="72C50593">
        <w:t xml:space="preserve"> or the Contractor</w:t>
      </w:r>
      <w:r w:rsidR="00685CED">
        <w:t xml:space="preserve"> under the ITC Delivery Deed</w:t>
      </w:r>
      <w:r w:rsidR="3249C2B4" w:rsidRPr="72C50593">
        <w:t>.</w:t>
      </w:r>
    </w:p>
    <w:p w14:paraId="7E20D834" w14:textId="1DB134D7" w:rsidR="00C26930" w:rsidRPr="00903B0C" w:rsidRDefault="00C26930" w:rsidP="005B2FBA">
      <w:pPr>
        <w:pStyle w:val="Heading3numbered"/>
      </w:pPr>
      <w:r>
        <w:t>Development and use of the Principal’s Benchmark</w:t>
      </w:r>
    </w:p>
    <w:p w14:paraId="4D134497" w14:textId="27A9AAB8" w:rsidR="00C26930" w:rsidRPr="000F3FF6" w:rsidRDefault="00C26930" w:rsidP="00E9066C">
      <w:pPr>
        <w:pStyle w:val="NormalIndent"/>
      </w:pPr>
      <w:r w:rsidRPr="000F3FF6">
        <w:t xml:space="preserve">The </w:t>
      </w:r>
      <w:r w:rsidR="003A3D4A">
        <w:t>procuring</w:t>
      </w:r>
      <w:r w:rsidR="18A74667" w:rsidRPr="7C5B11A9">
        <w:t xml:space="preserve"> </w:t>
      </w:r>
      <w:r w:rsidR="000C4E79" w:rsidRPr="7C5B11A9">
        <w:t xml:space="preserve">agency </w:t>
      </w:r>
      <w:r w:rsidR="000C4E79" w:rsidRPr="000F3FF6">
        <w:t>is</w:t>
      </w:r>
      <w:r w:rsidRPr="000F3FF6">
        <w:t xml:space="preserve"> accountable for the Principal’s Benchmark and confirming the accuracy of the estimate. </w:t>
      </w:r>
      <w:bookmarkStart w:id="238" w:name="_Hlk141203003"/>
      <w:r w:rsidRPr="002B40AF">
        <w:t xml:space="preserve">The </w:t>
      </w:r>
      <w:r w:rsidR="007E6B7B">
        <w:t>p</w:t>
      </w:r>
      <w:r w:rsidRPr="002B40AF">
        <w:t xml:space="preserve">rocuring </w:t>
      </w:r>
      <w:r w:rsidR="007E6B7B">
        <w:t>a</w:t>
      </w:r>
      <w:r w:rsidRPr="002B40AF">
        <w:t xml:space="preserve">gency </w:t>
      </w:r>
      <w:r w:rsidR="00F52A6F">
        <w:t>needs to</w:t>
      </w:r>
      <w:r w:rsidR="00F52A6F" w:rsidRPr="002B40AF">
        <w:t xml:space="preserve"> </w:t>
      </w:r>
      <w:r w:rsidRPr="002B40AF">
        <w:t>consider engaging an external estimator to support the development of a robust Principal’s Benchmark</w:t>
      </w:r>
      <w:r w:rsidR="007E6B7B">
        <w:t>.</w:t>
      </w:r>
      <w:r w:rsidR="006A1F9B">
        <w:t xml:space="preserve"> The Principal’s Benchmark</w:t>
      </w:r>
      <w:r w:rsidR="007E6B7B">
        <w:t xml:space="preserve"> should incorporate</w:t>
      </w:r>
      <w:r w:rsidRPr="000F3FF6">
        <w:t xml:space="preserve"> the reference design developed as part of the </w:t>
      </w:r>
      <w:r w:rsidR="007E6B7B">
        <w:t>b</w:t>
      </w:r>
      <w:r w:rsidRPr="000F3FF6">
        <w:t xml:space="preserve">usiness </w:t>
      </w:r>
      <w:r w:rsidR="007E6B7B">
        <w:t>c</w:t>
      </w:r>
      <w:r w:rsidRPr="000F3FF6">
        <w:t xml:space="preserve">ase and any further development work undertaken by the </w:t>
      </w:r>
      <w:r w:rsidR="007E6B7B">
        <w:t>p</w:t>
      </w:r>
      <w:r w:rsidRPr="000F3FF6">
        <w:t xml:space="preserve">rocuring </w:t>
      </w:r>
      <w:r w:rsidR="007E6B7B">
        <w:t>a</w:t>
      </w:r>
      <w:r w:rsidRPr="000F3FF6">
        <w:t>gency prior to procurement.</w:t>
      </w:r>
      <w:bookmarkEnd w:id="238"/>
    </w:p>
    <w:p w14:paraId="773B3EE0" w14:textId="4822A96C" w:rsidR="00C26930" w:rsidRPr="003A34C3" w:rsidRDefault="00C26930" w:rsidP="00E9066C">
      <w:pPr>
        <w:pStyle w:val="NormalIndent"/>
      </w:pPr>
      <w:r w:rsidRPr="002B40AF">
        <w:t xml:space="preserve">The Principal’s Benchmark </w:t>
      </w:r>
      <w:r w:rsidR="0085123F">
        <w:t>is</w:t>
      </w:r>
      <w:r w:rsidRPr="002B40AF">
        <w:t xml:space="preserve"> used in the VfM</w:t>
      </w:r>
      <w:r w:rsidRPr="00116579">
        <w:t xml:space="preserve"> assessment of the TOC and the Shortlisted Respondent</w:t>
      </w:r>
      <w:r w:rsidR="002A076C">
        <w:t>’</w:t>
      </w:r>
      <w:r w:rsidRPr="003A34C3">
        <w:t xml:space="preserve">s overall Delivery Phase Offer. Elements of the Principal’s Benchmark pricing may also be used as a basis for challenging </w:t>
      </w:r>
      <w:r w:rsidR="1D75C8E5" w:rsidRPr="5686AADD">
        <w:t xml:space="preserve">the Shortlisted Respondent’s </w:t>
      </w:r>
      <w:r w:rsidRPr="003A34C3">
        <w:t>price, time and volume assumptions regarding the TOC</w:t>
      </w:r>
      <w:r>
        <w:t xml:space="preserve">. </w:t>
      </w:r>
      <w:r w:rsidR="0C29D5F9">
        <w:t>A</w:t>
      </w:r>
      <w:r w:rsidRPr="003A34C3">
        <w:t xml:space="preserve"> Principal’s Benchmark is </w:t>
      </w:r>
      <w:r w:rsidR="38268750">
        <w:t xml:space="preserve">expected to be </w:t>
      </w:r>
      <w:r w:rsidRPr="003A34C3">
        <w:t>used in</w:t>
      </w:r>
      <w:r w:rsidRPr="003A34C3" w:rsidDel="00364070">
        <w:t xml:space="preserve"> </w:t>
      </w:r>
      <w:r w:rsidRPr="003A34C3">
        <w:t>competitive and non-competitive TOC development processes to confirm the appropriateness of the Delivery Phase Offers.</w:t>
      </w:r>
    </w:p>
    <w:p w14:paraId="36E81867" w14:textId="4B883776" w:rsidR="00C26930" w:rsidRPr="003A34C3" w:rsidRDefault="007E6B7B" w:rsidP="00E9066C">
      <w:pPr>
        <w:pStyle w:val="NormalIndent"/>
      </w:pPr>
      <w:r>
        <w:t>In</w:t>
      </w:r>
      <w:r w:rsidR="0089042C">
        <w:t xml:space="preserve"> a</w:t>
      </w:r>
      <w:r w:rsidR="00C26930" w:rsidRPr="003A34C3">
        <w:t xml:space="preserve"> non-competitive TOC process, the Shortlisted Respondent has the opportunity to access a larger share of the performance pool in the Delivery Phase if the TOC submitted as part of the Delivery Phase Offer is below the Principal’s Benchmark. This incentive is offered to promote VfM in the absence of competition. Equally, the </w:t>
      </w:r>
      <w:r>
        <w:t>p</w:t>
      </w:r>
      <w:r w:rsidR="00C26930" w:rsidRPr="003A34C3">
        <w:t xml:space="preserve">rocuring </w:t>
      </w:r>
      <w:r>
        <w:t>a</w:t>
      </w:r>
      <w:r w:rsidR="00C26930" w:rsidRPr="000D210B">
        <w:t xml:space="preserve">gency should challenge the TOC if the estimate is significantly below the Principal’s Benchmark to ensure that all key work activities have been covered and the </w:t>
      </w:r>
      <w:r w:rsidR="00C26930" w:rsidRPr="003A34C3">
        <w:t>design solution meets stakeholder expectations.</w:t>
      </w:r>
    </w:p>
    <w:p w14:paraId="00FCF92B" w14:textId="4A0E5C51" w:rsidR="00C26930" w:rsidRPr="00FD0040" w:rsidRDefault="00C26930" w:rsidP="005B2FBA">
      <w:pPr>
        <w:pStyle w:val="Heading3numbered"/>
      </w:pPr>
      <w:r>
        <w:t>Refinement of the Principal’s Benchmark</w:t>
      </w:r>
    </w:p>
    <w:p w14:paraId="03EFA09F" w14:textId="244705F2" w:rsidR="00C26930" w:rsidRPr="003A34C3" w:rsidRDefault="00C26930" w:rsidP="00E9066C">
      <w:pPr>
        <w:pStyle w:val="NormalIndent"/>
      </w:pPr>
      <w:r w:rsidRPr="002B40AF">
        <w:t>As the Respondent(s) undertake</w:t>
      </w:r>
      <w:r w:rsidR="00DC2EC2">
        <w:t>s</w:t>
      </w:r>
      <w:r w:rsidRPr="002B40AF">
        <w:t xml:space="preserve"> further development work during the ITC Development Phase, the Principal’s Benchmark </w:t>
      </w:r>
      <w:r w:rsidR="0045701B">
        <w:t>needs to</w:t>
      </w:r>
      <w:r w:rsidR="0045701B" w:rsidRPr="002B40AF">
        <w:t xml:space="preserve"> </w:t>
      </w:r>
      <w:r w:rsidRPr="002B40AF">
        <w:t>be continuously refined to reflect understanding of the scope.</w:t>
      </w:r>
      <w:r w:rsidR="0045701B">
        <w:t xml:space="preserve"> </w:t>
      </w:r>
      <w:r w:rsidR="0045701B" w:rsidRPr="00BE64B5">
        <w:rPr>
          <w:rFonts w:ascii="VIC" w:eastAsia="Arial" w:hAnsi="VIC" w:cs="Arial"/>
        </w:rPr>
        <w:t>The Principal’s Benchmark needs to be a direct reflection of the solution developed by the Respondent(s) to be an effective tool in assessing value.</w:t>
      </w:r>
    </w:p>
    <w:p w14:paraId="1AF19782" w14:textId="731B0175" w:rsidR="00C26930" w:rsidRPr="003A34C3" w:rsidRDefault="3ABB79DE" w:rsidP="00E9066C">
      <w:pPr>
        <w:pStyle w:val="NormalIndent"/>
      </w:pPr>
      <w:r w:rsidRPr="17EBE469">
        <w:t>If a Respondent identifies innovation in design that leads to cost savings,</w:t>
      </w:r>
      <w:r w:rsidR="0045701B">
        <w:t xml:space="preserve"> in either a </w:t>
      </w:r>
      <w:r w:rsidR="00C56FAD">
        <w:t>S</w:t>
      </w:r>
      <w:r w:rsidR="0045701B">
        <w:t xml:space="preserve">ingle or </w:t>
      </w:r>
      <w:r w:rsidR="00C56FAD">
        <w:t>C</w:t>
      </w:r>
      <w:r w:rsidR="0045701B">
        <w:t xml:space="preserve">ompetitive TOC </w:t>
      </w:r>
      <w:r w:rsidR="00C56FAD">
        <w:t>P</w:t>
      </w:r>
      <w:r w:rsidR="0045701B">
        <w:t>rocess,</w:t>
      </w:r>
      <w:r w:rsidRPr="17EBE469">
        <w:t xml:space="preserve"> the Principal’s Benchmark </w:t>
      </w:r>
      <w:r w:rsidR="007E6B7B">
        <w:t>should be</w:t>
      </w:r>
      <w:r w:rsidRPr="17EBE469">
        <w:t xml:space="preserve"> adjusted to capture the</w:t>
      </w:r>
      <w:r w:rsidR="007E6B7B">
        <w:t>se</w:t>
      </w:r>
      <w:r w:rsidRPr="17EBE469">
        <w:t xml:space="preserve"> savings and allow for a like-for-like comparison.</w:t>
      </w:r>
      <w:r w:rsidR="4C4138CE" w:rsidRPr="00EE054A">
        <w:t xml:space="preserve"> </w:t>
      </w:r>
      <w:r w:rsidRPr="17EBE469">
        <w:t xml:space="preserve">In a competitive TOC where Respondents </w:t>
      </w:r>
      <w:r>
        <w:t>compet</w:t>
      </w:r>
      <w:r w:rsidR="009378BC">
        <w:t>e</w:t>
      </w:r>
      <w:r w:rsidRPr="17EBE469">
        <w:t xml:space="preserve"> on design innovation, </w:t>
      </w:r>
      <w:r>
        <w:t>the</w:t>
      </w:r>
      <w:r w:rsidR="153472FD">
        <w:t xml:space="preserve"> Principal</w:t>
      </w:r>
      <w:r w:rsidRPr="17EBE469">
        <w:t xml:space="preserve"> may </w:t>
      </w:r>
      <w:r w:rsidR="153472FD">
        <w:t>need</w:t>
      </w:r>
      <w:r w:rsidRPr="17EBE469">
        <w:t xml:space="preserve"> to develop two Principal’s Benchmarks to reflect the diverging designs. The format</w:t>
      </w:r>
      <w:r w:rsidR="0011727D">
        <w:t>,</w:t>
      </w:r>
      <w:r w:rsidRPr="17EBE469">
        <w:t xml:space="preserve"> Work Breakdown Structure and Cost Breakdown </w:t>
      </w:r>
      <w:r w:rsidR="00DD51B9">
        <w:t>S</w:t>
      </w:r>
      <w:r w:rsidRPr="17EBE469">
        <w:t xml:space="preserve">tructure of </w:t>
      </w:r>
      <w:r w:rsidR="00F53EEC">
        <w:t>each</w:t>
      </w:r>
      <w:r>
        <w:t xml:space="preserve"> </w:t>
      </w:r>
      <w:r w:rsidRPr="17EBE469">
        <w:t xml:space="preserve">Principal’s </w:t>
      </w:r>
      <w:r>
        <w:t>Benchmark</w:t>
      </w:r>
      <w:r w:rsidRPr="17EBE469">
        <w:t xml:space="preserve"> should be consistent </w:t>
      </w:r>
      <w:r w:rsidR="0011727D">
        <w:t>to compare</w:t>
      </w:r>
      <w:r w:rsidRPr="17EBE469">
        <w:t xml:space="preserve"> productivity, labour and material costs </w:t>
      </w:r>
      <w:r w:rsidR="0011727D">
        <w:t>of each design</w:t>
      </w:r>
      <w:r w:rsidRPr="17EBE469">
        <w:t>.</w:t>
      </w:r>
    </w:p>
    <w:p w14:paraId="2C85F846" w14:textId="6E9D32F8" w:rsidR="33F971D4" w:rsidRDefault="27E76227" w:rsidP="00E9066C">
      <w:pPr>
        <w:pStyle w:val="NormalIndent"/>
      </w:pPr>
      <w:r w:rsidRPr="3129CC2D">
        <w:t xml:space="preserve">A </w:t>
      </w:r>
      <w:r w:rsidR="623D634C" w:rsidRPr="5B464DAC">
        <w:t xml:space="preserve">Shortlisted </w:t>
      </w:r>
      <w:r w:rsidR="79451D47" w:rsidRPr="5B464DAC">
        <w:t>Respond</w:t>
      </w:r>
      <w:r w:rsidR="1C0B7133" w:rsidRPr="5B464DAC">
        <w:t>ent’s</w:t>
      </w:r>
      <w:r w:rsidR="33F971D4" w:rsidRPr="3129CC2D">
        <w:t xml:space="preserve"> TOC</w:t>
      </w:r>
      <w:r w:rsidR="00685CED">
        <w:t xml:space="preserve"> Estimate</w:t>
      </w:r>
      <w:r w:rsidR="33F971D4" w:rsidRPr="3129CC2D">
        <w:t xml:space="preserve"> may need to be risk</w:t>
      </w:r>
      <w:r w:rsidR="007411D2">
        <w:t xml:space="preserve"> </w:t>
      </w:r>
      <w:r w:rsidR="33F971D4" w:rsidRPr="3129CC2D">
        <w:t xml:space="preserve">adjusted during </w:t>
      </w:r>
      <w:r w:rsidR="00685CED" w:rsidRPr="00BE64B5">
        <w:rPr>
          <w:rFonts w:ascii="VIC" w:eastAsia="Arial" w:hAnsi="VIC" w:cs="Arial"/>
        </w:rPr>
        <w:t>the evaluation of the Shortlisted Respondent</w:t>
      </w:r>
      <w:r w:rsidR="002A076C" w:rsidRPr="00BE64B5">
        <w:rPr>
          <w:rFonts w:ascii="VIC" w:eastAsia="Arial" w:hAnsi="VIC" w:cs="Arial"/>
        </w:rPr>
        <w:t>’</w:t>
      </w:r>
      <w:r w:rsidR="00685CED" w:rsidRPr="00BE64B5">
        <w:rPr>
          <w:rFonts w:ascii="VIC" w:eastAsia="Arial" w:hAnsi="VIC" w:cs="Arial"/>
        </w:rPr>
        <w:t>s Delivery Phase Offer</w:t>
      </w:r>
      <w:r w:rsidR="006E3F6C">
        <w:t>. This is</w:t>
      </w:r>
      <w:r w:rsidR="33F971D4" w:rsidRPr="3129CC2D">
        <w:t xml:space="preserve"> to reflect </w:t>
      </w:r>
      <w:r w:rsidR="0011727D">
        <w:t xml:space="preserve">any </w:t>
      </w:r>
      <w:r w:rsidR="33F971D4" w:rsidRPr="3129CC2D">
        <w:t xml:space="preserve">departures </w:t>
      </w:r>
      <w:r w:rsidR="27088800" w:rsidRPr="676D23A4">
        <w:t>from</w:t>
      </w:r>
      <w:r w:rsidR="33F971D4" w:rsidRPr="3129CC2D">
        <w:t xml:space="preserve"> the ITC Delivery </w:t>
      </w:r>
      <w:r w:rsidR="27088800" w:rsidRPr="676D23A4">
        <w:t xml:space="preserve">Deed </w:t>
      </w:r>
      <w:r w:rsidR="0011727D">
        <w:t>so it can</w:t>
      </w:r>
      <w:r w:rsidR="33F971D4" w:rsidRPr="676D23A4">
        <w:t xml:space="preserve"> be </w:t>
      </w:r>
      <w:r w:rsidR="0011727D">
        <w:t>evaluated</w:t>
      </w:r>
      <w:r w:rsidR="0011727D" w:rsidRPr="676D23A4">
        <w:t xml:space="preserve"> </w:t>
      </w:r>
      <w:r w:rsidR="33F971D4" w:rsidRPr="676D23A4">
        <w:t xml:space="preserve">against </w:t>
      </w:r>
      <w:r w:rsidR="08391FD7" w:rsidRPr="5B464DAC">
        <w:t>the</w:t>
      </w:r>
      <w:r w:rsidR="33F971D4" w:rsidRPr="676D23A4">
        <w:t xml:space="preserve"> Principal’s Benchmark.</w:t>
      </w:r>
    </w:p>
    <w:p w14:paraId="414E077D" w14:textId="28930420" w:rsidR="00C26930" w:rsidRPr="00CE4C5F" w:rsidRDefault="00C26930" w:rsidP="005B2FBA">
      <w:pPr>
        <w:pStyle w:val="Heading3numbered"/>
      </w:pPr>
      <w:r>
        <w:t>Review and approval of the Principal’s Benchmark</w:t>
      </w:r>
    </w:p>
    <w:p w14:paraId="698215DF" w14:textId="21E98F7D" w:rsidR="00C26930" w:rsidRDefault="00C26930" w:rsidP="00E9066C">
      <w:pPr>
        <w:pStyle w:val="NormalIndent"/>
      </w:pPr>
      <w:r w:rsidRPr="0D5AADFC">
        <w:t>The</w:t>
      </w:r>
      <w:r>
        <w:t xml:space="preserve"> </w:t>
      </w:r>
      <w:r w:rsidRPr="0D5AADFC">
        <w:t xml:space="preserve">Principal’s Benchmark should be developed using the same </w:t>
      </w:r>
      <w:r w:rsidR="00F24626">
        <w:t>W</w:t>
      </w:r>
      <w:r w:rsidRPr="0D5AADFC">
        <w:t xml:space="preserve">ork </w:t>
      </w:r>
      <w:r w:rsidR="00F24626">
        <w:t>B</w:t>
      </w:r>
      <w:r w:rsidRPr="0D5AADFC">
        <w:t xml:space="preserve">reakdown </w:t>
      </w:r>
      <w:r w:rsidR="00F24626">
        <w:t>S</w:t>
      </w:r>
      <w:r w:rsidRPr="0D5AADFC">
        <w:t>tructure</w:t>
      </w:r>
      <w:r w:rsidRPr="5759174B">
        <w:t xml:space="preserve"> and </w:t>
      </w:r>
      <w:r w:rsidR="00F24626">
        <w:t>C</w:t>
      </w:r>
      <w:r w:rsidRPr="5759174B">
        <w:t xml:space="preserve">ost </w:t>
      </w:r>
      <w:r w:rsidR="00F24626">
        <w:t>B</w:t>
      </w:r>
      <w:r w:rsidRPr="5759174B">
        <w:t xml:space="preserve">reakdown </w:t>
      </w:r>
      <w:r w:rsidR="00F24626">
        <w:t>S</w:t>
      </w:r>
      <w:r w:rsidRPr="5759174B">
        <w:t>tructure</w:t>
      </w:r>
      <w:r w:rsidRPr="0D5AADFC">
        <w:t xml:space="preserve"> </w:t>
      </w:r>
      <w:r w:rsidR="00A41813">
        <w:t>that</w:t>
      </w:r>
      <w:r w:rsidR="00A41813" w:rsidRPr="0D5AADFC">
        <w:t xml:space="preserve"> </w:t>
      </w:r>
      <w:r w:rsidRPr="0D5AADFC">
        <w:t xml:space="preserve">the </w:t>
      </w:r>
      <w:r w:rsidR="00B3394E">
        <w:t xml:space="preserve">Shortlisted </w:t>
      </w:r>
      <w:r w:rsidRPr="0D5AADFC">
        <w:t xml:space="preserve">Respondent(s) </w:t>
      </w:r>
      <w:r w:rsidR="00A41813">
        <w:t>is</w:t>
      </w:r>
      <w:r w:rsidR="00A41813" w:rsidRPr="0D5AADFC">
        <w:t xml:space="preserve"> </w:t>
      </w:r>
      <w:r w:rsidRPr="0D5AADFC">
        <w:t>required to use in developing their TOC Estimate</w:t>
      </w:r>
      <w:r w:rsidR="00B3394E">
        <w:t>(s)</w:t>
      </w:r>
      <w:r w:rsidRPr="0D5AADFC">
        <w:t>. This</w:t>
      </w:r>
      <w:r w:rsidRPr="0D5AADFC" w:rsidDel="007B16E1">
        <w:t xml:space="preserve"> </w:t>
      </w:r>
      <w:r w:rsidRPr="0D5AADFC">
        <w:t>facilitate</w:t>
      </w:r>
      <w:r w:rsidR="007B16E1">
        <w:t>s</w:t>
      </w:r>
      <w:r w:rsidRPr="0D5AADFC">
        <w:t xml:space="preserve"> comparison and assessment against their TOC Estimate(s)</w:t>
      </w:r>
      <w:r w:rsidR="0045701B">
        <w:t xml:space="preserve"> </w:t>
      </w:r>
      <w:r w:rsidR="0045701B" w:rsidRPr="00BE64B5">
        <w:rPr>
          <w:rFonts w:ascii="VIC" w:eastAsia="Arial" w:hAnsi="VIC" w:cs="Arial"/>
        </w:rPr>
        <w:t>and allow</w:t>
      </w:r>
      <w:r w:rsidR="007B16E1">
        <w:rPr>
          <w:rFonts w:ascii="VIC" w:eastAsia="Arial" w:hAnsi="VIC" w:cs="Arial"/>
        </w:rPr>
        <w:t>s</w:t>
      </w:r>
      <w:r w:rsidR="0045701B" w:rsidRPr="00BE64B5">
        <w:rPr>
          <w:rFonts w:ascii="VIC" w:eastAsia="Arial" w:hAnsi="VIC" w:cs="Arial"/>
        </w:rPr>
        <w:t xml:space="preserve"> the development of benchmarks for key rates</w:t>
      </w:r>
      <w:r w:rsidRPr="0D5AADFC">
        <w:t>.</w:t>
      </w:r>
    </w:p>
    <w:p w14:paraId="65784533" w14:textId="01A8D41D" w:rsidR="00C26930" w:rsidRPr="00BB6F27" w:rsidRDefault="00C26930" w:rsidP="005B2FBA">
      <w:pPr>
        <w:pStyle w:val="Heading2numbered"/>
      </w:pPr>
      <w:bookmarkStart w:id="239" w:name="_Toc130925434"/>
      <w:bookmarkStart w:id="240" w:name="_Toc133577873"/>
      <w:bookmarkStart w:id="241" w:name="_Toc145612573"/>
      <w:r w:rsidRPr="00BB6F27">
        <w:t>Role of competition</w:t>
      </w:r>
      <w:bookmarkEnd w:id="239"/>
      <w:bookmarkEnd w:id="240"/>
      <w:bookmarkEnd w:id="241"/>
    </w:p>
    <w:p w14:paraId="5203ADB6" w14:textId="4F9C4226" w:rsidR="00C26930" w:rsidRPr="000F3FF6" w:rsidRDefault="00C26930" w:rsidP="00E9066C">
      <w:pPr>
        <w:pStyle w:val="NormalIndent"/>
      </w:pPr>
      <w:bookmarkStart w:id="242" w:name="_Hlk141183484"/>
      <w:bookmarkStart w:id="243" w:name="_Hlk141183541"/>
      <w:r w:rsidRPr="000F3FF6">
        <w:t>The</w:t>
      </w:r>
      <w:r w:rsidR="00AB625E" w:rsidDel="00C37696">
        <w:t xml:space="preserve"> </w:t>
      </w:r>
      <w:r w:rsidRPr="000F3FF6">
        <w:t xml:space="preserve">ITC Contract Suite contemplates a competitive process where the </w:t>
      </w:r>
      <w:r w:rsidR="006E3F6C">
        <w:t>p</w:t>
      </w:r>
      <w:r w:rsidRPr="000F3FF6">
        <w:t xml:space="preserve">rocuring </w:t>
      </w:r>
      <w:r w:rsidR="006E3F6C">
        <w:t>a</w:t>
      </w:r>
      <w:r w:rsidRPr="000F3FF6">
        <w:t xml:space="preserve">gency simultaneously engages more than one Shortlisted Respondent to prepare Delivery Phase Offers under separate ITC </w:t>
      </w:r>
      <w:r w:rsidR="00ED6C21">
        <w:t>Development Deed</w:t>
      </w:r>
      <w:r w:rsidRPr="000F3FF6">
        <w:t xml:space="preserve">s. </w:t>
      </w:r>
      <w:bookmarkEnd w:id="242"/>
      <w:r w:rsidR="00015B36">
        <w:t>T</w:t>
      </w:r>
      <w:r w:rsidRPr="000F3FF6">
        <w:t xml:space="preserve">he Shortlisted Respondents </w:t>
      </w:r>
      <w:r w:rsidR="00B650EC">
        <w:t>are</w:t>
      </w:r>
      <w:r w:rsidRPr="000F3FF6">
        <w:t xml:space="preserve"> required to develop a TOC Estimate on an </w:t>
      </w:r>
      <w:r w:rsidR="009A7CC8">
        <w:t>o</w:t>
      </w:r>
      <w:r>
        <w:t xml:space="preserve">pen </w:t>
      </w:r>
      <w:r w:rsidR="009A7CC8">
        <w:t>b</w:t>
      </w:r>
      <w:r>
        <w:t xml:space="preserve">ook </w:t>
      </w:r>
      <w:r w:rsidR="009A7CC8">
        <w:t>b</w:t>
      </w:r>
      <w:r>
        <w:t>asis</w:t>
      </w:r>
      <w:r w:rsidR="00015B36">
        <w:t xml:space="preserve"> in their </w:t>
      </w:r>
      <w:r w:rsidR="00DD51B9">
        <w:t>D</w:t>
      </w:r>
      <w:r w:rsidR="00F04D03">
        <w:t xml:space="preserve">elivery </w:t>
      </w:r>
      <w:r w:rsidR="00DD51B9">
        <w:t>P</w:t>
      </w:r>
      <w:r w:rsidR="00F04D03">
        <w:t xml:space="preserve">hase </w:t>
      </w:r>
      <w:r w:rsidR="00DD51B9">
        <w:t>O</w:t>
      </w:r>
      <w:r w:rsidR="00F04D03">
        <w:t>ffer</w:t>
      </w:r>
      <w:r w:rsidRPr="000F3FF6">
        <w:t xml:space="preserve">. </w:t>
      </w:r>
      <w:r w:rsidR="46BE30FB">
        <w:t>C</w:t>
      </w:r>
      <w:r>
        <w:t>onsider</w:t>
      </w:r>
      <w:r w:rsidR="42D5FDCD">
        <w:t>ing</w:t>
      </w:r>
      <w:r>
        <w:t xml:space="preserve"> </w:t>
      </w:r>
      <w:r w:rsidRPr="002B40AF">
        <w:t>Delivery Phase Offers from multiple Shortlisted Respondents ensures that competitive tension is maintained</w:t>
      </w:r>
      <w:r w:rsidR="00015B36">
        <w:t>,</w:t>
      </w:r>
      <w:r w:rsidRPr="009607BA">
        <w:t xml:space="preserve"> incentivising Respondents to develop</w:t>
      </w:r>
      <w:r w:rsidRPr="003A34C3">
        <w:t xml:space="preserve"> optimal Delivery Phase Offers </w:t>
      </w:r>
      <w:r w:rsidR="00015B36">
        <w:t>with</w:t>
      </w:r>
      <w:r w:rsidR="00015B36" w:rsidRPr="003A34C3">
        <w:t xml:space="preserve"> </w:t>
      </w:r>
      <w:r w:rsidRPr="003A34C3">
        <w:t xml:space="preserve">respect </w:t>
      </w:r>
      <w:r w:rsidR="00015B36">
        <w:t xml:space="preserve">to </w:t>
      </w:r>
      <w:r w:rsidRPr="003A34C3">
        <w:t>pricing, design and program.</w:t>
      </w:r>
      <w:bookmarkEnd w:id="243"/>
    </w:p>
    <w:p w14:paraId="722C0671" w14:textId="558FB556" w:rsidR="00C26930" w:rsidRPr="000D210B" w:rsidRDefault="00C26930" w:rsidP="00E9066C">
      <w:pPr>
        <w:pStyle w:val="NormalIndent"/>
      </w:pPr>
      <w:r w:rsidRPr="002B40AF">
        <w:t xml:space="preserve">A competitive TOC development process must </w:t>
      </w:r>
      <w:r w:rsidRPr="00116579">
        <w:t xml:space="preserve">be conducted with </w:t>
      </w:r>
      <w:r w:rsidRPr="000D210B">
        <w:t>Respondents over the same timeframe</w:t>
      </w:r>
      <w:r w:rsidR="009E572D">
        <w:t>,</w:t>
      </w:r>
      <w:r w:rsidRPr="000D210B">
        <w:t xml:space="preserve"> with all participants having access to the same information.</w:t>
      </w:r>
    </w:p>
    <w:p w14:paraId="1E000966" w14:textId="1E55F5F0" w:rsidR="00C26930" w:rsidRPr="000F3FF6" w:rsidRDefault="7C897E6B" w:rsidP="00E9066C">
      <w:pPr>
        <w:pStyle w:val="NormalIndent"/>
      </w:pPr>
      <w:r w:rsidRPr="6931C58D">
        <w:t>The</w:t>
      </w:r>
      <w:r w:rsidR="00C26930" w:rsidRPr="000F3FF6">
        <w:t xml:space="preserve"> </w:t>
      </w:r>
      <w:r w:rsidR="00EE0DC3">
        <w:t>VfM</w:t>
      </w:r>
      <w:r w:rsidR="00C26930" w:rsidRPr="000F3FF6">
        <w:t xml:space="preserve"> benefits achieved by undertaking a competitive TOC development process </w:t>
      </w:r>
      <w:r w:rsidRPr="6931C58D">
        <w:t xml:space="preserve">are expected to </w:t>
      </w:r>
      <w:r w:rsidR="00C26930" w:rsidRPr="000F3FF6">
        <w:t xml:space="preserve">outweigh the additional costs and resourcing requirements. </w:t>
      </w:r>
      <w:r w:rsidR="00015B36">
        <w:t>This competitive</w:t>
      </w:r>
      <w:r w:rsidR="00C26930" w:rsidRPr="000F3FF6">
        <w:t xml:space="preserve"> process allows the </w:t>
      </w:r>
      <w:r w:rsidR="00314185">
        <w:t>p</w:t>
      </w:r>
      <w:r w:rsidR="00C26930" w:rsidRPr="000F3FF6">
        <w:t xml:space="preserve">rocuring </w:t>
      </w:r>
      <w:r w:rsidR="00314185">
        <w:t>a</w:t>
      </w:r>
      <w:r w:rsidR="00C26930" w:rsidRPr="000F3FF6">
        <w:t xml:space="preserve">gency to assess each Respondent’s performance </w:t>
      </w:r>
      <w:r w:rsidR="00015B36">
        <w:t>against</w:t>
      </w:r>
      <w:r w:rsidR="00C26930" w:rsidRPr="000F3FF6">
        <w:t xml:space="preserve"> discrete development activities, rather than </w:t>
      </w:r>
      <w:r w:rsidR="4A0BD1F1" w:rsidRPr="09271F44">
        <w:t xml:space="preserve">undertake </w:t>
      </w:r>
      <w:r w:rsidR="00C26930" w:rsidRPr="000F3FF6">
        <w:t xml:space="preserve">a more limited assessment of a proposed methodology </w:t>
      </w:r>
      <w:r w:rsidR="00015B36">
        <w:t>or</w:t>
      </w:r>
      <w:r w:rsidR="00C26930" w:rsidRPr="000F3FF6">
        <w:t xml:space="preserve"> interviews</w:t>
      </w:r>
      <w:r w:rsidR="00C26930" w:rsidRPr="09271F44">
        <w:t>.</w:t>
      </w:r>
      <w:r w:rsidR="00C26930" w:rsidRPr="000F3FF6">
        <w:t xml:space="preserve"> A competitive TOC development also best supports </w:t>
      </w:r>
      <w:r w:rsidR="00015B36">
        <w:t>p</w:t>
      </w:r>
      <w:r w:rsidR="00C26930" w:rsidRPr="000F3FF6">
        <w:t xml:space="preserve">rocuring </w:t>
      </w:r>
      <w:r w:rsidR="00015B36">
        <w:t>a</w:t>
      </w:r>
      <w:r w:rsidR="00C26930" w:rsidRPr="000F3FF6">
        <w:t xml:space="preserve">gencies in meeting </w:t>
      </w:r>
      <w:r w:rsidR="00015B36">
        <w:t>s</w:t>
      </w:r>
      <w:r w:rsidR="00C26930" w:rsidRPr="000F3FF6">
        <w:t>tate procurement principles</w:t>
      </w:r>
      <w:r w:rsidR="00015B36">
        <w:t>.</w:t>
      </w:r>
    </w:p>
    <w:p w14:paraId="02755AB6" w14:textId="0B242D4B" w:rsidR="00C26930" w:rsidRPr="002B40AF" w:rsidRDefault="006D7B49" w:rsidP="00E9066C">
      <w:pPr>
        <w:pStyle w:val="NormalIndent"/>
      </w:pPr>
      <w:r>
        <w:t>The</w:t>
      </w:r>
      <w:r w:rsidR="00C26930" w:rsidRPr="000F3FF6">
        <w:t xml:space="preserve"> default competitive TOC development process may not be appropriate</w:t>
      </w:r>
      <w:r>
        <w:t xml:space="preserve"> if there</w:t>
      </w:r>
      <w:r w:rsidR="00754976" w:rsidRPr="00754976">
        <w:rPr>
          <w:rFonts w:ascii="Calibri" w:hAnsi="Calibri" w:cs="Calibri"/>
        </w:rPr>
        <w:t> </w:t>
      </w:r>
      <w:r>
        <w:t>is</w:t>
      </w:r>
      <w:r w:rsidR="00C26930" w:rsidRPr="000F3FF6">
        <w:t>:</w:t>
      </w:r>
    </w:p>
    <w:p w14:paraId="6B25A49F" w14:textId="050657BB" w:rsidR="00C26930" w:rsidRPr="005B2FBA" w:rsidRDefault="006D7B49" w:rsidP="000D52B3">
      <w:pPr>
        <w:pStyle w:val="Bulletindent"/>
      </w:pPr>
      <w:r>
        <w:t>a l</w:t>
      </w:r>
      <w:r w:rsidR="00C26930" w:rsidRPr="005B2FBA">
        <w:t>imited number of market participants or significant market capacity constraints</w:t>
      </w:r>
      <w:r w:rsidR="00331482">
        <w:t>;</w:t>
      </w:r>
    </w:p>
    <w:p w14:paraId="4A5BD9F7" w14:textId="2B249155" w:rsidR="002A524B" w:rsidRPr="002A524B" w:rsidRDefault="006D7B49" w:rsidP="000D52B3">
      <w:pPr>
        <w:pStyle w:val="Bulletindent"/>
      </w:pPr>
      <w:r>
        <w:t>s</w:t>
      </w:r>
      <w:r w:rsidR="00C26930" w:rsidRPr="005B2FBA">
        <w:t>ignificant project scope uncertainty</w:t>
      </w:r>
      <w:r w:rsidR="00331482">
        <w:t>; or</w:t>
      </w:r>
    </w:p>
    <w:p w14:paraId="34EB1E64" w14:textId="01DDE951" w:rsidR="00C26930" w:rsidRPr="005B2FBA" w:rsidRDefault="006D7B49" w:rsidP="000D52B3">
      <w:pPr>
        <w:pStyle w:val="Bulletindent"/>
      </w:pPr>
      <w:r>
        <w:t>b</w:t>
      </w:r>
      <w:r w:rsidR="00C26930" w:rsidRPr="005B2FBA">
        <w:t xml:space="preserve">idder innovation and </w:t>
      </w:r>
      <w:r w:rsidR="00CE4431">
        <w:t>I</w:t>
      </w:r>
      <w:r w:rsidR="00C26930" w:rsidRPr="005B2FBA">
        <w:t xml:space="preserve">ntellectual </w:t>
      </w:r>
      <w:r w:rsidR="00CE4431">
        <w:t>P</w:t>
      </w:r>
      <w:r w:rsidR="00C26930" w:rsidRPr="005B2FBA">
        <w:t xml:space="preserve">roperty </w:t>
      </w:r>
      <w:r w:rsidR="0060496C">
        <w:t xml:space="preserve">(IP) </w:t>
      </w:r>
      <w:r w:rsidR="00C26930" w:rsidRPr="005B2FBA">
        <w:t xml:space="preserve">being invested into defining the project scope </w:t>
      </w:r>
      <w:r>
        <w:t>(</w:t>
      </w:r>
      <w:r w:rsidR="00C26930" w:rsidRPr="005B2FBA">
        <w:t>in parallel or prior to TOC development</w:t>
      </w:r>
      <w:r>
        <w:t>)</w:t>
      </w:r>
      <w:r w:rsidR="00C26930" w:rsidRPr="005B2FBA">
        <w:t xml:space="preserve"> such that TOC submissions from different bidders would not provide a suitable comparison.</w:t>
      </w:r>
    </w:p>
    <w:p w14:paraId="3AF9AB02" w14:textId="440C5407" w:rsidR="00C26930" w:rsidRPr="002B40AF" w:rsidRDefault="00C26930" w:rsidP="0005402F">
      <w:pPr>
        <w:pStyle w:val="NormalIndent"/>
      </w:pPr>
      <w:r w:rsidRPr="003A34C3">
        <w:t xml:space="preserve">DTF should be engaged prior to the </w:t>
      </w:r>
      <w:r w:rsidR="006D7B49">
        <w:t>p</w:t>
      </w:r>
      <w:r w:rsidRPr="002B40AF">
        <w:t xml:space="preserve">rocuring </w:t>
      </w:r>
      <w:r w:rsidR="006D7B49">
        <w:t>a</w:t>
      </w:r>
      <w:r w:rsidRPr="003A34C3">
        <w:t xml:space="preserve">gency </w:t>
      </w:r>
      <w:r w:rsidR="006D7B49">
        <w:t>selecting</w:t>
      </w:r>
      <w:r w:rsidR="006D7B49" w:rsidRPr="003A34C3">
        <w:t xml:space="preserve"> </w:t>
      </w:r>
      <w:r w:rsidRPr="003A34C3">
        <w:t xml:space="preserve">a Respondent </w:t>
      </w:r>
      <w:r w:rsidR="006D7B49">
        <w:t>to undertake</w:t>
      </w:r>
      <w:r w:rsidR="006D7B49" w:rsidRPr="003A34C3">
        <w:t xml:space="preserve"> </w:t>
      </w:r>
      <w:r w:rsidRPr="003A34C3">
        <w:t>a non-competitive Delivery Phase Offer development</w:t>
      </w:r>
      <w:r w:rsidRPr="002B40AF">
        <w:t>.</w:t>
      </w:r>
    </w:p>
    <w:p w14:paraId="17224CE9" w14:textId="274EF7AC" w:rsidR="00C26930" w:rsidRPr="00522983" w:rsidRDefault="00C26930" w:rsidP="005B2FBA">
      <w:pPr>
        <w:pStyle w:val="Heading2numbered"/>
      </w:pPr>
      <w:bookmarkStart w:id="244" w:name="_Ref116382348"/>
      <w:bookmarkStart w:id="245" w:name="_Toc130925435"/>
      <w:bookmarkStart w:id="246" w:name="_Toc133577874"/>
      <w:bookmarkStart w:id="247" w:name="_Toc145612574"/>
      <w:r>
        <w:t xml:space="preserve">Expectations for </w:t>
      </w:r>
      <w:r w:rsidR="006D7B49">
        <w:t>TOC</w:t>
      </w:r>
      <w:r w:rsidRPr="00522983">
        <w:t xml:space="preserve"> development</w:t>
      </w:r>
      <w:bookmarkEnd w:id="244"/>
      <w:bookmarkEnd w:id="245"/>
      <w:bookmarkEnd w:id="246"/>
      <w:bookmarkEnd w:id="247"/>
    </w:p>
    <w:p w14:paraId="19ED50AD" w14:textId="5544B9D6" w:rsidR="00C26930" w:rsidRPr="00522983" w:rsidRDefault="00C26930" w:rsidP="00E9066C">
      <w:pPr>
        <w:pStyle w:val="NormalIndent"/>
      </w:pPr>
      <w:r w:rsidRPr="4E453056">
        <w:t xml:space="preserve">In developing the Delivery Phase Offer, Respondents are required to develop a TOC </w:t>
      </w:r>
      <w:r w:rsidR="00D166FE">
        <w:t>that</w:t>
      </w:r>
      <w:r w:rsidR="00D166FE" w:rsidRPr="4E453056">
        <w:t xml:space="preserve"> </w:t>
      </w:r>
      <w:r w:rsidRPr="4E453056">
        <w:t>they consider to be a realistic estimate of the overall cost and resources to deliver the project. It should reflect the project solution and the commercial arrangements.</w:t>
      </w:r>
    </w:p>
    <w:p w14:paraId="403CC202" w14:textId="041BE74C" w:rsidR="00C26930" w:rsidRPr="00522983" w:rsidRDefault="00C26930" w:rsidP="00E9066C">
      <w:pPr>
        <w:pStyle w:val="NormalIndent"/>
      </w:pPr>
      <w:r>
        <w:t xml:space="preserve">The </w:t>
      </w:r>
      <w:r w:rsidRPr="00522983" w:rsidDel="0011738F">
        <w:t>f</w:t>
      </w:r>
      <w:r w:rsidRPr="00522983" w:rsidDel="00E46FFA">
        <w:t xml:space="preserve">inal TOC </w:t>
      </w:r>
      <w:r w:rsidR="00CD743D" w:rsidDel="00E46FFA">
        <w:t>E</w:t>
      </w:r>
      <w:r w:rsidDel="00E46FFA">
        <w:t>stimate</w:t>
      </w:r>
      <w:r>
        <w:t xml:space="preserve"> </w:t>
      </w:r>
      <w:r w:rsidRPr="00522983">
        <w:t xml:space="preserve">forms part of the Respondent’s Delivery Phase Offer, with the </w:t>
      </w:r>
      <w:r w:rsidR="006D7B49">
        <w:t>p</w:t>
      </w:r>
      <w:r w:rsidRPr="00522983">
        <w:t xml:space="preserve">rocuring </w:t>
      </w:r>
      <w:r w:rsidR="006D7B49">
        <w:t>a</w:t>
      </w:r>
      <w:r w:rsidRPr="00522983">
        <w:t>gency understanding and actively challenging key pricing and resourcing assumptions, including pricing of risk.</w:t>
      </w:r>
    </w:p>
    <w:p w14:paraId="75EB934D" w14:textId="6650FF41" w:rsidR="00C26930" w:rsidRPr="000F3FF6" w:rsidRDefault="00C26930" w:rsidP="00E9066C">
      <w:pPr>
        <w:pStyle w:val="NormalIndent"/>
      </w:pPr>
      <w:r w:rsidRPr="000F3FF6">
        <w:t>The TOC should include the following elements</w:t>
      </w:r>
      <w:r w:rsidR="004750AA">
        <w:t>.</w:t>
      </w:r>
    </w:p>
    <w:p w14:paraId="697EE33C" w14:textId="18DAC598" w:rsidR="00C26930" w:rsidRPr="005B2FBA" w:rsidRDefault="00C26930" w:rsidP="000D52B3">
      <w:pPr>
        <w:pStyle w:val="Bulletindent"/>
      </w:pPr>
      <w:r w:rsidRPr="005B2FBA">
        <w:rPr>
          <w:b/>
          <w:bCs/>
        </w:rPr>
        <w:t>Reimbursable Costs</w:t>
      </w:r>
      <w:r w:rsidR="00017B51" w:rsidRPr="4210FEC4">
        <w:rPr>
          <w:b/>
          <w:bCs/>
        </w:rPr>
        <w:t>.</w:t>
      </w:r>
      <w:r w:rsidRPr="005B2FBA">
        <w:t xml:space="preserve"> Th</w:t>
      </w:r>
      <w:r w:rsidR="006D7B49">
        <w:t>is is th</w:t>
      </w:r>
      <w:r w:rsidRPr="005B2FBA">
        <w:t xml:space="preserve">e Respondent’s estimate for all </w:t>
      </w:r>
      <w:r w:rsidR="00A56F5B">
        <w:t>R</w:t>
      </w:r>
      <w:r w:rsidRPr="005B2FBA">
        <w:t xml:space="preserve">eimbursable </w:t>
      </w:r>
      <w:r w:rsidR="00A56F5B">
        <w:t>C</w:t>
      </w:r>
      <w:r w:rsidRPr="005B2FBA">
        <w:t xml:space="preserve">osts, direct and indirect, expected to be incurred during project delivery and allowable for reimbursement under the deed. </w:t>
      </w:r>
      <w:r w:rsidR="006D7B49">
        <w:t>T</w:t>
      </w:r>
      <w:r w:rsidRPr="005B2FBA">
        <w:t xml:space="preserve">he Reimbursable Cost estimate </w:t>
      </w:r>
      <w:r w:rsidR="006D7B49">
        <w:t>should clearly outline</w:t>
      </w:r>
      <w:r w:rsidRPr="005B2FBA">
        <w:t xml:space="preserve"> underlying assumptions</w:t>
      </w:r>
      <w:r w:rsidR="00947963">
        <w:t>,</w:t>
      </w:r>
      <w:r w:rsidRPr="005B2FBA">
        <w:t xml:space="preserve"> </w:t>
      </w:r>
      <w:r w:rsidR="00EE0AC6">
        <w:t>such as</w:t>
      </w:r>
      <w:r w:rsidRPr="005B2FBA">
        <w:t xml:space="preserve"> </w:t>
      </w:r>
      <w:r w:rsidR="00EE0AC6" w:rsidRPr="005B2FBA">
        <w:t xml:space="preserve">assumed </w:t>
      </w:r>
      <w:r w:rsidRPr="005B2FBA">
        <w:t>price escalation rates.</w:t>
      </w:r>
    </w:p>
    <w:p w14:paraId="43E07526" w14:textId="38B9EEB6" w:rsidR="00C26930" w:rsidRPr="005B2FBA" w:rsidRDefault="00C26930" w:rsidP="000D52B3">
      <w:pPr>
        <w:pStyle w:val="Bulletindent"/>
      </w:pPr>
      <w:r w:rsidRPr="005B2FBA">
        <w:rPr>
          <w:b/>
          <w:bCs/>
        </w:rPr>
        <w:t>COP</w:t>
      </w:r>
      <w:r w:rsidR="00947963" w:rsidRPr="4210FEC4">
        <w:rPr>
          <w:b/>
          <w:bCs/>
        </w:rPr>
        <w:t>.</w:t>
      </w:r>
      <w:r w:rsidRPr="005B2FBA">
        <w:t xml:space="preserve"> T</w:t>
      </w:r>
      <w:r w:rsidR="00EE0AC6">
        <w:t>his is t</w:t>
      </w:r>
      <w:r w:rsidRPr="005B2FBA">
        <w:t xml:space="preserve">he Respondent’s proposed COP (also referred to as </w:t>
      </w:r>
      <w:r w:rsidR="006D7B49">
        <w:t>m</w:t>
      </w:r>
      <w:r w:rsidRPr="005B2FBA">
        <w:t>argin) to be earned during project delivery. Corporate overhead should support the reasonable recovery of non-project</w:t>
      </w:r>
      <w:r w:rsidR="00043711">
        <w:t>-</w:t>
      </w:r>
      <w:r w:rsidRPr="005B2FBA">
        <w:t xml:space="preserve">specific overheads </w:t>
      </w:r>
      <w:r w:rsidR="00524CE0" w:rsidRPr="005B2FBA">
        <w:t>(</w:t>
      </w:r>
      <w:r w:rsidR="00382569">
        <w:t>e.g.</w:t>
      </w:r>
      <w:r w:rsidRPr="005B2FBA">
        <w:t xml:space="preserve"> general head office management costs</w:t>
      </w:r>
      <w:r w:rsidR="00524CE0" w:rsidRPr="005B2FBA">
        <w:t>)</w:t>
      </w:r>
      <w:r w:rsidRPr="005B2FBA">
        <w:t xml:space="preserve">. This COP should be expressed as a percentage of the estimated </w:t>
      </w:r>
      <w:r w:rsidR="00A56F5B">
        <w:t>R</w:t>
      </w:r>
      <w:r w:rsidRPr="005B2FBA">
        <w:t xml:space="preserve">eimbursable </w:t>
      </w:r>
      <w:r w:rsidR="00A56F5B">
        <w:t>C</w:t>
      </w:r>
      <w:r w:rsidRPr="005B2FBA">
        <w:t>ost.</w:t>
      </w:r>
    </w:p>
    <w:p w14:paraId="14FB126B" w14:textId="5C47168A" w:rsidR="00C26930" w:rsidRPr="005B2FBA" w:rsidRDefault="00C26930" w:rsidP="000D52B3">
      <w:pPr>
        <w:pStyle w:val="Bulletindent"/>
      </w:pPr>
      <w:r w:rsidRPr="005B2FBA">
        <w:rPr>
          <w:b/>
          <w:bCs/>
        </w:rPr>
        <w:t>Risk, contingency and opportunity</w:t>
      </w:r>
      <w:r w:rsidR="002232CC" w:rsidRPr="4210FEC4">
        <w:rPr>
          <w:b/>
          <w:bCs/>
        </w:rPr>
        <w:t>.</w:t>
      </w:r>
      <w:r w:rsidRPr="005B2FBA">
        <w:t xml:space="preserve"> T</w:t>
      </w:r>
      <w:r w:rsidR="00EE0AC6">
        <w:t>his is t</w:t>
      </w:r>
      <w:r w:rsidRPr="005B2FBA">
        <w:t xml:space="preserve">he Respondent’s estimate for risks associated with the project. </w:t>
      </w:r>
      <w:r w:rsidR="00EE0AC6">
        <w:t>T</w:t>
      </w:r>
      <w:r w:rsidRPr="005B2FBA">
        <w:t xml:space="preserve">he Respondent </w:t>
      </w:r>
      <w:r w:rsidR="00EE0AC6">
        <w:t>should</w:t>
      </w:r>
      <w:r w:rsidR="00EE0AC6" w:rsidRPr="005B2FBA">
        <w:t xml:space="preserve"> </w:t>
      </w:r>
      <w:r w:rsidRPr="005B2FBA">
        <w:t>share the methodology, assumptions and calculations used to determine the allowance for risk, contingency and opportunity (savings).</w:t>
      </w:r>
    </w:p>
    <w:p w14:paraId="7EFE3DA7" w14:textId="68061512" w:rsidR="00C26930" w:rsidRPr="000F3FF6" w:rsidRDefault="00C26930" w:rsidP="00E9066C">
      <w:pPr>
        <w:pStyle w:val="NormalIndent"/>
      </w:pPr>
      <w:r w:rsidRPr="000F3FF6">
        <w:t>The TOC should be developed on a ‘first principles’ basis</w:t>
      </w:r>
      <w:r w:rsidR="00EE0AC6">
        <w:t xml:space="preserve">. This involves </w:t>
      </w:r>
      <w:r w:rsidRPr="000F3FF6">
        <w:t>disaggregating the physical works into discrete activities</w:t>
      </w:r>
      <w:r w:rsidR="00EE0AC6">
        <w:t xml:space="preserve">. </w:t>
      </w:r>
      <w:r w:rsidR="5A0CB85A" w:rsidRPr="10A4A663">
        <w:t>It</w:t>
      </w:r>
      <w:r w:rsidR="00EE0AC6">
        <w:t xml:space="preserve"> requires</w:t>
      </w:r>
      <w:r w:rsidR="00EE0AC6" w:rsidRPr="000F3FF6">
        <w:t xml:space="preserve"> </w:t>
      </w:r>
      <w:r w:rsidRPr="000F3FF6">
        <w:t xml:space="preserve">assessing the individual labour </w:t>
      </w:r>
      <w:r w:rsidR="00EE0AC6">
        <w:t xml:space="preserve">and </w:t>
      </w:r>
      <w:r w:rsidRPr="000F3FF6">
        <w:t>plant productivity</w:t>
      </w:r>
      <w:r w:rsidR="5A0CB85A" w:rsidRPr="10A4A663">
        <w:t xml:space="preserve"> and</w:t>
      </w:r>
      <w:r w:rsidR="00EE0AC6" w:rsidRPr="000F3FF6">
        <w:t xml:space="preserve"> </w:t>
      </w:r>
      <w:r w:rsidRPr="000F3FF6">
        <w:t>material required</w:t>
      </w:r>
      <w:r w:rsidR="5A0CB85A" w:rsidRPr="10A4A663">
        <w:t xml:space="preserve"> for each activity.</w:t>
      </w:r>
      <w:r w:rsidRPr="000F3FF6">
        <w:t xml:space="preserve"> The TOC should include </w:t>
      </w:r>
      <w:r w:rsidR="00EE0AC6">
        <w:t xml:space="preserve">project </w:t>
      </w:r>
      <w:r w:rsidRPr="000F3FF6">
        <w:t>design costs, which should also be costed on a first principles basis.</w:t>
      </w:r>
    </w:p>
    <w:p w14:paraId="7A902501" w14:textId="48026AA9" w:rsidR="00C26930" w:rsidRPr="000F3FF6" w:rsidRDefault="00C26930" w:rsidP="00E9066C">
      <w:pPr>
        <w:pStyle w:val="NormalIndent"/>
      </w:pPr>
      <w:r w:rsidRPr="000F3FF6">
        <w:t xml:space="preserve">The </w:t>
      </w:r>
      <w:r w:rsidR="00EE0AC6">
        <w:t>p</w:t>
      </w:r>
      <w:r w:rsidRPr="000F3FF6">
        <w:t xml:space="preserve">rocuring </w:t>
      </w:r>
      <w:r w:rsidR="00EE0AC6">
        <w:t>a</w:t>
      </w:r>
      <w:r w:rsidRPr="000F3FF6">
        <w:t xml:space="preserve">gency should develop a Work Breakdown Structure </w:t>
      </w:r>
      <w:r w:rsidRPr="002B40AF">
        <w:t>and Cost Breakdown Structure</w:t>
      </w:r>
      <w:r w:rsidRPr="000F3FF6">
        <w:t xml:space="preserve"> for </w:t>
      </w:r>
      <w:r w:rsidR="00417D4F">
        <w:t>R</w:t>
      </w:r>
      <w:r>
        <w:t>espondents</w:t>
      </w:r>
      <w:r w:rsidRPr="000F3FF6">
        <w:t xml:space="preserve"> to complete</w:t>
      </w:r>
      <w:r w:rsidR="00124242">
        <w:t>. Th</w:t>
      </w:r>
      <w:r w:rsidR="00680145">
        <w:t>e</w:t>
      </w:r>
      <w:r w:rsidR="00124242">
        <w:t>s</w:t>
      </w:r>
      <w:r w:rsidR="00680145">
        <w:t>e</w:t>
      </w:r>
      <w:r w:rsidR="00124242" w:rsidDel="00680145">
        <w:t xml:space="preserve"> </w:t>
      </w:r>
      <w:r w:rsidR="00124242">
        <w:t>should</w:t>
      </w:r>
      <w:r w:rsidRPr="000F3FF6">
        <w:t>:</w:t>
      </w:r>
    </w:p>
    <w:p w14:paraId="06E88297" w14:textId="38A8D25D" w:rsidR="00C26930" w:rsidRPr="005B2FBA" w:rsidRDefault="00124242" w:rsidP="000D52B3">
      <w:pPr>
        <w:pStyle w:val="Bulletindent"/>
      </w:pPr>
      <w:r>
        <w:t>d</w:t>
      </w:r>
      <w:r w:rsidR="00C26930" w:rsidRPr="005B2FBA">
        <w:t xml:space="preserve">rive consistency in TOC </w:t>
      </w:r>
      <w:r w:rsidR="0008563E">
        <w:t>E</w:t>
      </w:r>
      <w:r w:rsidR="00C26930" w:rsidRPr="005B2FBA">
        <w:t>stimates to support VfM comparison</w:t>
      </w:r>
      <w:r w:rsidR="001950EB">
        <w:t>;</w:t>
      </w:r>
    </w:p>
    <w:p w14:paraId="20E68BA3" w14:textId="770E4BB8" w:rsidR="00C26930" w:rsidRPr="005B2FBA" w:rsidRDefault="00124242" w:rsidP="000D52B3">
      <w:pPr>
        <w:pStyle w:val="Bulletindent"/>
      </w:pPr>
      <w:r>
        <w:t>p</w:t>
      </w:r>
      <w:r w:rsidR="00C26930" w:rsidRPr="005B2FBA">
        <w:t>romote transparency in estimation</w:t>
      </w:r>
      <w:r w:rsidR="001950EB">
        <w:t>;</w:t>
      </w:r>
    </w:p>
    <w:p w14:paraId="4787A935" w14:textId="4537A6A8" w:rsidR="00C26930" w:rsidRPr="005B2FBA" w:rsidRDefault="00124242" w:rsidP="000D52B3">
      <w:pPr>
        <w:pStyle w:val="Bulletindent"/>
      </w:pPr>
      <w:r>
        <w:t>c</w:t>
      </w:r>
      <w:r w:rsidR="00C26930" w:rsidRPr="005B2FBA">
        <w:t>ommunicate key assumptions used in developing the TOC</w:t>
      </w:r>
      <w:r w:rsidR="001950EB">
        <w:t>;</w:t>
      </w:r>
    </w:p>
    <w:p w14:paraId="72208780" w14:textId="2B0313BA" w:rsidR="002A524B" w:rsidRPr="002A524B" w:rsidRDefault="0008563E" w:rsidP="000D52B3">
      <w:pPr>
        <w:pStyle w:val="Bulletindent"/>
      </w:pPr>
      <w:r>
        <w:t>d</w:t>
      </w:r>
      <w:r w:rsidR="00C26930" w:rsidRPr="005B2FBA">
        <w:t xml:space="preserve">emonstrate the level of detail required in the TOC </w:t>
      </w:r>
      <w:r w:rsidR="00CD743D" w:rsidRPr="005B2FBA">
        <w:t>E</w:t>
      </w:r>
      <w:r w:rsidR="00C26930" w:rsidRPr="005B2FBA">
        <w:t>stimate (</w:t>
      </w:r>
      <w:r w:rsidR="00382569">
        <w:t>i.e.</w:t>
      </w:r>
      <w:r w:rsidR="00C26930" w:rsidRPr="005B2FBA">
        <w:t xml:space="preserve"> level of detail for each activity)</w:t>
      </w:r>
      <w:r w:rsidR="001950EB">
        <w:t>; and</w:t>
      </w:r>
    </w:p>
    <w:p w14:paraId="6F3423F5" w14:textId="6C13C945" w:rsidR="00C26930" w:rsidRPr="005B2FBA" w:rsidRDefault="00124242" w:rsidP="000D52B3">
      <w:pPr>
        <w:pStyle w:val="Bulletindent"/>
      </w:pPr>
      <w:r>
        <w:t>s</w:t>
      </w:r>
      <w:r w:rsidR="00C26930" w:rsidRPr="005B2FBA">
        <w:t>upport the iterative nature of the TOC development through ongoing review and challenge of key assumptions.</w:t>
      </w:r>
    </w:p>
    <w:p w14:paraId="3E546BCF" w14:textId="78EA0DA5" w:rsidR="00C26930" w:rsidRPr="000F3FF6" w:rsidRDefault="00C26930" w:rsidP="00BE480D">
      <w:pPr>
        <w:pStyle w:val="NormalIndent"/>
      </w:pPr>
      <w:r w:rsidRPr="000F3FF6">
        <w:t xml:space="preserve">The Respondent should define scope and quantities </w:t>
      </w:r>
      <w:r w:rsidR="00CE4431">
        <w:t>for</w:t>
      </w:r>
      <w:r w:rsidRPr="000F3FF6">
        <w:t xml:space="preserve"> a design and delivery solution </w:t>
      </w:r>
      <w:r w:rsidR="00AC4009">
        <w:t xml:space="preserve">that </w:t>
      </w:r>
      <w:r w:rsidR="00124242">
        <w:t xml:space="preserve">is </w:t>
      </w:r>
      <w:r w:rsidRPr="000F3FF6">
        <w:t>informed by the project’s business case, project documentation and other relevant project information. The Respondent develops and optimises construction methodologies, delivery plan</w:t>
      </w:r>
      <w:r w:rsidR="00124242">
        <w:t>s</w:t>
      </w:r>
      <w:r w:rsidRPr="000F3FF6">
        <w:t xml:space="preserve"> and appropriate procurement</w:t>
      </w:r>
      <w:r w:rsidR="00124242">
        <w:t xml:space="preserve"> or </w:t>
      </w:r>
      <w:r w:rsidR="00A30E8C">
        <w:t>S</w:t>
      </w:r>
      <w:r>
        <w:t>ubcontracting</w:t>
      </w:r>
      <w:r w:rsidRPr="000F3FF6">
        <w:t xml:space="preserve"> agreements to suit market constraints and </w:t>
      </w:r>
      <w:r w:rsidR="00124242">
        <w:t xml:space="preserve">the </w:t>
      </w:r>
      <w:r w:rsidRPr="000F3FF6">
        <w:t>project schedule. The Respondent</w:t>
      </w:r>
      <w:r w:rsidR="00C86F59">
        <w:t>’s</w:t>
      </w:r>
      <w:r w:rsidRPr="000F3FF6">
        <w:t xml:space="preserve"> team structure is developed on a best-for-</w:t>
      </w:r>
      <w:r>
        <w:t>project</w:t>
      </w:r>
      <w:r w:rsidRPr="000F3FF6">
        <w:t xml:space="preserve"> basis and is costed into the Reimbursable Cost allowance.</w:t>
      </w:r>
    </w:p>
    <w:p w14:paraId="47B8BD24" w14:textId="2F130A60" w:rsidR="00C26930" w:rsidRPr="000F3FF6" w:rsidRDefault="3C04C16F" w:rsidP="00BE480D">
      <w:pPr>
        <w:pStyle w:val="NormalIndent"/>
      </w:pPr>
      <w:r>
        <w:t>The a</w:t>
      </w:r>
      <w:r w:rsidR="2049A423">
        <w:t xml:space="preserve">llowance for risk and contingency is determined based on the Respondent’s understanding of key shared risks within the TOC and outcomes of any further investigations undertaken during the Development Phase. Procuring </w:t>
      </w:r>
      <w:r w:rsidR="008511CC">
        <w:t>a</w:t>
      </w:r>
      <w:r w:rsidR="2049A423">
        <w:t>gencies should review the</w:t>
      </w:r>
      <w:r>
        <w:t xml:space="preserve">se allowances </w:t>
      </w:r>
      <w:r w:rsidR="2049A423">
        <w:t>in detail to confirm these costs are not duplicated elsewhere in the TOC. DTF should be invited to all risk workshops to participate in the identification and quantification of ris</w:t>
      </w:r>
      <w:r>
        <w:t>k</w:t>
      </w:r>
      <w:r w:rsidR="07DCF9CA">
        <w:t>.</w:t>
      </w:r>
      <w:r>
        <w:t xml:space="preserve"> This allows DTF </w:t>
      </w:r>
      <w:r w:rsidR="2049A423">
        <w:t xml:space="preserve">to </w:t>
      </w:r>
      <w:r w:rsidR="6CFCF913">
        <w:t xml:space="preserve">better understand </w:t>
      </w:r>
      <w:r w:rsidR="2049A423">
        <w:t xml:space="preserve">the risk and contingency allowances. </w:t>
      </w:r>
      <w:r w:rsidR="009D1161">
        <w:t xml:space="preserve">The </w:t>
      </w:r>
      <w:r>
        <w:t>R</w:t>
      </w:r>
      <w:r w:rsidR="2049A423">
        <w:t xml:space="preserve">espondent(s) </w:t>
      </w:r>
      <w:r>
        <w:t xml:space="preserve">should </w:t>
      </w:r>
      <w:r w:rsidR="2049A423">
        <w:t>seek to minimise risk and contingency through optimising design</w:t>
      </w:r>
      <w:r>
        <w:t xml:space="preserve"> features</w:t>
      </w:r>
      <w:r w:rsidR="2049A423">
        <w:t xml:space="preserve"> </w:t>
      </w:r>
      <w:r w:rsidR="009D1161">
        <w:t xml:space="preserve">that </w:t>
      </w:r>
      <w:r w:rsidR="2049A423">
        <w:t xml:space="preserve">reduce the likelihood or consequence of the </w:t>
      </w:r>
      <w:r>
        <w:t xml:space="preserve">identified </w:t>
      </w:r>
      <w:r w:rsidR="2049A423">
        <w:t>risk</w:t>
      </w:r>
      <w:r>
        <w:t>s</w:t>
      </w:r>
      <w:r w:rsidR="2049A423">
        <w:t xml:space="preserve"> occurring</w:t>
      </w:r>
      <w:r w:rsidR="61A6FC84">
        <w:t>. They should also</w:t>
      </w:r>
      <w:r w:rsidR="2049A423">
        <w:t xml:space="preserve"> underta</w:t>
      </w:r>
      <w:r w:rsidR="61A6FC84">
        <w:t>ke</w:t>
      </w:r>
      <w:r w:rsidR="2049A423">
        <w:t xml:space="preserve"> activities to reduce uncertainty during planning and delivery of the </w:t>
      </w:r>
      <w:r w:rsidR="004905B0">
        <w:t>P</w:t>
      </w:r>
      <w:r w:rsidR="2049A423">
        <w:t>roject.</w:t>
      </w:r>
    </w:p>
    <w:p w14:paraId="153CD8DC" w14:textId="278D6B5E" w:rsidR="00C26930" w:rsidRPr="000F3FF6" w:rsidRDefault="00C26930" w:rsidP="00382569">
      <w:pPr>
        <w:pStyle w:val="NormalIndent"/>
        <w:keepNext/>
      </w:pPr>
      <w:r w:rsidRPr="000F3FF6">
        <w:t xml:space="preserve">Activities that could be undertaken as part of the </w:t>
      </w:r>
      <w:r w:rsidR="00CC02B7">
        <w:t>D</w:t>
      </w:r>
      <w:r w:rsidRPr="000F3FF6">
        <w:t xml:space="preserve">evelopment </w:t>
      </w:r>
      <w:r w:rsidR="00CC02B7">
        <w:t>P</w:t>
      </w:r>
      <w:r w:rsidRPr="000F3FF6">
        <w:t xml:space="preserve">hase to reduce uncertainty in the TOC and </w:t>
      </w:r>
      <w:r w:rsidR="00594959">
        <w:t>P</w:t>
      </w:r>
      <w:r>
        <w:t>rogram</w:t>
      </w:r>
      <w:r w:rsidRPr="000F3FF6">
        <w:t xml:space="preserve"> timelines include:</w:t>
      </w:r>
    </w:p>
    <w:p w14:paraId="5A582E09" w14:textId="1F20F739" w:rsidR="00C26930" w:rsidRPr="005B2FBA" w:rsidRDefault="00310A79" w:rsidP="00382569">
      <w:pPr>
        <w:pStyle w:val="Bulletindent"/>
        <w:keepNext/>
      </w:pPr>
      <w:r>
        <w:t>s</w:t>
      </w:r>
      <w:r w:rsidR="00C26930" w:rsidRPr="005B2FBA">
        <w:t xml:space="preserve">ite investigations in relation to </w:t>
      </w:r>
      <w:r w:rsidR="00B3394E">
        <w:t>geotechnical</w:t>
      </w:r>
      <w:r w:rsidR="00B3394E" w:rsidRPr="005B2FBA">
        <w:t xml:space="preserve"> </w:t>
      </w:r>
      <w:r w:rsidR="00C26930" w:rsidRPr="005B2FBA">
        <w:t xml:space="preserve">conditions and </w:t>
      </w:r>
      <w:r w:rsidR="0014000E">
        <w:t xml:space="preserve">the </w:t>
      </w:r>
      <w:r w:rsidR="00C26930" w:rsidRPr="005B2FBA">
        <w:t xml:space="preserve">extent of </w:t>
      </w:r>
      <w:r w:rsidR="009837FB">
        <w:t>C</w:t>
      </w:r>
      <w:r w:rsidR="00C26930" w:rsidRPr="005B2FBA">
        <w:t xml:space="preserve">ontamination in the </w:t>
      </w:r>
      <w:r w:rsidR="004905B0">
        <w:t>P</w:t>
      </w:r>
      <w:r w:rsidR="00C26930">
        <w:t>roject</w:t>
      </w:r>
      <w:r w:rsidR="00C26930" w:rsidRPr="005B2FBA">
        <w:t xml:space="preserve"> area</w:t>
      </w:r>
      <w:r w:rsidR="004905B0">
        <w:t>;</w:t>
      </w:r>
    </w:p>
    <w:p w14:paraId="7E2317CE" w14:textId="1674BE61" w:rsidR="002A524B" w:rsidRPr="002A524B" w:rsidRDefault="002D2169" w:rsidP="000D52B3">
      <w:pPr>
        <w:pStyle w:val="Bulletindent"/>
      </w:pPr>
      <w:r>
        <w:t>s</w:t>
      </w:r>
      <w:r w:rsidR="00C26930" w:rsidRPr="005B2FBA">
        <w:t xml:space="preserve">ervice proving to understand the exact location of </w:t>
      </w:r>
      <w:r w:rsidR="00557F32">
        <w:t>U</w:t>
      </w:r>
      <w:r w:rsidR="00C26930">
        <w:t>tilities</w:t>
      </w:r>
      <w:r w:rsidR="00C26930" w:rsidRPr="005B2FBA">
        <w:t xml:space="preserve"> in the </w:t>
      </w:r>
      <w:r w:rsidR="00557F32">
        <w:t>P</w:t>
      </w:r>
      <w:r w:rsidR="00C26930">
        <w:t>roject</w:t>
      </w:r>
      <w:r w:rsidR="00C26930" w:rsidRPr="005B2FBA">
        <w:t xml:space="preserve"> and identify treatments to minimise impacts to these assets</w:t>
      </w:r>
      <w:r w:rsidR="00557F32">
        <w:t>;</w:t>
      </w:r>
      <w:r w:rsidR="00135286">
        <w:t xml:space="preserve"> and</w:t>
      </w:r>
    </w:p>
    <w:p w14:paraId="6953626F" w14:textId="056C28E1" w:rsidR="00C26930" w:rsidRPr="005B2FBA" w:rsidRDefault="00310A79" w:rsidP="000D52B3">
      <w:pPr>
        <w:pStyle w:val="Bulletindent"/>
      </w:pPr>
      <w:r>
        <w:t>e</w:t>
      </w:r>
      <w:r w:rsidR="00C26930" w:rsidRPr="005B2FBA">
        <w:t>arly Works</w:t>
      </w:r>
      <w:r w:rsidR="0014000E">
        <w:t xml:space="preserve"> </w:t>
      </w:r>
      <w:r w:rsidR="00135286">
        <w:t xml:space="preserve">that </w:t>
      </w:r>
      <w:r w:rsidR="0014000E">
        <w:t xml:space="preserve">are </w:t>
      </w:r>
      <w:r w:rsidR="00C26930" w:rsidRPr="005B2FBA">
        <w:t>progressed prior to Contract Award</w:t>
      </w:r>
      <w:r w:rsidR="00437461">
        <w:t>,</w:t>
      </w:r>
      <w:r w:rsidR="002D2169">
        <w:t xml:space="preserve"> </w:t>
      </w:r>
      <w:r w:rsidR="00437461">
        <w:t xml:space="preserve">which </w:t>
      </w:r>
      <w:r w:rsidR="00C26930" w:rsidRPr="005B2FBA">
        <w:t>may include detailed design of critical elements, project planning, procurement of long lead items, site establishment, accommodation and site clearance.</w:t>
      </w:r>
    </w:p>
    <w:p w14:paraId="3EF41963" w14:textId="6FF25823" w:rsidR="00C26930" w:rsidRPr="000F3FF6" w:rsidRDefault="00C26930" w:rsidP="00BE480D">
      <w:pPr>
        <w:pStyle w:val="NormalIndent"/>
      </w:pPr>
      <w:r w:rsidRPr="000F3FF6">
        <w:t xml:space="preserve">The </w:t>
      </w:r>
      <w:r w:rsidR="002D2169">
        <w:t>p</w:t>
      </w:r>
      <w:r w:rsidRPr="000F3FF6">
        <w:t xml:space="preserve">rocuring </w:t>
      </w:r>
      <w:r w:rsidR="002D2169">
        <w:t>a</w:t>
      </w:r>
      <w:r w:rsidRPr="000F3FF6">
        <w:t xml:space="preserve">gency should use this information to confirm </w:t>
      </w:r>
      <w:r w:rsidR="002D2169">
        <w:t xml:space="preserve">that </w:t>
      </w:r>
      <w:r w:rsidRPr="000F3FF6">
        <w:t>the Respondent’s TOC can deliver the proposed scope and provides VfM</w:t>
      </w:r>
      <w:r w:rsidR="002D2169">
        <w:t xml:space="preserve"> by </w:t>
      </w:r>
      <w:r w:rsidRPr="000F3FF6">
        <w:t>reviewing, challenging and comparing the rates, quantities and other underlying assumptions.</w:t>
      </w:r>
    </w:p>
    <w:p w14:paraId="357EB55F" w14:textId="284A5172" w:rsidR="00C26930" w:rsidRPr="000F3FF6" w:rsidRDefault="00C26930" w:rsidP="00BE480D">
      <w:pPr>
        <w:pStyle w:val="NormalIndent"/>
      </w:pPr>
      <w:r w:rsidRPr="000F3FF6">
        <w:t xml:space="preserve">In addition to the </w:t>
      </w:r>
      <w:r w:rsidR="002D2169">
        <w:t>p</w:t>
      </w:r>
      <w:r w:rsidRPr="000F3FF6">
        <w:t xml:space="preserve">rocuring </w:t>
      </w:r>
      <w:r w:rsidR="002D2169">
        <w:t>a</w:t>
      </w:r>
      <w:r w:rsidRPr="000F3FF6">
        <w:t>gency</w:t>
      </w:r>
      <w:r w:rsidR="002D2169">
        <w:t>’s</w:t>
      </w:r>
      <w:r w:rsidRPr="000F3FF6">
        <w:t xml:space="preserve"> review of the TOC, it is recommended that a line by </w:t>
      </w:r>
      <w:r>
        <w:t>line</w:t>
      </w:r>
      <w:r w:rsidRPr="000F3FF6">
        <w:t xml:space="preserve"> review of the TOC </w:t>
      </w:r>
      <w:r w:rsidR="002D2169">
        <w:t>should be</w:t>
      </w:r>
      <w:r w:rsidRPr="000F3FF6">
        <w:t xml:space="preserve"> undertaken by an independent estimator </w:t>
      </w:r>
      <w:r w:rsidR="002D2169">
        <w:t>to</w:t>
      </w:r>
      <w:r w:rsidRPr="000F3FF6">
        <w:t xml:space="preserve"> scrutinise each line item. For example, the independent estimator should review exclusions in the TOC and confirm that the proposed use of </w:t>
      </w:r>
      <w:r w:rsidR="00A30E8C">
        <w:t>S</w:t>
      </w:r>
      <w:r>
        <w:t>ub</w:t>
      </w:r>
      <w:r w:rsidR="00184A02">
        <w:t>contractor</w:t>
      </w:r>
      <w:r>
        <w:t>s</w:t>
      </w:r>
      <w:r w:rsidRPr="000F3FF6">
        <w:t xml:space="preserve"> is appropriate. The independent estimator should provide an independent assessment separate</w:t>
      </w:r>
      <w:r w:rsidR="00BC4B45">
        <w:t>ly</w:t>
      </w:r>
      <w:r w:rsidRPr="000F3FF6">
        <w:t xml:space="preserve"> from the team </w:t>
      </w:r>
      <w:r w:rsidR="00BC4B45">
        <w:t>that</w:t>
      </w:r>
      <w:r w:rsidR="00BC4B45" w:rsidRPr="000F3FF6">
        <w:t xml:space="preserve"> </w:t>
      </w:r>
      <w:r w:rsidRPr="000F3FF6">
        <w:t xml:space="preserve">developed the Principal’s Benchmark. In addition, subject matter experts (from within the </w:t>
      </w:r>
      <w:r w:rsidR="002D2169">
        <w:t>p</w:t>
      </w:r>
      <w:r w:rsidRPr="000F3FF6">
        <w:t xml:space="preserve">rocuring </w:t>
      </w:r>
      <w:r w:rsidR="002D2169">
        <w:t>a</w:t>
      </w:r>
      <w:r w:rsidRPr="000F3FF6">
        <w:t>gency) should scrutinise non-financial aspects</w:t>
      </w:r>
      <w:r w:rsidR="002D2169">
        <w:t>,</w:t>
      </w:r>
      <w:r w:rsidRPr="000F3FF6">
        <w:t xml:space="preserve"> such as design and </w:t>
      </w:r>
      <w:r w:rsidR="00594959">
        <w:t>P</w:t>
      </w:r>
      <w:r>
        <w:t>rogram</w:t>
      </w:r>
      <w:r w:rsidRPr="000F3FF6">
        <w:t xml:space="preserve"> assumptions.</w:t>
      </w:r>
    </w:p>
    <w:p w14:paraId="5900BF26" w14:textId="3C611FEC" w:rsidR="00C26930" w:rsidRPr="000F3FF6" w:rsidRDefault="00C26930" w:rsidP="00BE480D">
      <w:pPr>
        <w:pStyle w:val="NormalIndent"/>
      </w:pPr>
      <w:r w:rsidRPr="000F3FF6">
        <w:t xml:space="preserve">In a </w:t>
      </w:r>
      <w:r w:rsidR="007B0038">
        <w:t>C</w:t>
      </w:r>
      <w:r w:rsidRPr="000F3FF6">
        <w:t xml:space="preserve">ompetitive TOC </w:t>
      </w:r>
      <w:r w:rsidR="007B0038">
        <w:t>P</w:t>
      </w:r>
      <w:r w:rsidRPr="000F3FF6">
        <w:t xml:space="preserve">rocess, the Respondent’s TOC should be compared </w:t>
      </w:r>
      <w:r w:rsidR="00B44F6B">
        <w:t>with</w:t>
      </w:r>
      <w:r w:rsidR="00B44F6B" w:rsidRPr="000F3FF6">
        <w:t xml:space="preserve"> </w:t>
      </w:r>
      <w:r w:rsidRPr="000F3FF6">
        <w:t xml:space="preserve">both the competing Respondent(s) and the Principal’s Benchmark. Significant variations between the competing Respondent(s) and the Principal’s Benchmark should be investigated by the </w:t>
      </w:r>
      <w:r w:rsidR="002D2169">
        <w:t>p</w:t>
      </w:r>
      <w:r w:rsidRPr="000F3FF6">
        <w:t xml:space="preserve">rocuring </w:t>
      </w:r>
      <w:r w:rsidR="002D2169">
        <w:t>a</w:t>
      </w:r>
      <w:r w:rsidRPr="000F3FF6">
        <w:t>gency.</w:t>
      </w:r>
    </w:p>
    <w:p w14:paraId="0CB1F325" w14:textId="03541A78" w:rsidR="00C26930" w:rsidRPr="000F3FF6" w:rsidRDefault="00C26930" w:rsidP="00BE480D">
      <w:pPr>
        <w:pStyle w:val="NormalIndent"/>
        <w:rPr>
          <w:rFonts w:ascii="VIC" w:eastAsia="Arial" w:hAnsi="VIC" w:cs="Arial"/>
        </w:rPr>
      </w:pPr>
      <w:r w:rsidRPr="000F3FF6">
        <w:t xml:space="preserve">In a non-competitive TOC, the </w:t>
      </w:r>
      <w:r w:rsidR="0045701B">
        <w:t>p</w:t>
      </w:r>
      <w:r w:rsidR="0045701B" w:rsidRPr="0045701B">
        <w:t xml:space="preserve">rocuring </w:t>
      </w:r>
      <w:r w:rsidR="0045701B">
        <w:t>a</w:t>
      </w:r>
      <w:r w:rsidR="0045701B" w:rsidRPr="0045701B">
        <w:t>gency should use the Principal’s Benchmark to review and challenge the TOC</w:t>
      </w:r>
      <w:r w:rsidRPr="000F3FF6">
        <w:t>.</w:t>
      </w:r>
      <w:r w:rsidR="0045701B">
        <w:t xml:space="preserve"> </w:t>
      </w:r>
      <w:r w:rsidR="0045701B" w:rsidRPr="00BE64B5">
        <w:rPr>
          <w:rFonts w:ascii="VIC" w:eastAsia="Arial" w:hAnsi="VIC" w:cs="Arial"/>
        </w:rPr>
        <w:t>Significant variations should be investigated by the procuring agency to challenge the Respondent to deliver the best possible solution and price.</w:t>
      </w:r>
    </w:p>
    <w:p w14:paraId="21C979DB" w14:textId="382877D9" w:rsidR="00C26930" w:rsidRPr="000F3FF6" w:rsidRDefault="3ABB79DE" w:rsidP="00BE480D">
      <w:pPr>
        <w:pStyle w:val="NormalIndent"/>
      </w:pPr>
      <w:r w:rsidRPr="17EBE469">
        <w:t xml:space="preserve">Best practice is for </w:t>
      </w:r>
      <w:r w:rsidR="002D2169">
        <w:t>p</w:t>
      </w:r>
      <w:r w:rsidRPr="17EBE469">
        <w:t xml:space="preserve">rocuring </w:t>
      </w:r>
      <w:r w:rsidR="002D2169">
        <w:t>a</w:t>
      </w:r>
      <w:r w:rsidRPr="17EBE469">
        <w:t>gencies to review the TOC estimates on a regular basis through</w:t>
      </w:r>
      <w:r w:rsidR="00634659">
        <w:t>out</w:t>
      </w:r>
      <w:r w:rsidRPr="17EBE469">
        <w:t xml:space="preserve"> the </w:t>
      </w:r>
      <w:r w:rsidR="00CC02B7">
        <w:t>D</w:t>
      </w:r>
      <w:r w:rsidRPr="17EBE469">
        <w:t xml:space="preserve">evelopment </w:t>
      </w:r>
      <w:r w:rsidR="00CC02B7">
        <w:t>P</w:t>
      </w:r>
      <w:r w:rsidRPr="17EBE469">
        <w:t>hase</w:t>
      </w:r>
      <w:r w:rsidR="00E00494">
        <w:t xml:space="preserve">. The procuring agency </w:t>
      </w:r>
      <w:r w:rsidRPr="17EBE469">
        <w:t>review</w:t>
      </w:r>
      <w:r w:rsidR="001105D2">
        <w:t>s</w:t>
      </w:r>
      <w:r w:rsidRPr="17EBE469">
        <w:t xml:space="preserve"> and challenge</w:t>
      </w:r>
      <w:r w:rsidR="001105D2">
        <w:t>s</w:t>
      </w:r>
      <w:r w:rsidRPr="17EBE469">
        <w:t xml:space="preserve"> </w:t>
      </w:r>
      <w:r w:rsidR="00E00494">
        <w:t xml:space="preserve">the TOC </w:t>
      </w:r>
      <w:r w:rsidRPr="17EBE469">
        <w:t xml:space="preserve">as the Respondent </w:t>
      </w:r>
      <w:r w:rsidR="00E00494">
        <w:t>continues refining the estimate</w:t>
      </w:r>
      <w:r w:rsidRPr="17EBE469">
        <w:t xml:space="preserve">. In a </w:t>
      </w:r>
      <w:r w:rsidR="002D2169" w:rsidRPr="17EBE469">
        <w:t>10–12</w:t>
      </w:r>
      <w:r w:rsidR="002D2169">
        <w:t xml:space="preserve"> </w:t>
      </w:r>
      <w:r w:rsidR="002D2169" w:rsidRPr="17EBE469">
        <w:t>week</w:t>
      </w:r>
      <w:r w:rsidRPr="17EBE469">
        <w:t xml:space="preserve"> </w:t>
      </w:r>
      <w:r w:rsidR="00CC02B7">
        <w:t>D</w:t>
      </w:r>
      <w:r w:rsidRPr="17EBE469">
        <w:t xml:space="preserve">evelopment </w:t>
      </w:r>
      <w:r w:rsidR="00CC02B7">
        <w:t>P</w:t>
      </w:r>
      <w:r w:rsidRPr="17EBE469">
        <w:t xml:space="preserve">hase, the TOC </w:t>
      </w:r>
      <w:r w:rsidR="00E00494">
        <w:t>should be</w:t>
      </w:r>
      <w:r w:rsidR="00E00494" w:rsidRPr="17EBE469">
        <w:t xml:space="preserve"> </w:t>
      </w:r>
      <w:r w:rsidRPr="17EBE469">
        <w:t>reviewed at least three times, with each review providing more certainty of the TOC (</w:t>
      </w:r>
      <w:r w:rsidR="00382569">
        <w:t>i.e.</w:t>
      </w:r>
      <w:r w:rsidRPr="17EBE469">
        <w:t xml:space="preserve"> a</w:t>
      </w:r>
      <w:r w:rsidR="00034BA6">
        <w:t>t</w:t>
      </w:r>
      <w:r w:rsidRPr="17EBE469">
        <w:t xml:space="preserve"> </w:t>
      </w:r>
      <w:r w:rsidR="0067046F">
        <w:t>‘</w:t>
      </w:r>
      <w:r w:rsidRPr="17EBE469">
        <w:t>bronze</w:t>
      </w:r>
      <w:r w:rsidR="0067046F">
        <w:t>’</w:t>
      </w:r>
      <w:r w:rsidRPr="17EBE469">
        <w:t xml:space="preserve">, </w:t>
      </w:r>
      <w:r w:rsidR="0067046F">
        <w:t>‘</w:t>
      </w:r>
      <w:r w:rsidRPr="17EBE469">
        <w:t>silver</w:t>
      </w:r>
      <w:r w:rsidR="0067046F">
        <w:t>’</w:t>
      </w:r>
      <w:r w:rsidR="007C7146">
        <w:t xml:space="preserve"> and</w:t>
      </w:r>
      <w:r w:rsidRPr="17EBE469">
        <w:t xml:space="preserve"> </w:t>
      </w:r>
      <w:r w:rsidR="0067046F">
        <w:t>‘</w:t>
      </w:r>
      <w:r w:rsidRPr="17EBE469">
        <w:t>gold</w:t>
      </w:r>
      <w:r w:rsidR="0067046F">
        <w:t>’</w:t>
      </w:r>
      <w:r w:rsidRPr="17EBE469">
        <w:t xml:space="preserve"> review meetings). These reviews</w:t>
      </w:r>
      <w:r w:rsidR="00E00494" w:rsidDel="007C7146">
        <w:t xml:space="preserve"> </w:t>
      </w:r>
      <w:r w:rsidR="00E00494">
        <w:t>provide a detailed</w:t>
      </w:r>
      <w:r w:rsidRPr="17EBE469">
        <w:t xml:space="preserve"> interrogation of the TOC</w:t>
      </w:r>
      <w:r w:rsidR="00E00494">
        <w:t>. T</w:t>
      </w:r>
      <w:r w:rsidRPr="17EBE469">
        <w:t xml:space="preserve">he </w:t>
      </w:r>
      <w:r w:rsidR="002D2169">
        <w:t>p</w:t>
      </w:r>
      <w:r w:rsidRPr="17EBE469">
        <w:t xml:space="preserve">rocuring </w:t>
      </w:r>
      <w:r w:rsidR="002D2169">
        <w:t>a</w:t>
      </w:r>
      <w:r w:rsidRPr="17EBE469">
        <w:t xml:space="preserve">gency should allow sufficient time and resourcing, commensurate with the value and complexity of the project. For </w:t>
      </w:r>
      <w:r w:rsidR="75BF1844" w:rsidRPr="17EBE469">
        <w:t xml:space="preserve">large </w:t>
      </w:r>
      <w:r w:rsidRPr="17EBE469">
        <w:t>projects</w:t>
      </w:r>
      <w:r w:rsidR="00420401">
        <w:t>,</w:t>
      </w:r>
      <w:r w:rsidRPr="17EBE469">
        <w:t xml:space="preserve"> DTF should be invited to these review meetings</w:t>
      </w:r>
      <w:r w:rsidR="007C7146">
        <w:t>,</w:t>
      </w:r>
      <w:r w:rsidRPr="17EBE469">
        <w:t xml:space="preserve"> </w:t>
      </w:r>
      <w:r w:rsidR="00E00494">
        <w:t>as well as</w:t>
      </w:r>
      <w:r w:rsidRPr="17EBE469">
        <w:t xml:space="preserve"> the risk workshops.</w:t>
      </w:r>
    </w:p>
    <w:p w14:paraId="49548EDD" w14:textId="63343899" w:rsidR="00C26930" w:rsidRPr="00522983" w:rsidRDefault="00C26930" w:rsidP="005B2FBA">
      <w:pPr>
        <w:pStyle w:val="Heading2numbered"/>
      </w:pPr>
      <w:bookmarkStart w:id="248" w:name="_Toc130925436"/>
      <w:bookmarkStart w:id="249" w:name="_Toc133577875"/>
      <w:bookmarkStart w:id="250" w:name="_Toc145612575"/>
      <w:r>
        <w:t>Expectations for Design Development</w:t>
      </w:r>
      <w:bookmarkEnd w:id="248"/>
      <w:bookmarkEnd w:id="249"/>
      <w:bookmarkEnd w:id="250"/>
    </w:p>
    <w:p w14:paraId="4BF998FD" w14:textId="404CAB0A" w:rsidR="00C26930" w:rsidRPr="000F3FF6" w:rsidRDefault="00C26930" w:rsidP="00BE480D">
      <w:pPr>
        <w:pStyle w:val="NormalIndent"/>
      </w:pPr>
      <w:r w:rsidRPr="000F3FF6">
        <w:t xml:space="preserve">The </w:t>
      </w:r>
      <w:r w:rsidR="00E00494">
        <w:t>p</w:t>
      </w:r>
      <w:r w:rsidRPr="000F3FF6">
        <w:t xml:space="preserve">rocuring </w:t>
      </w:r>
      <w:r w:rsidR="00E00494">
        <w:t>a</w:t>
      </w:r>
      <w:r w:rsidRPr="000F3FF6">
        <w:t xml:space="preserve">gency should provide the Respondent(s) with a reference design at the outset of the </w:t>
      </w:r>
      <w:r w:rsidR="00CC02B7">
        <w:t>D</w:t>
      </w:r>
      <w:r w:rsidRPr="000F3FF6">
        <w:t xml:space="preserve">evelopment </w:t>
      </w:r>
      <w:r w:rsidR="00CC02B7">
        <w:t>P</w:t>
      </w:r>
      <w:r w:rsidRPr="000F3FF6">
        <w:t xml:space="preserve">hase. </w:t>
      </w:r>
      <w:r w:rsidR="00E00494">
        <w:t>T</w:t>
      </w:r>
      <w:r w:rsidRPr="000F3FF6">
        <w:t xml:space="preserve">he Respondent(s) </w:t>
      </w:r>
      <w:r w:rsidR="00E00494">
        <w:t xml:space="preserve">should </w:t>
      </w:r>
      <w:r w:rsidRPr="000F3FF6">
        <w:t xml:space="preserve">refine the design throughout the </w:t>
      </w:r>
      <w:r w:rsidR="00CC02B7">
        <w:t>D</w:t>
      </w:r>
      <w:r w:rsidRPr="000F3FF6">
        <w:t xml:space="preserve">evelopment </w:t>
      </w:r>
      <w:r w:rsidR="00CC02B7">
        <w:t>P</w:t>
      </w:r>
      <w:r w:rsidRPr="000F3FF6">
        <w:t xml:space="preserve">hase and </w:t>
      </w:r>
      <w:r w:rsidR="00634659">
        <w:t>is</w:t>
      </w:r>
      <w:r w:rsidR="00634659" w:rsidRPr="000F3FF6">
        <w:t xml:space="preserve"> </w:t>
      </w:r>
      <w:r w:rsidRPr="000F3FF6">
        <w:t xml:space="preserve">encouraged to identify innovation in design solutions </w:t>
      </w:r>
      <w:r w:rsidR="65279783" w:rsidRPr="3EA7F94F">
        <w:t>and</w:t>
      </w:r>
      <w:r w:rsidRPr="000F3FF6">
        <w:t xml:space="preserve"> efficiencies in construction methodology</w:t>
      </w:r>
      <w:r w:rsidR="65279783" w:rsidRPr="3EA7F94F">
        <w:t>.</w:t>
      </w:r>
      <w:r w:rsidR="00E00494">
        <w:t xml:space="preserve"> This process aims </w:t>
      </w:r>
      <w:r w:rsidRPr="000F3FF6">
        <w:t xml:space="preserve">to reduce the TOC </w:t>
      </w:r>
      <w:r w:rsidR="00DF4E87">
        <w:t>E</w:t>
      </w:r>
      <w:r w:rsidRPr="000F3FF6">
        <w:t>stimate whil</w:t>
      </w:r>
      <w:r w:rsidR="00E00494">
        <w:t>e</w:t>
      </w:r>
      <w:r w:rsidRPr="000F3FF6">
        <w:t xml:space="preserve"> maintaining quality standards and meeting the overall project objectives.</w:t>
      </w:r>
    </w:p>
    <w:p w14:paraId="416F008B" w14:textId="734B22D7" w:rsidR="00C26930" w:rsidRPr="000F3FF6" w:rsidRDefault="00CE4431" w:rsidP="00BE480D">
      <w:pPr>
        <w:pStyle w:val="NormalIndent"/>
      </w:pPr>
      <w:r w:rsidRPr="00BE64B5">
        <w:t>Encouraging innovation in design during the development is likely to better support VfM objectives through identifying construction methods or design engineering opportunities</w:t>
      </w:r>
      <w:r w:rsidR="00DF5DAB" w:rsidRPr="00BE64B5">
        <w:t xml:space="preserve"> (or both)</w:t>
      </w:r>
      <w:r w:rsidRPr="00BE64B5">
        <w:t xml:space="preserve"> </w:t>
      </w:r>
      <w:r w:rsidR="00255B9E">
        <w:t>that</w:t>
      </w:r>
      <w:r w:rsidR="00255B9E" w:rsidRPr="00BE64B5">
        <w:t xml:space="preserve"> </w:t>
      </w:r>
      <w:r w:rsidRPr="00BE64B5">
        <w:t xml:space="preserve">provide cost savings in up-front capital works or </w:t>
      </w:r>
      <w:r>
        <w:t>ongoing</w:t>
      </w:r>
      <w:r w:rsidRPr="00BE64B5">
        <w:t xml:space="preserve"> operating and maintenance costs.</w:t>
      </w:r>
      <w:r w:rsidR="00C26930" w:rsidRPr="000F3FF6">
        <w:t xml:space="preserve"> If </w:t>
      </w:r>
      <w:r w:rsidR="00475ADD">
        <w:t>p</w:t>
      </w:r>
      <w:r w:rsidR="00C26930" w:rsidRPr="000F3FF6">
        <w:t xml:space="preserve">rocuring </w:t>
      </w:r>
      <w:r w:rsidR="00475ADD">
        <w:t>a</w:t>
      </w:r>
      <w:r w:rsidR="00C26930" w:rsidRPr="000F3FF6">
        <w:t xml:space="preserve">gencies do not provide </w:t>
      </w:r>
      <w:r w:rsidR="00475ADD">
        <w:t>an</w:t>
      </w:r>
      <w:r w:rsidR="00475ADD" w:rsidRPr="000F3FF6">
        <w:t xml:space="preserve"> </w:t>
      </w:r>
      <w:r w:rsidR="00C26930" w:rsidRPr="000F3FF6">
        <w:t xml:space="preserve">opportunity for </w:t>
      </w:r>
      <w:r w:rsidR="0002310C">
        <w:t>S</w:t>
      </w:r>
      <w:r w:rsidR="00C26930" w:rsidRPr="000F3FF6">
        <w:t xml:space="preserve">hortlisted </w:t>
      </w:r>
      <w:r w:rsidR="0002310C">
        <w:t>Respondents</w:t>
      </w:r>
      <w:r w:rsidR="00C26930" w:rsidRPr="000F3FF6">
        <w:t xml:space="preserve"> to compete on design, these VfM opportunities </w:t>
      </w:r>
      <w:r w:rsidR="00475ADD">
        <w:t>may</w:t>
      </w:r>
      <w:r w:rsidR="00475ADD" w:rsidRPr="000F3FF6">
        <w:t xml:space="preserve"> </w:t>
      </w:r>
      <w:r w:rsidR="00C26930" w:rsidRPr="000F3FF6">
        <w:t xml:space="preserve">not </w:t>
      </w:r>
      <w:r w:rsidR="00475ADD">
        <w:t xml:space="preserve">be </w:t>
      </w:r>
      <w:r w:rsidR="00C26930" w:rsidRPr="000F3FF6">
        <w:t xml:space="preserve">realised. However, the </w:t>
      </w:r>
      <w:r w:rsidR="00475ADD">
        <w:t>p</w:t>
      </w:r>
      <w:r w:rsidR="00C26930" w:rsidRPr="000F3FF6">
        <w:t xml:space="preserve">rocuring </w:t>
      </w:r>
      <w:r w:rsidR="00475ADD">
        <w:t>a</w:t>
      </w:r>
      <w:r w:rsidR="00C26930" w:rsidRPr="000F3FF6">
        <w:t>gency should ensure that proposed designs still meet the overall project objectives and core scope components</w:t>
      </w:r>
      <w:r w:rsidR="004E42DD">
        <w:t xml:space="preserve"> while</w:t>
      </w:r>
      <w:r w:rsidR="00C26930" w:rsidRPr="000F3FF6">
        <w:t xml:space="preserve"> address</w:t>
      </w:r>
      <w:r w:rsidR="004E42DD">
        <w:t>ing</w:t>
      </w:r>
      <w:r w:rsidR="00C26930" w:rsidRPr="000F3FF6">
        <w:t xml:space="preserve"> identified problems and deliver</w:t>
      </w:r>
      <w:r w:rsidR="004E42DD">
        <w:t>ing</w:t>
      </w:r>
      <w:r w:rsidR="00C26930" w:rsidRPr="000F3FF6">
        <w:t xml:space="preserve"> identified benefits as stated in the </w:t>
      </w:r>
      <w:r w:rsidR="0005490B">
        <w:t>b</w:t>
      </w:r>
      <w:r w:rsidR="00C26930" w:rsidRPr="000F3FF6">
        <w:t xml:space="preserve">usiness </w:t>
      </w:r>
      <w:r w:rsidR="0005490B">
        <w:t>c</w:t>
      </w:r>
      <w:r w:rsidR="00C26930" w:rsidRPr="000F3FF6">
        <w:t>ase.</w:t>
      </w:r>
    </w:p>
    <w:p w14:paraId="5A74BE25" w14:textId="3BC474EA" w:rsidR="00C26930" w:rsidRPr="002B40AF" w:rsidRDefault="00DF5DAB" w:rsidP="00BE480D">
      <w:pPr>
        <w:pStyle w:val="NormalIndent"/>
      </w:pPr>
      <w:r w:rsidRPr="00BE64B5">
        <w:t xml:space="preserve">The procuring agency should advocate for the design to minimise uncertainty in the delivery of the Project rather than pricing in the TOC as contingency. </w:t>
      </w:r>
      <w:r w:rsidR="004E42DD">
        <w:t>An example might be</w:t>
      </w:r>
      <w:r w:rsidR="00C26930" w:rsidRPr="000F3FF6">
        <w:t xml:space="preserve"> </w:t>
      </w:r>
      <w:r w:rsidR="004E42DD">
        <w:t xml:space="preserve">design </w:t>
      </w:r>
      <w:r w:rsidR="00C26930" w:rsidRPr="000F3FF6">
        <w:t>innovation</w:t>
      </w:r>
      <w:r w:rsidR="004E42DD">
        <w:t>s</w:t>
      </w:r>
      <w:r w:rsidR="00C26930" w:rsidRPr="000F3FF6">
        <w:t xml:space="preserve"> t</w:t>
      </w:r>
      <w:r w:rsidR="004E42DD">
        <w:t>hat</w:t>
      </w:r>
      <w:r w:rsidR="00C26930" w:rsidRPr="000F3FF6">
        <w:t xml:space="preserve"> minimise disruption to </w:t>
      </w:r>
      <w:r w:rsidR="003B3C05">
        <w:t>U</w:t>
      </w:r>
      <w:r w:rsidR="00C26930" w:rsidRPr="000F3FF6">
        <w:t>tilities.</w:t>
      </w:r>
    </w:p>
    <w:p w14:paraId="245A3354" w14:textId="7895087E" w:rsidR="00C26930" w:rsidRPr="00C26930" w:rsidRDefault="00C26930" w:rsidP="005B2FBA">
      <w:pPr>
        <w:pStyle w:val="Heading2numbered"/>
      </w:pPr>
      <w:bookmarkStart w:id="251" w:name="_Toc130925437"/>
      <w:bookmarkStart w:id="252" w:name="_Toc133577876"/>
      <w:bookmarkStart w:id="253" w:name="_Toc145612576"/>
      <w:r>
        <w:t xml:space="preserve">Administering the </w:t>
      </w:r>
      <w:r w:rsidR="004E42DD">
        <w:t>p</w:t>
      </w:r>
      <w:r w:rsidRPr="3B4455D8">
        <w:t>ayment regime</w:t>
      </w:r>
      <w:bookmarkEnd w:id="251"/>
      <w:bookmarkEnd w:id="252"/>
      <w:bookmarkEnd w:id="253"/>
    </w:p>
    <w:p w14:paraId="336FEE11" w14:textId="77777777" w:rsidR="00C26930" w:rsidRPr="00C26930" w:rsidRDefault="00C26930" w:rsidP="005B2FBA">
      <w:pPr>
        <w:pStyle w:val="Heading3numbered"/>
      </w:pPr>
      <w:bookmarkStart w:id="254" w:name="_Ref130925337"/>
      <w:r w:rsidRPr="00C26930">
        <w:t>Assessing payments per contractual obligations</w:t>
      </w:r>
      <w:bookmarkEnd w:id="254"/>
    </w:p>
    <w:p w14:paraId="680CBFC4" w14:textId="52BCE9DF" w:rsidR="00C26930" w:rsidRDefault="00C26930" w:rsidP="00BE480D">
      <w:pPr>
        <w:pStyle w:val="NormalIndent"/>
      </w:pPr>
      <w:r w:rsidRPr="3B4455D8">
        <w:t>The payment mechanism under the ITC Contract Suite comprises</w:t>
      </w:r>
      <w:r w:rsidR="0048437B">
        <w:t xml:space="preserve"> the following.</w:t>
      </w:r>
    </w:p>
    <w:tbl>
      <w:tblPr>
        <w:tblStyle w:val="DTFtexttableindent"/>
        <w:tblW w:w="8226" w:type="dxa"/>
        <w:tblLayout w:type="fixed"/>
        <w:tblLook w:val="04A0" w:firstRow="1" w:lastRow="0" w:firstColumn="1" w:lastColumn="0" w:noHBand="0" w:noVBand="1"/>
      </w:tblPr>
      <w:tblGrid>
        <w:gridCol w:w="2070"/>
        <w:gridCol w:w="6156"/>
      </w:tblGrid>
      <w:tr w:rsidR="00382569" w14:paraId="54C91F7E" w14:textId="77777777" w:rsidTr="003825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11DC9AD2" w14:textId="6D125AFB" w:rsidR="00382569" w:rsidRPr="00832494" w:rsidRDefault="00382569" w:rsidP="00382569">
            <w:pPr>
              <w:pStyle w:val="Tableheader"/>
            </w:pPr>
            <w:r>
              <w:t>Phase</w:t>
            </w:r>
          </w:p>
        </w:tc>
        <w:tc>
          <w:tcPr>
            <w:tcW w:w="6156" w:type="dxa"/>
          </w:tcPr>
          <w:p w14:paraId="572C2D0D" w14:textId="17FAFBC8" w:rsidR="00382569" w:rsidRPr="284C6A3F" w:rsidRDefault="00292E6E" w:rsidP="00382569">
            <w:pPr>
              <w:pStyle w:val="Tableheader"/>
              <w:cnfStyle w:val="100000000000" w:firstRow="1" w:lastRow="0" w:firstColumn="0" w:lastColumn="0" w:oddVBand="0" w:evenVBand="0" w:oddHBand="0" w:evenHBand="0" w:firstRowFirstColumn="0" w:firstRowLastColumn="0" w:lastRowFirstColumn="0" w:lastRowLastColumn="0"/>
            </w:pPr>
            <w:r>
              <w:t>Payment mechanism</w:t>
            </w:r>
          </w:p>
        </w:tc>
      </w:tr>
      <w:tr w:rsidR="00C26930" w14:paraId="5EFC5FDA" w14:textId="77777777" w:rsidTr="00382569">
        <w:tc>
          <w:tcPr>
            <w:cnfStyle w:val="001000000000" w:firstRow="0" w:lastRow="0" w:firstColumn="1" w:lastColumn="0" w:oddVBand="0" w:evenVBand="0" w:oddHBand="0" w:evenHBand="0" w:firstRowFirstColumn="0" w:firstRowLastColumn="0" w:lastRowFirstColumn="0" w:lastRowLastColumn="0"/>
            <w:tcW w:w="2070" w:type="dxa"/>
          </w:tcPr>
          <w:p w14:paraId="4C25A7E1" w14:textId="3E359141" w:rsidR="00C26930" w:rsidRPr="00832494" w:rsidRDefault="00C26930" w:rsidP="000C0574">
            <w:pPr>
              <w:pStyle w:val="Tabletext"/>
              <w:rPr>
                <w:rFonts w:asciiTheme="majorHAnsi" w:hAnsiTheme="majorHAnsi"/>
              </w:rPr>
            </w:pPr>
            <w:r w:rsidRPr="00832494">
              <w:rPr>
                <w:rFonts w:asciiTheme="majorHAnsi" w:hAnsiTheme="majorHAnsi"/>
              </w:rPr>
              <w:t>Development Phase</w:t>
            </w:r>
          </w:p>
        </w:tc>
        <w:tc>
          <w:tcPr>
            <w:tcW w:w="6156" w:type="dxa"/>
          </w:tcPr>
          <w:p w14:paraId="5BA64F3C" w14:textId="40C3709C" w:rsidR="00C26930" w:rsidRPr="006911EC" w:rsidRDefault="00C26930" w:rsidP="00832494">
            <w:pPr>
              <w:pStyle w:val="Tablebullet"/>
              <w:cnfStyle w:val="000000000000" w:firstRow="0" w:lastRow="0" w:firstColumn="0" w:lastColumn="0" w:oddVBand="0" w:evenVBand="0" w:oddHBand="0" w:evenHBand="0" w:firstRowFirstColumn="0" w:firstRowLastColumn="0" w:lastRowFirstColumn="0" w:lastRowLastColumn="0"/>
            </w:pPr>
            <w:r w:rsidRPr="284C6A3F">
              <w:t>payment of Reimbursable Costs, including Early Delivery Activities (if applicable), directly, reasonably and actually incurred</w:t>
            </w:r>
            <w:r w:rsidR="00B91807">
              <w:t>;</w:t>
            </w:r>
            <w:r w:rsidR="00000F47" w:rsidRPr="00000F47">
              <w:t xml:space="preserve"> and</w:t>
            </w:r>
          </w:p>
          <w:p w14:paraId="163A8B3D" w14:textId="3CD2C500" w:rsidR="00C26930" w:rsidRDefault="00C26930" w:rsidP="00832494">
            <w:pPr>
              <w:pStyle w:val="Tablebullet"/>
              <w:cnfStyle w:val="000000000000" w:firstRow="0" w:lastRow="0" w:firstColumn="0" w:lastColumn="0" w:oddVBand="0" w:evenVBand="0" w:oddHBand="0" w:evenHBand="0" w:firstRowFirstColumn="0" w:firstRowLastColumn="0" w:lastRowFirstColumn="0" w:lastRowLastColumn="0"/>
            </w:pPr>
            <w:r w:rsidRPr="0D5AADFC">
              <w:t>payment of COP</w:t>
            </w:r>
          </w:p>
        </w:tc>
      </w:tr>
      <w:tr w:rsidR="00C26930" w14:paraId="028900E8" w14:textId="77777777" w:rsidTr="00382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2F60CFC" w14:textId="52C33777" w:rsidR="00C26930" w:rsidRPr="00832494" w:rsidRDefault="00C26930" w:rsidP="000C0574">
            <w:pPr>
              <w:pStyle w:val="Tabletext"/>
              <w:rPr>
                <w:rFonts w:asciiTheme="majorHAnsi" w:hAnsiTheme="majorHAnsi"/>
              </w:rPr>
            </w:pPr>
            <w:r w:rsidRPr="00832494">
              <w:rPr>
                <w:rFonts w:asciiTheme="majorHAnsi" w:hAnsiTheme="majorHAnsi"/>
              </w:rPr>
              <w:t>Delivery Phase</w:t>
            </w:r>
          </w:p>
        </w:tc>
        <w:tc>
          <w:tcPr>
            <w:tcW w:w="6156" w:type="dxa"/>
          </w:tcPr>
          <w:p w14:paraId="045CCA69" w14:textId="40C9C017" w:rsidR="00C26930" w:rsidRDefault="00C26930" w:rsidP="00832494">
            <w:pPr>
              <w:pStyle w:val="Tablebullet"/>
              <w:cnfStyle w:val="000000010000" w:firstRow="0" w:lastRow="0" w:firstColumn="0" w:lastColumn="0" w:oddVBand="0" w:evenVBand="0" w:oddHBand="0" w:evenHBand="1" w:firstRowFirstColumn="0" w:firstRowLastColumn="0" w:lastRowFirstColumn="0" w:lastRowLastColumn="0"/>
            </w:pPr>
            <w:r w:rsidRPr="4E453056">
              <w:t xml:space="preserve">payment of Reimbursable Costs, reasonably and actually incurred as per the </w:t>
            </w:r>
            <w:r w:rsidR="00A56F5B">
              <w:t>R</w:t>
            </w:r>
            <w:r w:rsidRPr="4E453056">
              <w:t xml:space="preserve">eimbursable </w:t>
            </w:r>
            <w:r w:rsidR="00A56F5B">
              <w:t>C</w:t>
            </w:r>
            <w:r w:rsidRPr="4E453056">
              <w:t xml:space="preserve">ost </w:t>
            </w:r>
            <w:r w:rsidR="00E01173">
              <w:t>S</w:t>
            </w:r>
            <w:r w:rsidRPr="4E453056">
              <w:t>chedule</w:t>
            </w:r>
            <w:r w:rsidR="00454FBF">
              <w:t>;</w:t>
            </w:r>
          </w:p>
          <w:p w14:paraId="76CDCDB9" w14:textId="1C3B8A4E" w:rsidR="00C26930" w:rsidRDefault="00C26930" w:rsidP="00832494">
            <w:pPr>
              <w:pStyle w:val="Tablebullet"/>
              <w:cnfStyle w:val="000000010000" w:firstRow="0" w:lastRow="0" w:firstColumn="0" w:lastColumn="0" w:oddVBand="0" w:evenVBand="0" w:oddHBand="0" w:evenHBand="1" w:firstRowFirstColumn="0" w:firstRowLastColumn="0" w:lastRowFirstColumn="0" w:lastRowLastColumn="0"/>
            </w:pPr>
            <w:r w:rsidRPr="0D5AADFC">
              <w:t>payment of COP</w:t>
            </w:r>
            <w:r w:rsidR="00454FBF">
              <w:t>;</w:t>
            </w:r>
          </w:p>
          <w:p w14:paraId="505A1928" w14:textId="0FE014B7" w:rsidR="00C26930" w:rsidRDefault="00C26930" w:rsidP="00832494">
            <w:pPr>
              <w:pStyle w:val="Tablebullet"/>
              <w:cnfStyle w:val="000000010000" w:firstRow="0" w:lastRow="0" w:firstColumn="0" w:lastColumn="0" w:oddVBand="0" w:evenVBand="0" w:oddHBand="0" w:evenHBand="1" w:firstRowFirstColumn="0" w:firstRowLastColumn="0" w:lastRowFirstColumn="0" w:lastRowLastColumn="0"/>
            </w:pPr>
            <w:r w:rsidRPr="3B4455D8">
              <w:t xml:space="preserve">a </w:t>
            </w:r>
            <w:r w:rsidR="00B3394E">
              <w:t>Gainshare</w:t>
            </w:r>
            <w:r w:rsidR="00FA2389">
              <w:t>/Painshare</w:t>
            </w:r>
            <w:r w:rsidR="00B3394E" w:rsidRPr="3B4455D8">
              <w:t xml:space="preserve"> Adjustment</w:t>
            </w:r>
            <w:r w:rsidRPr="3B4455D8">
              <w:t xml:space="preserve"> to reflect any project </w:t>
            </w:r>
            <w:r w:rsidR="004B6A59">
              <w:t>Gainshare</w:t>
            </w:r>
            <w:r w:rsidR="00B3394E">
              <w:t xml:space="preserve"> Amount</w:t>
            </w:r>
            <w:r w:rsidR="004B6A59">
              <w:t xml:space="preserve"> or</w:t>
            </w:r>
            <w:r w:rsidRPr="3B4455D8">
              <w:t xml:space="preserve"> Painshare Amount</w:t>
            </w:r>
            <w:r w:rsidR="00454FBF">
              <w:t>; and</w:t>
            </w:r>
          </w:p>
          <w:p w14:paraId="2B84038D" w14:textId="39713086" w:rsidR="00C26930" w:rsidRDefault="00C26930" w:rsidP="00832494">
            <w:pPr>
              <w:pStyle w:val="Tablebullet"/>
              <w:cnfStyle w:val="000000010000" w:firstRow="0" w:lastRow="0" w:firstColumn="0" w:lastColumn="0" w:oddVBand="0" w:evenVBand="0" w:oddHBand="0" w:evenHBand="1" w:firstRowFirstColumn="0" w:firstRowLastColumn="0" w:lastRowFirstColumn="0" w:lastRowLastColumn="0"/>
            </w:pPr>
            <w:r w:rsidRPr="3B4455D8">
              <w:t>a Performance Adjustment to reflect any Performance Reward Amount</w:t>
            </w:r>
          </w:p>
        </w:tc>
      </w:tr>
    </w:tbl>
    <w:p w14:paraId="5CF47F19" w14:textId="6B3843F1" w:rsidR="00C26930" w:rsidRDefault="00C26930" w:rsidP="005B2FBA">
      <w:pPr>
        <w:pStyle w:val="Heading4numbered"/>
      </w:pPr>
      <w:r w:rsidRPr="3B4455D8">
        <w:t>Development Phase payments</w:t>
      </w:r>
    </w:p>
    <w:p w14:paraId="2ABCD27A" w14:textId="6AAC2303" w:rsidR="00C26930" w:rsidRPr="002B40AF" w:rsidRDefault="00C26930" w:rsidP="00382569">
      <w:pPr>
        <w:pStyle w:val="NormalIndent"/>
        <w:keepNext/>
      </w:pPr>
      <w:bookmarkStart w:id="255" w:name="_Hlk141193397"/>
      <w:r w:rsidRPr="000F3FF6">
        <w:t xml:space="preserve">The Shortlisted Respondent(s) </w:t>
      </w:r>
      <w:r w:rsidR="006C1B79">
        <w:t>is</w:t>
      </w:r>
      <w:r w:rsidRPr="000F3FF6">
        <w:t xml:space="preserve"> paid a Development Phase Services Fee on a cost reimbursement basis during the Development Phase. </w:t>
      </w:r>
      <w:r w:rsidR="004E42DD">
        <w:t xml:space="preserve">The </w:t>
      </w:r>
      <w:r w:rsidRPr="000F3FF6">
        <w:t>Development Phase Services Fee include</w:t>
      </w:r>
      <w:r w:rsidR="006C1B79">
        <w:t>s</w:t>
      </w:r>
      <w:r w:rsidRPr="000F3FF6">
        <w:t>:</w:t>
      </w:r>
    </w:p>
    <w:p w14:paraId="28E36E7C" w14:textId="7DDE4BFC" w:rsidR="00C26930" w:rsidRPr="00CA7EE3" w:rsidRDefault="00C26930" w:rsidP="23669252">
      <w:pPr>
        <w:pStyle w:val="Bulletindent"/>
      </w:pPr>
      <w:r w:rsidRPr="002121A8">
        <w:t>Development</w:t>
      </w:r>
      <w:r w:rsidRPr="00CA7EE3">
        <w:t xml:space="preserve"> Phase Services </w:t>
      </w:r>
      <w:r w:rsidRPr="005B2FBA">
        <w:t>Reimbursable</w:t>
      </w:r>
      <w:r w:rsidRPr="00CA7EE3">
        <w:t xml:space="preserve"> Costs,</w:t>
      </w:r>
      <w:r w:rsidR="00E342CF">
        <w:t xml:space="preserve"> </w:t>
      </w:r>
      <w:r w:rsidRPr="00CA7EE3">
        <w:t>including:</w:t>
      </w:r>
    </w:p>
    <w:p w14:paraId="38124E8F" w14:textId="798815CC" w:rsidR="00C26930" w:rsidRPr="00832494" w:rsidRDefault="00C26930" w:rsidP="23669252">
      <w:pPr>
        <w:pStyle w:val="Bulletindent2"/>
      </w:pPr>
      <w:r w:rsidRPr="00832494">
        <w:t xml:space="preserve">design costs (based on a </w:t>
      </w:r>
      <w:r w:rsidR="00E01173" w:rsidRPr="00832494">
        <w:t>S</w:t>
      </w:r>
      <w:r w:rsidRPr="00832494">
        <w:t xml:space="preserve">chedule of </w:t>
      </w:r>
      <w:r w:rsidR="00E01173" w:rsidRPr="00832494">
        <w:t>R</w:t>
      </w:r>
      <w:r w:rsidRPr="00832494">
        <w:t>ates and assumed rate of effort)</w:t>
      </w:r>
      <w:r w:rsidR="004F40A7">
        <w:t>; and</w:t>
      </w:r>
    </w:p>
    <w:p w14:paraId="315C90AD" w14:textId="168544C3" w:rsidR="00C26930" w:rsidRPr="00832494" w:rsidRDefault="00C26930" w:rsidP="23669252">
      <w:pPr>
        <w:pStyle w:val="Bulletindent2"/>
      </w:pPr>
      <w:r w:rsidRPr="00832494">
        <w:t xml:space="preserve">preliminaries and management costs (based on a </w:t>
      </w:r>
      <w:r w:rsidR="00E01173" w:rsidRPr="00832494">
        <w:t>S</w:t>
      </w:r>
      <w:r w:rsidRPr="00832494">
        <w:t xml:space="preserve">chedule of </w:t>
      </w:r>
      <w:r w:rsidR="00E01173" w:rsidRPr="00832494">
        <w:t>R</w:t>
      </w:r>
      <w:r w:rsidRPr="00832494">
        <w:t xml:space="preserve">ates and </w:t>
      </w:r>
      <w:r w:rsidR="00A56F5B" w:rsidRPr="00832494">
        <w:t>R</w:t>
      </w:r>
      <w:r w:rsidRPr="00832494">
        <w:t xml:space="preserve">eimbursable </w:t>
      </w:r>
      <w:r w:rsidR="00A56F5B" w:rsidRPr="00832494">
        <w:t>C</w:t>
      </w:r>
      <w:r w:rsidRPr="00832494">
        <w:t>ost)</w:t>
      </w:r>
      <w:r w:rsidR="004F40A7">
        <w:t>;</w:t>
      </w:r>
      <w:r w:rsidR="00CB22E1">
        <w:t xml:space="preserve"> and</w:t>
      </w:r>
    </w:p>
    <w:p w14:paraId="472716B0" w14:textId="5195E12C" w:rsidR="00C26930" w:rsidRPr="005B2FBA" w:rsidRDefault="00C26930" w:rsidP="23669252">
      <w:pPr>
        <w:pStyle w:val="Bulletindent"/>
      </w:pPr>
      <w:r w:rsidRPr="005B2FBA">
        <w:t>Development Phase Services</w:t>
      </w:r>
      <w:r w:rsidR="00E342CF">
        <w:t xml:space="preserve"> COP</w:t>
      </w:r>
      <w:r w:rsidRPr="005B2FBA">
        <w:t xml:space="preserve"> (being the margin </w:t>
      </w:r>
      <w:r w:rsidR="003541CF">
        <w:t>percentage</w:t>
      </w:r>
      <w:r w:rsidR="003541CF" w:rsidRPr="005B2FBA">
        <w:t xml:space="preserve"> </w:t>
      </w:r>
      <w:r w:rsidRPr="005B2FBA">
        <w:t>bid back in the Shortlisted Respondent</w:t>
      </w:r>
      <w:r w:rsidR="002A076C">
        <w:t>’</w:t>
      </w:r>
      <w:r w:rsidRPr="005B2FBA">
        <w:t>s RFP response</w:t>
      </w:r>
      <w:r w:rsidR="00CB22E1">
        <w:t>,</w:t>
      </w:r>
      <w:r w:rsidRPr="005B2FBA">
        <w:t xml:space="preserve"> multiplied by the Development Phase Services Reimbursable Costs).</w:t>
      </w:r>
    </w:p>
    <w:p w14:paraId="419E2F9C" w14:textId="0FEAB686" w:rsidR="00C26930" w:rsidRPr="002B40AF" w:rsidRDefault="00C26930" w:rsidP="00BE480D">
      <w:pPr>
        <w:pStyle w:val="NormalIndent"/>
      </w:pPr>
      <w:r w:rsidRPr="000F3FF6">
        <w:t xml:space="preserve">The Development Phase Services Fee </w:t>
      </w:r>
      <w:r w:rsidR="00CB22E1">
        <w:t>is</w:t>
      </w:r>
      <w:r w:rsidRPr="000F3FF6">
        <w:t xml:space="preserve"> paid monthly in arrears based on the value of the Development Phase Services performed on an </w:t>
      </w:r>
      <w:r w:rsidR="008C5324">
        <w:t>o</w:t>
      </w:r>
      <w:r>
        <w:t xml:space="preserve">pen </w:t>
      </w:r>
      <w:r w:rsidR="008C5324">
        <w:t>b</w:t>
      </w:r>
      <w:r>
        <w:t xml:space="preserve">ook </w:t>
      </w:r>
      <w:r w:rsidR="008C5324">
        <w:t>b</w:t>
      </w:r>
      <w:r>
        <w:t>asis.</w:t>
      </w:r>
      <w:r w:rsidRPr="000F3FF6">
        <w:t xml:space="preserve"> An option may be for </w:t>
      </w:r>
      <w:r w:rsidR="00E342CF">
        <w:t>p</w:t>
      </w:r>
      <w:r w:rsidRPr="000F3FF6">
        <w:t xml:space="preserve">roject </w:t>
      </w:r>
      <w:r w:rsidR="00E342CF">
        <w:t>t</w:t>
      </w:r>
      <w:r w:rsidRPr="000F3FF6">
        <w:t>eams to require the Development Phase Services Fee to act as a cap</w:t>
      </w:r>
      <w:r w:rsidR="00FB20E1">
        <w:t>.</w:t>
      </w:r>
      <w:r>
        <w:t xml:space="preserve"> </w:t>
      </w:r>
      <w:r w:rsidR="00FB20E1">
        <w:t>C</w:t>
      </w:r>
      <w:r>
        <w:t>onsideration</w:t>
      </w:r>
      <w:r w:rsidRPr="000F3FF6">
        <w:t xml:space="preserve"> may also be given to pay</w:t>
      </w:r>
      <w:r w:rsidR="00FB20E1">
        <w:t>ing</w:t>
      </w:r>
      <w:r w:rsidRPr="000F3FF6">
        <w:t xml:space="preserve"> a fixed percentage of the incurred </w:t>
      </w:r>
      <w:r w:rsidR="00A56F5B">
        <w:t>R</w:t>
      </w:r>
      <w:r w:rsidRPr="000F3FF6">
        <w:t xml:space="preserve">eimbursable </w:t>
      </w:r>
      <w:r w:rsidR="00A56F5B">
        <w:t>C</w:t>
      </w:r>
      <w:r w:rsidRPr="000F3FF6">
        <w:t>osts.</w:t>
      </w:r>
    </w:p>
    <w:bookmarkEnd w:id="255"/>
    <w:p w14:paraId="6C954D0F" w14:textId="77777777" w:rsidR="00C26930" w:rsidRPr="000F3FF6" w:rsidRDefault="00C26930" w:rsidP="009E7252">
      <w:pPr>
        <w:pStyle w:val="Heading4numbered"/>
      </w:pPr>
      <w:r w:rsidRPr="000F3FF6">
        <w:t>Delivery Phase payments</w:t>
      </w:r>
    </w:p>
    <w:p w14:paraId="36BA2D0A" w14:textId="463FDCA5" w:rsidR="00C26930" w:rsidRPr="002B40AF" w:rsidRDefault="00C26930" w:rsidP="00BD2343">
      <w:pPr>
        <w:pStyle w:val="NormalIndent"/>
      </w:pPr>
      <w:bookmarkStart w:id="256" w:name="_Hlk141193590"/>
      <w:bookmarkStart w:id="257" w:name="_Hlk141193546"/>
      <w:r w:rsidRPr="000F3FF6">
        <w:t xml:space="preserve">The Contractor </w:t>
      </w:r>
      <w:r w:rsidR="00FB20E1">
        <w:t>is</w:t>
      </w:r>
      <w:r w:rsidRPr="000F3FF6">
        <w:t xml:space="preserve"> paid:</w:t>
      </w:r>
    </w:p>
    <w:p w14:paraId="1F5EA463" w14:textId="714EFDAD" w:rsidR="00C26930" w:rsidRPr="00CA7EE3" w:rsidRDefault="00C26930" w:rsidP="000D52B3">
      <w:pPr>
        <w:pStyle w:val="Bulletindent"/>
      </w:pPr>
      <w:r w:rsidRPr="00CA7EE3">
        <w:t>Reimbursable Costs, including:</w:t>
      </w:r>
    </w:p>
    <w:p w14:paraId="0CD535F2" w14:textId="7AEBCCD9" w:rsidR="00C26930" w:rsidRPr="00CA7EE3" w:rsidRDefault="004945F7" w:rsidP="0005402F">
      <w:pPr>
        <w:pStyle w:val="Bulletindent2"/>
      </w:pPr>
      <w:r>
        <w:t>d</w:t>
      </w:r>
      <w:r w:rsidR="00C26930" w:rsidRPr="00CA7EE3">
        <w:t xml:space="preserve">esign costs: </w:t>
      </w:r>
      <w:r>
        <w:t>a</w:t>
      </w:r>
      <w:r w:rsidR="00C26930" w:rsidRPr="00CA7EE3">
        <w:t>ll costs related to detailed design and investigations</w:t>
      </w:r>
      <w:r w:rsidR="00686826">
        <w:t>;</w:t>
      </w:r>
    </w:p>
    <w:p w14:paraId="6A833F6E" w14:textId="4F48FAE8" w:rsidR="00C26930" w:rsidRPr="00CA7EE3" w:rsidRDefault="004945F7" w:rsidP="0005402F">
      <w:pPr>
        <w:pStyle w:val="Bulletindent2"/>
      </w:pPr>
      <w:r>
        <w:t>p</w:t>
      </w:r>
      <w:r w:rsidR="00C26930" w:rsidRPr="00CA7EE3">
        <w:t xml:space="preserve">reliminaries costs: </w:t>
      </w:r>
      <w:r>
        <w:t>m</w:t>
      </w:r>
      <w:r w:rsidR="00C26930" w:rsidRPr="00CA7EE3">
        <w:t xml:space="preserve">obilisation and demobilisation and </w:t>
      </w:r>
      <w:r w:rsidR="00D04777">
        <w:t>C</w:t>
      </w:r>
      <w:r w:rsidR="00184A02">
        <w:t>ontractor</w:t>
      </w:r>
      <w:r w:rsidR="00C26930" w:rsidRPr="00CA7EE3">
        <w:t>’s management and supervision costs</w:t>
      </w:r>
      <w:r w:rsidR="00686826">
        <w:t>;</w:t>
      </w:r>
    </w:p>
    <w:p w14:paraId="482559D8" w14:textId="4BE73D30" w:rsidR="00C26930" w:rsidRPr="00CA7EE3" w:rsidRDefault="004945F7" w:rsidP="0005402F">
      <w:pPr>
        <w:pStyle w:val="Bulletindent2"/>
      </w:pPr>
      <w:r>
        <w:t>c</w:t>
      </w:r>
      <w:r w:rsidR="00C26930" w:rsidRPr="00CA7EE3">
        <w:t xml:space="preserve">onstruction costs: </w:t>
      </w:r>
      <w:r>
        <w:t>a</w:t>
      </w:r>
      <w:r w:rsidR="00C26930" w:rsidRPr="00CA7EE3">
        <w:t>ll direct construction</w:t>
      </w:r>
      <w:r w:rsidR="00043711">
        <w:t>-</w:t>
      </w:r>
      <w:r w:rsidR="00C26930" w:rsidRPr="00CA7EE3">
        <w:t>related activities costs</w:t>
      </w:r>
      <w:r w:rsidR="00686826">
        <w:t>; and</w:t>
      </w:r>
    </w:p>
    <w:p w14:paraId="5BF4891C" w14:textId="21710ECB" w:rsidR="00C26930" w:rsidRPr="00CA7EE3" w:rsidRDefault="004945F7" w:rsidP="0005402F">
      <w:pPr>
        <w:pStyle w:val="Bulletindent2"/>
      </w:pPr>
      <w:r>
        <w:t>m</w:t>
      </w:r>
      <w:r w:rsidR="00C26930" w:rsidRPr="00CA7EE3">
        <w:t xml:space="preserve">anagement costs: </w:t>
      </w:r>
      <w:r>
        <w:t>m</w:t>
      </w:r>
      <w:r w:rsidR="00C26930" w:rsidRPr="00CA7EE3">
        <w:t>anagement and off</w:t>
      </w:r>
      <w:r w:rsidR="00043711">
        <w:t>site</w:t>
      </w:r>
      <w:r w:rsidR="00C26930" w:rsidRPr="00CA7EE3">
        <w:t xml:space="preserve"> overhead costs and insurances</w:t>
      </w:r>
      <w:r w:rsidR="00686826">
        <w:t>;</w:t>
      </w:r>
    </w:p>
    <w:p w14:paraId="4F3CE89D" w14:textId="2EE15BA5" w:rsidR="00C26930" w:rsidRPr="004E42DD" w:rsidRDefault="00AF27D6" w:rsidP="000D52B3">
      <w:pPr>
        <w:pStyle w:val="Bulletindent"/>
      </w:pPr>
      <w:r w:rsidRPr="004E42DD">
        <w:t>COP</w:t>
      </w:r>
      <w:r w:rsidR="004945F7">
        <w:t xml:space="preserve">, which is </w:t>
      </w:r>
      <w:r w:rsidR="00C26930" w:rsidRPr="004E42DD">
        <w:t xml:space="preserve">the </w:t>
      </w:r>
      <w:r w:rsidR="004945F7">
        <w:t>m</w:t>
      </w:r>
      <w:r w:rsidR="00C26930" w:rsidRPr="004E42DD">
        <w:t xml:space="preserve">argin </w:t>
      </w:r>
      <w:r w:rsidR="004945F7">
        <w:t>percentage</w:t>
      </w:r>
      <w:r w:rsidR="00C26930" w:rsidRPr="004E42DD">
        <w:t xml:space="preserve"> bid back in the </w:t>
      </w:r>
      <w:r w:rsidR="00D04777">
        <w:t>C</w:t>
      </w:r>
      <w:r w:rsidR="00184A02">
        <w:t>ontractor</w:t>
      </w:r>
      <w:r w:rsidR="00C26930" w:rsidRPr="004E42DD">
        <w:t xml:space="preserve">’s RFP response multiplied by </w:t>
      </w:r>
      <w:r w:rsidR="00D04777">
        <w:t>R</w:t>
      </w:r>
      <w:r w:rsidR="00C26930" w:rsidRPr="004E42DD">
        <w:t xml:space="preserve">eimbursable </w:t>
      </w:r>
      <w:r w:rsidR="00D04777">
        <w:t>C</w:t>
      </w:r>
      <w:r w:rsidR="00C26930" w:rsidRPr="004E42DD">
        <w:t>osts</w:t>
      </w:r>
      <w:r w:rsidR="00686826">
        <w:t>;</w:t>
      </w:r>
    </w:p>
    <w:p w14:paraId="6EB4A906" w14:textId="7E743B6B" w:rsidR="00C26930" w:rsidRPr="004E42DD" w:rsidRDefault="004945F7" w:rsidP="000D52B3">
      <w:pPr>
        <w:pStyle w:val="Bulletindent"/>
      </w:pPr>
      <w:r>
        <w:t>G</w:t>
      </w:r>
      <w:r w:rsidR="00C26930" w:rsidRPr="004E42DD">
        <w:t xml:space="preserve">ainshare </w:t>
      </w:r>
      <w:r w:rsidR="00D04777">
        <w:t>A</w:t>
      </w:r>
      <w:r w:rsidR="00C26930" w:rsidRPr="004E42DD">
        <w:t xml:space="preserve">mounts payable under the </w:t>
      </w:r>
      <w:r w:rsidR="00D04777">
        <w:t>R</w:t>
      </w:r>
      <w:r w:rsidR="00C26930" w:rsidRPr="004E42DD">
        <w:t xml:space="preserve">isk or </w:t>
      </w:r>
      <w:r w:rsidR="00D04777">
        <w:t>R</w:t>
      </w:r>
      <w:r w:rsidR="00C26930" w:rsidRPr="004E42DD">
        <w:t xml:space="preserve">eward </w:t>
      </w:r>
      <w:r w:rsidR="00D04777">
        <w:t>R</w:t>
      </w:r>
      <w:r w:rsidR="00C26930" w:rsidRPr="004E42DD">
        <w:t>egime</w:t>
      </w:r>
      <w:r w:rsidR="00DB3BBA">
        <w:t xml:space="preserve"> (Cost Adjustments)</w:t>
      </w:r>
      <w:r w:rsidR="00C26930" w:rsidRPr="004E42DD">
        <w:t xml:space="preserve"> based on the relationship between the </w:t>
      </w:r>
      <w:r w:rsidR="00CC4631">
        <w:t>Actual Outturn Cost (</w:t>
      </w:r>
      <w:r w:rsidR="00C26930" w:rsidRPr="004E42DD">
        <w:t>AOC</w:t>
      </w:r>
      <w:r w:rsidR="00CC4631">
        <w:t>)</w:t>
      </w:r>
      <w:r w:rsidR="00C26930" w:rsidRPr="004E42DD">
        <w:t xml:space="preserve"> and </w:t>
      </w:r>
      <w:r w:rsidR="003863BE">
        <w:t>the</w:t>
      </w:r>
      <w:r w:rsidR="00A879D4">
        <w:t xml:space="preserve"> </w:t>
      </w:r>
      <w:r w:rsidR="00C26930" w:rsidRPr="004E42DD">
        <w:t>TOC</w:t>
      </w:r>
      <w:r w:rsidR="00686826">
        <w:t>;</w:t>
      </w:r>
    </w:p>
    <w:p w14:paraId="23C52ACA" w14:textId="7538829B" w:rsidR="00C26930" w:rsidRPr="004E42DD" w:rsidRDefault="00C26930" w:rsidP="000D52B3">
      <w:pPr>
        <w:pStyle w:val="Bulletindent"/>
      </w:pPr>
      <w:r w:rsidRPr="004E42DD">
        <w:t xml:space="preserve">Performance </w:t>
      </w:r>
      <w:r w:rsidR="00D04777">
        <w:t>R</w:t>
      </w:r>
      <w:r w:rsidRPr="004E42DD">
        <w:t xml:space="preserve">eward </w:t>
      </w:r>
      <w:r w:rsidR="00D04777">
        <w:t>A</w:t>
      </w:r>
      <w:r w:rsidRPr="004E42DD">
        <w:t xml:space="preserve">mounts under the </w:t>
      </w:r>
      <w:r w:rsidR="00D04777">
        <w:t>R</w:t>
      </w:r>
      <w:r w:rsidRPr="004E42DD">
        <w:t xml:space="preserve">isk or </w:t>
      </w:r>
      <w:r w:rsidR="00D04777">
        <w:t>R</w:t>
      </w:r>
      <w:r w:rsidRPr="004E42DD">
        <w:t xml:space="preserve">eward </w:t>
      </w:r>
      <w:r w:rsidR="00D04777">
        <w:t>R</w:t>
      </w:r>
      <w:r w:rsidRPr="004E42DD">
        <w:t>egime based on the achievement of agreed KRAs (and supporting</w:t>
      </w:r>
      <w:r w:rsidR="003D416C">
        <w:t xml:space="preserve"> </w:t>
      </w:r>
      <w:r w:rsidR="00601C34">
        <w:t>K</w:t>
      </w:r>
      <w:r w:rsidR="003D416C">
        <w:t xml:space="preserve">ey </w:t>
      </w:r>
      <w:r w:rsidR="00601C34">
        <w:t>P</w:t>
      </w:r>
      <w:r w:rsidR="003D416C">
        <w:t xml:space="preserve">erformance </w:t>
      </w:r>
      <w:r w:rsidR="00601C34">
        <w:t>I</w:t>
      </w:r>
      <w:r w:rsidR="003D416C">
        <w:t>ndicators</w:t>
      </w:r>
      <w:r w:rsidRPr="004E42DD">
        <w:t xml:space="preserve"> </w:t>
      </w:r>
      <w:r w:rsidR="00601C34">
        <w:t>(</w:t>
      </w:r>
      <w:r w:rsidRPr="004E42DD">
        <w:t>KPIs</w:t>
      </w:r>
      <w:r w:rsidR="00601C34">
        <w:t>)</w:t>
      </w:r>
      <w:r w:rsidRPr="004E42DD">
        <w:t>)</w:t>
      </w:r>
      <w:r w:rsidR="00686826">
        <w:t>; and</w:t>
      </w:r>
    </w:p>
    <w:p w14:paraId="5ADC2861" w14:textId="576B1835" w:rsidR="00C26930" w:rsidRPr="004E42DD" w:rsidRDefault="00C26930" w:rsidP="000D52B3">
      <w:pPr>
        <w:pStyle w:val="Bulletindent"/>
      </w:pPr>
      <w:r w:rsidRPr="004E42DD">
        <w:t xml:space="preserve">Adjustment </w:t>
      </w:r>
      <w:r w:rsidR="00D04777">
        <w:t>E</w:t>
      </w:r>
      <w:r w:rsidRPr="004E42DD">
        <w:t xml:space="preserve">vents resulting in </w:t>
      </w:r>
      <w:r w:rsidR="00686826">
        <w:t xml:space="preserve">a </w:t>
      </w:r>
      <w:r w:rsidRPr="004E42DD">
        <w:t xml:space="preserve">revision </w:t>
      </w:r>
      <w:r w:rsidR="00686826">
        <w:t>of</w:t>
      </w:r>
      <w:r w:rsidR="00686826" w:rsidRPr="004E42DD">
        <w:t xml:space="preserve"> </w:t>
      </w:r>
      <w:r w:rsidRPr="004E42DD">
        <w:t>the TOC</w:t>
      </w:r>
      <w:r w:rsidR="00686826">
        <w:t>,</w:t>
      </w:r>
      <w:r w:rsidRPr="004E42DD">
        <w:t xml:space="preserve"> as specified in the </w:t>
      </w:r>
      <w:r w:rsidR="00D04777">
        <w:t>A</w:t>
      </w:r>
      <w:r w:rsidR="006C3332">
        <w:t xml:space="preserve">djustment </w:t>
      </w:r>
      <w:r w:rsidR="00D04777">
        <w:t>E</w:t>
      </w:r>
      <w:r w:rsidR="006C3332">
        <w:t xml:space="preserve">vent </w:t>
      </w:r>
      <w:r w:rsidR="00D04777">
        <w:t>G</w:t>
      </w:r>
      <w:r w:rsidR="006C3332">
        <w:t>uidelines</w:t>
      </w:r>
      <w:r w:rsidRPr="004E42DD">
        <w:t>.</w:t>
      </w:r>
    </w:p>
    <w:bookmarkEnd w:id="256"/>
    <w:p w14:paraId="4B05FC4F" w14:textId="68E50A56" w:rsidR="00C26930" w:rsidRPr="00D04777" w:rsidRDefault="00C26930" w:rsidP="00BD2343">
      <w:pPr>
        <w:pStyle w:val="NormalIndent"/>
      </w:pPr>
      <w:r w:rsidRPr="004E42DD">
        <w:t xml:space="preserve">The </w:t>
      </w:r>
      <w:r w:rsidR="004945F7">
        <w:t>p</w:t>
      </w:r>
      <w:r w:rsidRPr="004E42DD">
        <w:t xml:space="preserve">rocuring </w:t>
      </w:r>
      <w:r w:rsidR="004945F7">
        <w:t>a</w:t>
      </w:r>
      <w:r w:rsidRPr="004E42DD">
        <w:t xml:space="preserve">gency should validate </w:t>
      </w:r>
      <w:r w:rsidR="00D04777">
        <w:t>C</w:t>
      </w:r>
      <w:r w:rsidR="00184A02">
        <w:t>ontractor</w:t>
      </w:r>
      <w:r w:rsidRPr="004E42DD">
        <w:t xml:space="preserve"> claims prior to payments</w:t>
      </w:r>
      <w:r w:rsidR="004945F7">
        <w:t>. This</w:t>
      </w:r>
      <w:r w:rsidRPr="004E42DD" w:rsidDel="00032199">
        <w:t xml:space="preserve"> </w:t>
      </w:r>
      <w:r w:rsidRPr="004E42DD">
        <w:t>confirm</w:t>
      </w:r>
      <w:r w:rsidR="00032199">
        <w:t>s</w:t>
      </w:r>
      <w:r w:rsidR="009A72E0">
        <w:t xml:space="preserve"> that</w:t>
      </w:r>
      <w:r w:rsidRPr="004E42DD">
        <w:t xml:space="preserve"> the work relates to the </w:t>
      </w:r>
      <w:r w:rsidR="004945F7">
        <w:t>p</w:t>
      </w:r>
      <w:r w:rsidRPr="004E42DD">
        <w:t xml:space="preserve">roject and all costs claimed are reimbursable </w:t>
      </w:r>
      <w:r w:rsidR="004945F7">
        <w:t>in line with</w:t>
      </w:r>
      <w:r w:rsidRPr="004E42DD">
        <w:t xml:space="preserve"> the contract. In addition, the </w:t>
      </w:r>
      <w:r w:rsidR="004945F7">
        <w:t>p</w:t>
      </w:r>
      <w:r w:rsidRPr="004E42DD">
        <w:t xml:space="preserve">rocuring </w:t>
      </w:r>
      <w:r w:rsidR="004945F7">
        <w:t>a</w:t>
      </w:r>
      <w:r w:rsidRPr="004E42DD">
        <w:t xml:space="preserve">gency should consider </w:t>
      </w:r>
      <w:r w:rsidR="004945F7">
        <w:t xml:space="preserve">using </w:t>
      </w:r>
      <w:r w:rsidRPr="004E42DD">
        <w:t xml:space="preserve">an </w:t>
      </w:r>
      <w:r w:rsidR="004945F7">
        <w:t>i</w:t>
      </w:r>
      <w:r w:rsidRPr="004E42DD">
        <w:t xml:space="preserve">ndependent </w:t>
      </w:r>
      <w:r w:rsidR="004945F7">
        <w:t>a</w:t>
      </w:r>
      <w:r w:rsidRPr="004E42DD">
        <w:t xml:space="preserve">uditor to verify that </w:t>
      </w:r>
      <w:r w:rsidRPr="00D04777">
        <w:t xml:space="preserve">the project is progressing as reported and </w:t>
      </w:r>
      <w:r w:rsidR="003A78B3">
        <w:t>P</w:t>
      </w:r>
      <w:r>
        <w:t xml:space="preserve">ayment </w:t>
      </w:r>
      <w:r w:rsidR="003A78B3">
        <w:t>C</w:t>
      </w:r>
      <w:r>
        <w:t>laims</w:t>
      </w:r>
      <w:r w:rsidRPr="00D04777">
        <w:t xml:space="preserve"> reflect this. The scope of the independent auditor</w:t>
      </w:r>
      <w:r w:rsidR="004945F7">
        <w:t>’s work</w:t>
      </w:r>
      <w:r w:rsidRPr="00D04777">
        <w:t xml:space="preserve"> should include confirmation that </w:t>
      </w:r>
      <w:r w:rsidR="004945F7">
        <w:t>d</w:t>
      </w:r>
      <w:r w:rsidRPr="00D04777">
        <w:t xml:space="preserve">irect </w:t>
      </w:r>
      <w:r w:rsidR="004945F7">
        <w:t>c</w:t>
      </w:r>
      <w:r w:rsidRPr="00D04777">
        <w:t xml:space="preserve">osts, </w:t>
      </w:r>
      <w:r w:rsidR="00AF27D6" w:rsidRPr="00D04777">
        <w:t>COP</w:t>
      </w:r>
      <w:r w:rsidRPr="00D04777">
        <w:t xml:space="preserve"> and </w:t>
      </w:r>
      <w:r w:rsidR="00DB3BBA">
        <w:t>C</w:t>
      </w:r>
      <w:r w:rsidRPr="00D04777">
        <w:t xml:space="preserve">ost </w:t>
      </w:r>
      <w:r w:rsidR="00DB3BBA">
        <w:t>A</w:t>
      </w:r>
      <w:r w:rsidRPr="00D04777">
        <w:t xml:space="preserve">djustment payments are in accordance with the ITC Delivery </w:t>
      </w:r>
      <w:r w:rsidR="007B207A" w:rsidRPr="00D04777">
        <w:t>Deed</w:t>
      </w:r>
      <w:r w:rsidR="004945F7">
        <w:t xml:space="preserve">. The auditor should also </w:t>
      </w:r>
      <w:r w:rsidRPr="00D04777">
        <w:t>review internal systems and procedures.</w:t>
      </w:r>
    </w:p>
    <w:bookmarkEnd w:id="257"/>
    <w:p w14:paraId="3FAD5231" w14:textId="37D664B0" w:rsidR="00C26930" w:rsidRPr="00C26930" w:rsidRDefault="00C26930" w:rsidP="00382569">
      <w:pPr>
        <w:pStyle w:val="Heading3numbered"/>
      </w:pPr>
      <w:r w:rsidRPr="00C26930">
        <w:t xml:space="preserve">Assessing entitlement to </w:t>
      </w:r>
      <w:r w:rsidR="007E2E78">
        <w:t>R</w:t>
      </w:r>
      <w:r w:rsidRPr="00C26930">
        <w:t xml:space="preserve">isk </w:t>
      </w:r>
      <w:r w:rsidR="007E2E78">
        <w:t>or</w:t>
      </w:r>
      <w:r w:rsidRPr="00C26930">
        <w:t xml:space="preserve"> </w:t>
      </w:r>
      <w:r w:rsidR="007E2E78">
        <w:t>R</w:t>
      </w:r>
      <w:r w:rsidRPr="00C26930">
        <w:t xml:space="preserve">eward </w:t>
      </w:r>
      <w:r w:rsidR="007E2E78">
        <w:t>R</w:t>
      </w:r>
      <w:r w:rsidRPr="00C26930">
        <w:t>egime</w:t>
      </w:r>
    </w:p>
    <w:p w14:paraId="7737066D" w14:textId="6510FB61" w:rsidR="00C26930" w:rsidRPr="00832494" w:rsidRDefault="00C26930" w:rsidP="00292E6E">
      <w:pPr>
        <w:pStyle w:val="NormalIndent"/>
        <w:keepNext/>
      </w:pPr>
      <w:r w:rsidRPr="00832494">
        <w:t xml:space="preserve">The </w:t>
      </w:r>
      <w:r w:rsidR="00C179F9" w:rsidRPr="00832494">
        <w:t>R</w:t>
      </w:r>
      <w:r w:rsidRPr="00832494">
        <w:t xml:space="preserve">isk </w:t>
      </w:r>
      <w:r w:rsidR="00C179F9" w:rsidRPr="00832494">
        <w:t>or</w:t>
      </w:r>
      <w:r w:rsidRPr="00832494">
        <w:t xml:space="preserve"> </w:t>
      </w:r>
      <w:r w:rsidR="00C179F9" w:rsidRPr="00832494">
        <w:t>R</w:t>
      </w:r>
      <w:r w:rsidRPr="00832494">
        <w:t xml:space="preserve">eward </w:t>
      </w:r>
      <w:r w:rsidR="00C179F9" w:rsidRPr="00832494">
        <w:t>R</w:t>
      </w:r>
      <w:r w:rsidRPr="00832494">
        <w:t xml:space="preserve">egime provides cost and performance incentives to drive </w:t>
      </w:r>
      <w:r w:rsidR="00D04777" w:rsidRPr="00832494">
        <w:t>C</w:t>
      </w:r>
      <w:r w:rsidR="00184A02" w:rsidRPr="00832494">
        <w:t>ontractor</w:t>
      </w:r>
      <w:r w:rsidRPr="00832494">
        <w:t xml:space="preserve"> behaviour. The </w:t>
      </w:r>
      <w:r w:rsidR="00C179F9" w:rsidRPr="00832494">
        <w:t>R</w:t>
      </w:r>
      <w:r w:rsidRPr="00832494">
        <w:t xml:space="preserve">isk </w:t>
      </w:r>
      <w:r w:rsidR="00C179F9" w:rsidRPr="00832494">
        <w:t>or R</w:t>
      </w:r>
      <w:r w:rsidRPr="00832494">
        <w:t xml:space="preserve">eward </w:t>
      </w:r>
      <w:r w:rsidR="00C179F9" w:rsidRPr="00832494">
        <w:t>R</w:t>
      </w:r>
      <w:r w:rsidRPr="00832494">
        <w:t xml:space="preserve">egime </w:t>
      </w:r>
      <w:r w:rsidR="009122F2">
        <w:t xml:space="preserve">is </w:t>
      </w:r>
      <w:r>
        <w:t>comprise</w:t>
      </w:r>
      <w:r w:rsidR="009122F2">
        <w:t>d</w:t>
      </w:r>
      <w:r w:rsidRPr="00832494">
        <w:t xml:space="preserve"> of</w:t>
      </w:r>
      <w:r w:rsidRPr="00832494" w:rsidDel="003A74C9">
        <w:t xml:space="preserve"> </w:t>
      </w:r>
      <w:r w:rsidR="003A74C9">
        <w:t xml:space="preserve">the following </w:t>
      </w:r>
      <w:r w:rsidRPr="00832494">
        <w:t>two key elements</w:t>
      </w:r>
      <w:r w:rsidR="003A74C9">
        <w:t>.</w:t>
      </w:r>
    </w:p>
    <w:p w14:paraId="14FE81A1" w14:textId="4D04199F" w:rsidR="00C26930" w:rsidRPr="000F3FF6" w:rsidRDefault="004945F7" w:rsidP="00292E6E">
      <w:pPr>
        <w:pStyle w:val="Bulletindent"/>
        <w:keepNext/>
        <w:rPr>
          <w:rFonts w:eastAsia="Arial"/>
        </w:rPr>
      </w:pPr>
      <w:r>
        <w:rPr>
          <w:rFonts w:eastAsia="Arial"/>
          <w:b/>
          <w:bCs/>
        </w:rPr>
        <w:t>C</w:t>
      </w:r>
      <w:r w:rsidR="00C26930" w:rsidRPr="000F3FF6">
        <w:rPr>
          <w:rFonts w:eastAsia="Arial"/>
          <w:b/>
          <w:bCs/>
        </w:rPr>
        <w:t xml:space="preserve">ost </w:t>
      </w:r>
      <w:r w:rsidR="00C77D25">
        <w:rPr>
          <w:rFonts w:eastAsia="Arial"/>
          <w:b/>
          <w:bCs/>
        </w:rPr>
        <w:t>A</w:t>
      </w:r>
      <w:r w:rsidR="00C26930" w:rsidRPr="000F3FF6">
        <w:rPr>
          <w:rFonts w:eastAsia="Arial"/>
          <w:b/>
          <w:bCs/>
        </w:rPr>
        <w:t>djustment</w:t>
      </w:r>
      <w:r w:rsidR="00E36E2A">
        <w:rPr>
          <w:rFonts w:eastAsia="Arial"/>
          <w:b/>
          <w:bCs/>
        </w:rPr>
        <w:t xml:space="preserve">. </w:t>
      </w:r>
      <w:r w:rsidR="00E36E2A" w:rsidRPr="0786B4E1">
        <w:rPr>
          <w:rFonts w:eastAsia="Arial"/>
        </w:rPr>
        <w:t>This is</w:t>
      </w:r>
      <w:r w:rsidR="00C26930" w:rsidRPr="000F3FF6">
        <w:rPr>
          <w:rFonts w:eastAsia="Arial"/>
          <w:b/>
          <w:bCs/>
        </w:rPr>
        <w:t xml:space="preserve"> </w:t>
      </w:r>
      <w:r w:rsidR="00C26930" w:rsidRPr="000F3FF6">
        <w:rPr>
          <w:rFonts w:eastAsia="Arial"/>
        </w:rPr>
        <w:t xml:space="preserve">a mechanism for the </w:t>
      </w:r>
      <w:r w:rsidR="00D04777">
        <w:rPr>
          <w:rFonts w:eastAsia="Arial"/>
        </w:rPr>
        <w:t>C</w:t>
      </w:r>
      <w:r w:rsidR="00184A02">
        <w:rPr>
          <w:rFonts w:eastAsia="Arial"/>
        </w:rPr>
        <w:t>ontractor</w:t>
      </w:r>
      <w:r w:rsidR="00C26930" w:rsidRPr="000F3FF6">
        <w:rPr>
          <w:rFonts w:eastAsia="Arial"/>
        </w:rPr>
        <w:t xml:space="preserve"> and the </w:t>
      </w:r>
      <w:r w:rsidR="0099451F">
        <w:rPr>
          <w:rFonts w:eastAsia="Arial"/>
        </w:rPr>
        <w:t>S</w:t>
      </w:r>
      <w:r w:rsidR="00C26930" w:rsidRPr="23669252">
        <w:rPr>
          <w:rFonts w:eastAsia="Arial"/>
        </w:rPr>
        <w:t>tate</w:t>
      </w:r>
      <w:r w:rsidR="00C26930" w:rsidRPr="000F3FF6">
        <w:rPr>
          <w:rFonts w:eastAsia="Arial"/>
        </w:rPr>
        <w:t xml:space="preserve"> to share </w:t>
      </w:r>
      <w:r w:rsidR="00C26930">
        <w:rPr>
          <w:rFonts w:eastAsia="Arial"/>
        </w:rPr>
        <w:t>cost</w:t>
      </w:r>
      <w:r w:rsidR="00C26930" w:rsidRPr="000F3FF6">
        <w:rPr>
          <w:rFonts w:eastAsia="Arial"/>
        </w:rPr>
        <w:t xml:space="preserve"> over</w:t>
      </w:r>
      <w:r w:rsidR="00043711">
        <w:rPr>
          <w:rFonts w:eastAsia="Arial"/>
        </w:rPr>
        <w:t>runs</w:t>
      </w:r>
      <w:r w:rsidR="00C26930" w:rsidRPr="000F3FF6">
        <w:rPr>
          <w:rFonts w:eastAsia="Arial"/>
        </w:rPr>
        <w:t xml:space="preserve"> and </w:t>
      </w:r>
      <w:r w:rsidR="00C26930" w:rsidRPr="0786B4E1">
        <w:rPr>
          <w:rFonts w:eastAsia="Arial"/>
        </w:rPr>
        <w:t>underruns</w:t>
      </w:r>
      <w:r w:rsidR="00C26930" w:rsidRPr="000F3FF6">
        <w:rPr>
          <w:rFonts w:eastAsia="Arial"/>
        </w:rPr>
        <w:t xml:space="preserve"> in delivering the project as compared to the TOC</w:t>
      </w:r>
      <w:r>
        <w:rPr>
          <w:rFonts w:eastAsia="Arial"/>
        </w:rPr>
        <w:t xml:space="preserve"> </w:t>
      </w:r>
      <w:r w:rsidR="00C26930" w:rsidRPr="000F3FF6">
        <w:rPr>
          <w:rFonts w:eastAsia="Arial"/>
        </w:rPr>
        <w:t xml:space="preserve">through a </w:t>
      </w:r>
      <w:r w:rsidR="00AA04ED">
        <w:rPr>
          <w:rFonts w:eastAsia="Arial"/>
        </w:rPr>
        <w:t>Gainshare/</w:t>
      </w:r>
      <w:r w:rsidR="00C179F9" w:rsidRPr="00BE64B5">
        <w:rPr>
          <w:rFonts w:ascii="VIC" w:eastAsia="Arial" w:hAnsi="VIC" w:cs="Arial"/>
        </w:rPr>
        <w:t>Painshare Adjustment</w:t>
      </w:r>
      <w:r>
        <w:rPr>
          <w:rFonts w:eastAsia="Arial"/>
        </w:rPr>
        <w:t>.</w:t>
      </w:r>
    </w:p>
    <w:p w14:paraId="02BFC50D" w14:textId="659770E0" w:rsidR="00C26930" w:rsidRPr="000F3FF6" w:rsidRDefault="00C26930" w:rsidP="000D52B3">
      <w:pPr>
        <w:pStyle w:val="Bulletindent"/>
        <w:rPr>
          <w:rFonts w:eastAsia="Arial"/>
        </w:rPr>
      </w:pPr>
      <w:r w:rsidRPr="000F3FF6">
        <w:rPr>
          <w:rFonts w:eastAsia="Arial"/>
          <w:b/>
          <w:bCs/>
        </w:rPr>
        <w:t xml:space="preserve">Performance </w:t>
      </w:r>
      <w:r w:rsidR="00C77D25">
        <w:rPr>
          <w:rFonts w:eastAsia="Arial"/>
          <w:b/>
          <w:bCs/>
        </w:rPr>
        <w:t>A</w:t>
      </w:r>
      <w:r w:rsidRPr="000F3FF6">
        <w:rPr>
          <w:rFonts w:eastAsia="Arial"/>
          <w:b/>
          <w:bCs/>
        </w:rPr>
        <w:t>djustment</w:t>
      </w:r>
      <w:r w:rsidR="00E36E2A" w:rsidRPr="23669252">
        <w:rPr>
          <w:rFonts w:eastAsia="Arial"/>
          <w:b/>
          <w:bCs/>
        </w:rPr>
        <w:t>.</w:t>
      </w:r>
      <w:r w:rsidRPr="000F3FF6">
        <w:rPr>
          <w:rFonts w:eastAsia="Arial"/>
        </w:rPr>
        <w:t xml:space="preserve"> </w:t>
      </w:r>
      <w:r w:rsidR="00E36E2A">
        <w:rPr>
          <w:rFonts w:eastAsia="Arial"/>
        </w:rPr>
        <w:t xml:space="preserve">This is </w:t>
      </w:r>
      <w:r w:rsidRPr="000F3FF6">
        <w:rPr>
          <w:rFonts w:eastAsia="Arial"/>
        </w:rPr>
        <w:t xml:space="preserve">a mechanism to incentivise the </w:t>
      </w:r>
      <w:r w:rsidR="00D04777">
        <w:rPr>
          <w:rFonts w:eastAsia="Arial"/>
        </w:rPr>
        <w:t>C</w:t>
      </w:r>
      <w:r w:rsidR="00184A02">
        <w:rPr>
          <w:rFonts w:eastAsia="Arial"/>
        </w:rPr>
        <w:t>ontractor</w:t>
      </w:r>
      <w:r w:rsidRPr="000F3FF6">
        <w:rPr>
          <w:rFonts w:eastAsia="Arial"/>
        </w:rPr>
        <w:t xml:space="preserve"> to deliver exceptional performance in non-financial objectives </w:t>
      </w:r>
      <w:r w:rsidR="004945F7">
        <w:rPr>
          <w:rFonts w:eastAsia="Arial"/>
        </w:rPr>
        <w:t>that</w:t>
      </w:r>
      <w:r w:rsidRPr="000F3FF6">
        <w:rPr>
          <w:rFonts w:eastAsia="Arial"/>
        </w:rPr>
        <w:t xml:space="preserve"> are important to the </w:t>
      </w:r>
      <w:r w:rsidR="0099451F">
        <w:rPr>
          <w:rFonts w:eastAsia="Arial"/>
        </w:rPr>
        <w:t>S</w:t>
      </w:r>
      <w:r w:rsidRPr="23669252">
        <w:rPr>
          <w:rFonts w:eastAsia="Arial"/>
        </w:rPr>
        <w:t>tate</w:t>
      </w:r>
      <w:r w:rsidR="004945F7">
        <w:rPr>
          <w:rFonts w:eastAsia="Arial"/>
        </w:rPr>
        <w:t>,</w:t>
      </w:r>
      <w:r w:rsidRPr="000F3FF6">
        <w:rPr>
          <w:rFonts w:eastAsia="Arial"/>
        </w:rPr>
        <w:t xml:space="preserve"> such as </w:t>
      </w:r>
      <w:r w:rsidR="004945F7" w:rsidRPr="000F3FF6">
        <w:rPr>
          <w:rFonts w:eastAsia="Arial"/>
        </w:rPr>
        <w:t>quality and safety</w:t>
      </w:r>
      <w:r w:rsidR="004945F7">
        <w:rPr>
          <w:rFonts w:eastAsia="Arial"/>
        </w:rPr>
        <w:t xml:space="preserve">, </w:t>
      </w:r>
      <w:r w:rsidRPr="000F3FF6">
        <w:rPr>
          <w:rFonts w:eastAsia="Arial"/>
        </w:rPr>
        <w:t>timely completion, community satisfaction</w:t>
      </w:r>
      <w:r w:rsidR="004945F7">
        <w:rPr>
          <w:rFonts w:eastAsia="Arial"/>
        </w:rPr>
        <w:t xml:space="preserve"> and other non</w:t>
      </w:r>
      <w:r w:rsidR="0099451F">
        <w:rPr>
          <w:rFonts w:eastAsia="Arial"/>
        </w:rPr>
        <w:noBreakHyphen/>
      </w:r>
      <w:r w:rsidR="004945F7">
        <w:rPr>
          <w:rFonts w:eastAsia="Arial"/>
        </w:rPr>
        <w:t>financial objectives.</w:t>
      </w:r>
    </w:p>
    <w:p w14:paraId="11F722BF" w14:textId="4DC23E9A" w:rsidR="00C26930" w:rsidRPr="004E42DD" w:rsidRDefault="00C26930" w:rsidP="00BD2343">
      <w:pPr>
        <w:pStyle w:val="NormalIndent"/>
      </w:pPr>
      <w:r w:rsidRPr="004E42DD">
        <w:t xml:space="preserve">The </w:t>
      </w:r>
      <w:r w:rsidR="00D04777">
        <w:t>R</w:t>
      </w:r>
      <w:r w:rsidRPr="004E42DD">
        <w:t xml:space="preserve">isk </w:t>
      </w:r>
      <w:r w:rsidR="00C179F9">
        <w:t>or</w:t>
      </w:r>
      <w:r w:rsidRPr="004E42DD">
        <w:t xml:space="preserve"> </w:t>
      </w:r>
      <w:r w:rsidR="00D04777">
        <w:t>R</w:t>
      </w:r>
      <w:r w:rsidRPr="004E42DD">
        <w:t xml:space="preserve">eward </w:t>
      </w:r>
      <w:r w:rsidR="00D04777">
        <w:t>R</w:t>
      </w:r>
      <w:r w:rsidRPr="004E42DD">
        <w:t>egime has been developed in practitioner workshops and is based on the approaches used in other ITC contracts in Victoria and New South Wales.</w:t>
      </w:r>
    </w:p>
    <w:p w14:paraId="50FCB482" w14:textId="53605B8D" w:rsidR="00C26930" w:rsidRPr="002B40AF" w:rsidRDefault="00C26930" w:rsidP="00BD2343">
      <w:pPr>
        <w:pStyle w:val="NormalIndent"/>
      </w:pPr>
      <w:r w:rsidRPr="004E42DD">
        <w:t xml:space="preserve">At the end of the project, the </w:t>
      </w:r>
      <w:r w:rsidR="004945F7">
        <w:t>p</w:t>
      </w:r>
      <w:r w:rsidRPr="004E42DD">
        <w:t xml:space="preserve">rocuring </w:t>
      </w:r>
      <w:r w:rsidR="004945F7">
        <w:t>a</w:t>
      </w:r>
      <w:r w:rsidRPr="004E42DD">
        <w:t xml:space="preserve">gency should use monitoring and reporting provided </w:t>
      </w:r>
      <w:r w:rsidR="004945F7">
        <w:t>up to that point (</w:t>
      </w:r>
      <w:r w:rsidRPr="004E42DD">
        <w:t>including verification of key metrics by an independent auditor if required</w:t>
      </w:r>
      <w:r w:rsidR="004945F7">
        <w:t>)</w:t>
      </w:r>
      <w:r w:rsidRPr="004E42DD">
        <w:t xml:space="preserve"> to confirm the payment entitlement under the </w:t>
      </w:r>
      <w:r w:rsidR="00D04777">
        <w:t>R</w:t>
      </w:r>
      <w:r w:rsidRPr="004E42DD">
        <w:t xml:space="preserve">isk </w:t>
      </w:r>
      <w:r w:rsidR="007E2E78">
        <w:t>or</w:t>
      </w:r>
      <w:r w:rsidRPr="004E42DD">
        <w:t xml:space="preserve"> </w:t>
      </w:r>
      <w:r w:rsidR="00D04777">
        <w:t>R</w:t>
      </w:r>
      <w:r w:rsidRPr="004E42DD">
        <w:t xml:space="preserve">eward </w:t>
      </w:r>
      <w:r w:rsidR="00D04777">
        <w:t>R</w:t>
      </w:r>
      <w:r w:rsidRPr="004E42DD">
        <w:t>egime. See section</w:t>
      </w:r>
      <w:r w:rsidR="00754976" w:rsidRPr="00754976">
        <w:rPr>
          <w:rFonts w:ascii="Calibri" w:hAnsi="Calibri" w:cs="Calibri"/>
        </w:rPr>
        <w:t> </w:t>
      </w:r>
      <w:r w:rsidRPr="004E42DD">
        <w:fldChar w:fldCharType="begin" w:fldLock="1"/>
      </w:r>
      <w:r w:rsidRPr="004E42DD">
        <w:instrText xml:space="preserve"> REF _Ref130925282 \r \h </w:instrText>
      </w:r>
      <w:r w:rsidR="004E42DD">
        <w:instrText xml:space="preserve"> \* MERGEFORMAT </w:instrText>
      </w:r>
      <w:r w:rsidRPr="004E42DD">
        <w:fldChar w:fldCharType="separate"/>
      </w:r>
      <w:r w:rsidR="00400321">
        <w:t>3.8</w:t>
      </w:r>
      <w:r w:rsidRPr="004E42DD">
        <w:fldChar w:fldCharType="end"/>
      </w:r>
      <w:r w:rsidRPr="004E42DD">
        <w:t xml:space="preserve"> for further information on monitoring and reporting requirements</w:t>
      </w:r>
      <w:r w:rsidRPr="00BE64B5">
        <w:rPr>
          <w:rFonts w:ascii="VIC" w:eastAsia="Arial" w:hAnsi="VIC" w:cs="Arial"/>
        </w:rPr>
        <w:t>.</w:t>
      </w:r>
    </w:p>
    <w:p w14:paraId="09A5B5C6" w14:textId="01D23D1F" w:rsidR="00C26930" w:rsidRPr="00C26930" w:rsidRDefault="00C26930" w:rsidP="004C4B48">
      <w:pPr>
        <w:pStyle w:val="Heading3numbered"/>
      </w:pPr>
      <w:r w:rsidRPr="00C26930">
        <w:t xml:space="preserve">Assessing </w:t>
      </w:r>
      <w:r w:rsidR="004945F7">
        <w:t>e</w:t>
      </w:r>
      <w:r w:rsidRPr="00C26930">
        <w:t xml:space="preserve">ntitlements to </w:t>
      </w:r>
      <w:r w:rsidR="00915094">
        <w:t>A</w:t>
      </w:r>
      <w:r w:rsidRPr="00C26930">
        <w:t xml:space="preserve">djustment </w:t>
      </w:r>
      <w:r w:rsidR="00915094">
        <w:t>E</w:t>
      </w:r>
      <w:r w:rsidRPr="00C26930">
        <w:t>vents</w:t>
      </w:r>
    </w:p>
    <w:p w14:paraId="353B188A" w14:textId="3D84F629" w:rsidR="00C26930" w:rsidRPr="004E42DD" w:rsidRDefault="00C26930" w:rsidP="00BD2343">
      <w:pPr>
        <w:pStyle w:val="NormalIndent"/>
        <w:rPr>
          <w:highlight w:val="yellow"/>
        </w:rPr>
      </w:pPr>
      <w:r w:rsidRPr="004E42DD">
        <w:t xml:space="preserve">While most costs are shared through the cost reimbursable model, the ITC Contract Suite allows </w:t>
      </w:r>
      <w:r w:rsidR="004945F7">
        <w:t xml:space="preserve">for </w:t>
      </w:r>
      <w:r w:rsidRPr="004E42DD">
        <w:t xml:space="preserve">both parties to revise the TOC, KRAs and the </w:t>
      </w:r>
      <w:r w:rsidR="004945F7">
        <w:t>d</w:t>
      </w:r>
      <w:r w:rsidRPr="004E42DD">
        <w:t xml:space="preserve">ates for </w:t>
      </w:r>
      <w:r w:rsidR="004945F7">
        <w:t>c</w:t>
      </w:r>
      <w:r w:rsidRPr="004E42DD">
        <w:t>ompletion</w:t>
      </w:r>
      <w:r w:rsidR="004945F7">
        <w:t>. These revisions</w:t>
      </w:r>
      <w:r w:rsidR="0013160E">
        <w:t>, mutually agreed upon,</w:t>
      </w:r>
      <w:r w:rsidR="004945F7">
        <w:t xml:space="preserve"> </w:t>
      </w:r>
      <w:r w:rsidR="0013160E">
        <w:t>consider</w:t>
      </w:r>
      <w:r w:rsidRPr="004E42DD">
        <w:t xml:space="preserve"> </w:t>
      </w:r>
      <w:r w:rsidR="004945F7">
        <w:t xml:space="preserve">unforeseen </w:t>
      </w:r>
      <w:r w:rsidRPr="004E42DD">
        <w:t>external events and circumstances. The</w:t>
      </w:r>
      <w:r w:rsidR="00C179F9">
        <w:t xml:space="preserve"> ITC Delivery</w:t>
      </w:r>
      <w:r w:rsidRPr="004E42DD">
        <w:t xml:space="preserve"> </w:t>
      </w:r>
      <w:r w:rsidR="00C179F9">
        <w:t>D</w:t>
      </w:r>
      <w:r w:rsidRPr="004E42DD">
        <w:t xml:space="preserve">eed </w:t>
      </w:r>
      <w:r w:rsidR="007E2E78">
        <w:t xml:space="preserve">lists </w:t>
      </w:r>
      <w:r w:rsidR="00C179F9">
        <w:t>the</w:t>
      </w:r>
      <w:r w:rsidRPr="004E42DD">
        <w:t xml:space="preserve"> unknown events that result in an </w:t>
      </w:r>
      <w:r w:rsidR="00C179F9">
        <w:t>A</w:t>
      </w:r>
      <w:r w:rsidRPr="004E42DD">
        <w:t xml:space="preserve">djustment </w:t>
      </w:r>
      <w:r w:rsidR="00C179F9">
        <w:t>E</w:t>
      </w:r>
      <w:r w:rsidRPr="004E42DD">
        <w:t>vent</w:t>
      </w:r>
      <w:r w:rsidR="0013160E">
        <w:t xml:space="preserve">. These </w:t>
      </w:r>
      <w:r w:rsidRPr="004E42DD">
        <w:t>not</w:t>
      </w:r>
      <w:r w:rsidR="0013160E">
        <w:t>e</w:t>
      </w:r>
      <w:r w:rsidRPr="004E42DD">
        <w:t xml:space="preserve"> that most costs should be addressed by the </w:t>
      </w:r>
      <w:r w:rsidR="00C179F9" w:rsidRPr="00BE64B5">
        <w:rPr>
          <w:rFonts w:ascii="VIC" w:eastAsia="Arial" w:hAnsi="VIC" w:cs="Arial"/>
        </w:rPr>
        <w:t>Gainshare</w:t>
      </w:r>
      <w:r w:rsidR="00AA04ED" w:rsidRPr="00BE64B5">
        <w:rPr>
          <w:rFonts w:ascii="VIC" w:eastAsia="Arial" w:hAnsi="VIC" w:cs="Arial"/>
        </w:rPr>
        <w:t>/Painshare</w:t>
      </w:r>
      <w:r w:rsidR="00C179F9" w:rsidRPr="00BE64B5">
        <w:rPr>
          <w:rFonts w:ascii="VIC" w:eastAsia="Arial" w:hAnsi="VIC" w:cs="Arial"/>
        </w:rPr>
        <w:t xml:space="preserve"> Adjustment</w:t>
      </w:r>
      <w:r w:rsidRPr="00A56F5B">
        <w:t>, consistent with the risk</w:t>
      </w:r>
      <w:r w:rsidR="00431DFA">
        <w:t>-</w:t>
      </w:r>
      <w:r w:rsidRPr="00A56F5B">
        <w:t>sharing nature of the ITC model</w:t>
      </w:r>
      <w:r w:rsidR="0013160E" w:rsidRPr="00A56F5B">
        <w:t xml:space="preserve">. The </w:t>
      </w:r>
      <w:r w:rsidRPr="00A56F5B">
        <w:t xml:space="preserve">model allows for extensive due diligence prior to confirming the TOC. The </w:t>
      </w:r>
      <w:r w:rsidR="007E2E78" w:rsidRPr="00A56F5B">
        <w:t>A</w:t>
      </w:r>
      <w:r w:rsidRPr="00A56F5B">
        <w:t xml:space="preserve">djustment </w:t>
      </w:r>
      <w:r w:rsidR="007E2E78" w:rsidRPr="00A56F5B">
        <w:t>E</w:t>
      </w:r>
      <w:r w:rsidRPr="00A56F5B">
        <w:t xml:space="preserve">vents </w:t>
      </w:r>
      <w:r w:rsidR="00C179F9" w:rsidRPr="00A56F5B">
        <w:t xml:space="preserve">are listed in </w:t>
      </w:r>
      <w:r w:rsidR="00E01173">
        <w:t>S</w:t>
      </w:r>
      <w:r w:rsidR="00C179F9" w:rsidRPr="00A56F5B">
        <w:t>chedule</w:t>
      </w:r>
      <w:r w:rsidR="00754976" w:rsidRPr="00754976">
        <w:rPr>
          <w:rFonts w:ascii="Calibri" w:hAnsi="Calibri" w:cs="Calibri"/>
        </w:rPr>
        <w:t> </w:t>
      </w:r>
      <w:r w:rsidR="00C179F9" w:rsidRPr="00A56F5B">
        <w:t>1</w:t>
      </w:r>
      <w:r w:rsidR="00625C21">
        <w:t>5</w:t>
      </w:r>
      <w:r w:rsidR="00C179F9" w:rsidRPr="00A56F5B">
        <w:t xml:space="preserve"> to the ITC Delivery Deed</w:t>
      </w:r>
      <w:r w:rsidRPr="00A56F5B">
        <w:t>.</w:t>
      </w:r>
    </w:p>
    <w:p w14:paraId="2223B19A" w14:textId="4C207301" w:rsidR="00C26930" w:rsidRPr="004E42DD" w:rsidRDefault="00C26930" w:rsidP="00BD2343">
      <w:pPr>
        <w:pStyle w:val="NormalIndent"/>
      </w:pPr>
      <w:r w:rsidRPr="004E42DD">
        <w:t xml:space="preserve">The ITC Delivery Deed provides for a mechanism to adjust the TOC, KRAs and the </w:t>
      </w:r>
      <w:r w:rsidR="0013160E">
        <w:t>d</w:t>
      </w:r>
      <w:r w:rsidRPr="004E42DD">
        <w:t xml:space="preserve">ates for </w:t>
      </w:r>
      <w:r w:rsidR="0013160E">
        <w:t>c</w:t>
      </w:r>
      <w:r w:rsidRPr="004E42DD">
        <w:t xml:space="preserve">ompletion. The </w:t>
      </w:r>
      <w:r w:rsidR="00D04777">
        <w:t>C</w:t>
      </w:r>
      <w:r w:rsidR="00184A02">
        <w:t>ontractor</w:t>
      </w:r>
      <w:r w:rsidRPr="004E42DD">
        <w:t xml:space="preserve"> is entitled to </w:t>
      </w:r>
      <w:r w:rsidR="00D04777">
        <w:t>A</w:t>
      </w:r>
      <w:r w:rsidRPr="004E42DD">
        <w:t xml:space="preserve">djustment </w:t>
      </w:r>
      <w:r w:rsidR="00D04777">
        <w:t>E</w:t>
      </w:r>
      <w:r w:rsidRPr="004E42DD">
        <w:t>vents</w:t>
      </w:r>
      <w:r w:rsidR="00C8481A">
        <w:t xml:space="preserve">, which include </w:t>
      </w:r>
      <w:r w:rsidRPr="004E42DD">
        <w:t>extensions of time</w:t>
      </w:r>
      <w:r w:rsidR="00B11DC8">
        <w:t xml:space="preserve"> and</w:t>
      </w:r>
      <w:r w:rsidRPr="004E42DD">
        <w:t xml:space="preserve"> adjustments to the TOC or the KRAs</w:t>
      </w:r>
      <w:r w:rsidR="00B11DC8">
        <w:t>,</w:t>
      </w:r>
      <w:r w:rsidRPr="004E42DD">
        <w:t xml:space="preserve"> depending on the event. The </w:t>
      </w:r>
      <w:r w:rsidR="0013160E">
        <w:t>p</w:t>
      </w:r>
      <w:r w:rsidRPr="004E42DD">
        <w:t xml:space="preserve">rocuring </w:t>
      </w:r>
      <w:r w:rsidR="0013160E">
        <w:t>a</w:t>
      </w:r>
      <w:r w:rsidRPr="004E42DD">
        <w:t xml:space="preserve">gency should consider on a </w:t>
      </w:r>
      <w:r w:rsidR="00C8481A" w:rsidRPr="004E42DD">
        <w:t>case-by-case</w:t>
      </w:r>
      <w:r w:rsidRPr="004E42DD">
        <w:t xml:space="preserve"> basis whether COP should be included in the </w:t>
      </w:r>
      <w:r w:rsidR="00D04777">
        <w:t>A</w:t>
      </w:r>
      <w:r w:rsidRPr="004E42DD">
        <w:t xml:space="preserve">djustment </w:t>
      </w:r>
      <w:r w:rsidR="00D04777">
        <w:t>E</w:t>
      </w:r>
      <w:r w:rsidRPr="004E42DD">
        <w:t>vent, noting that there may be scenarios where excluding COP may significantly disincentivise performance and negatively impact on achievement of project objectives.</w:t>
      </w:r>
    </w:p>
    <w:p w14:paraId="7028DFB4" w14:textId="2CE1EA4C" w:rsidR="608B40B3" w:rsidRPr="00BE64B5" w:rsidRDefault="608B40B3" w:rsidP="00BD2343">
      <w:pPr>
        <w:pStyle w:val="NormalIndent"/>
        <w:rPr>
          <w:rFonts w:ascii="VIC" w:eastAsia="Arial" w:hAnsi="VIC" w:cs="Arial"/>
        </w:rPr>
      </w:pPr>
      <w:r w:rsidRPr="004E42DD">
        <w:t xml:space="preserve">There are some acts, events </w:t>
      </w:r>
      <w:r w:rsidR="00333897">
        <w:t>and</w:t>
      </w:r>
      <w:r w:rsidR="00333897" w:rsidRPr="004E42DD">
        <w:t xml:space="preserve"> </w:t>
      </w:r>
      <w:r w:rsidRPr="004E42DD">
        <w:t xml:space="preserve">circumstances that only constitute an </w:t>
      </w:r>
      <w:r w:rsidR="00D04777">
        <w:t>A</w:t>
      </w:r>
      <w:r w:rsidRPr="004E42DD">
        <w:t xml:space="preserve">djustment </w:t>
      </w:r>
      <w:r w:rsidR="00D04777">
        <w:t>E</w:t>
      </w:r>
      <w:r w:rsidRPr="004E42DD">
        <w:t>vent (</w:t>
      </w:r>
      <w:r w:rsidR="00D04777">
        <w:t>C</w:t>
      </w:r>
      <w:r w:rsidRPr="004E42DD">
        <w:t>ost)</w:t>
      </w:r>
      <w:r w:rsidR="00290B1A">
        <w:t xml:space="preserve">. This is </w:t>
      </w:r>
      <w:r w:rsidRPr="004E42DD">
        <w:t xml:space="preserve">where the </w:t>
      </w:r>
      <w:r w:rsidR="00D04777">
        <w:t>C</w:t>
      </w:r>
      <w:r w:rsidR="00184A02">
        <w:t>ontractor</w:t>
      </w:r>
      <w:r w:rsidRPr="004E42DD">
        <w:t xml:space="preserve"> has</w:t>
      </w:r>
      <w:r w:rsidRPr="00BE64B5">
        <w:rPr>
          <w:rFonts w:ascii="VIC" w:eastAsia="Arial" w:hAnsi="VIC" w:cs="Arial"/>
        </w:rPr>
        <w:t xml:space="preserve"> been granted an extension of time to a </w:t>
      </w:r>
      <w:r w:rsidR="00FD2D82" w:rsidRPr="00BE64B5">
        <w:rPr>
          <w:rFonts w:ascii="VIC" w:eastAsia="Arial" w:hAnsi="VIC" w:cs="Arial"/>
        </w:rPr>
        <w:t>D</w:t>
      </w:r>
      <w:r w:rsidRPr="00BE64B5">
        <w:rPr>
          <w:rFonts w:ascii="VIC" w:eastAsia="Arial" w:hAnsi="VIC" w:cs="Arial"/>
        </w:rPr>
        <w:t xml:space="preserve">ate for </w:t>
      </w:r>
      <w:r w:rsidR="00FD2D82" w:rsidRPr="00BE64B5">
        <w:rPr>
          <w:rFonts w:ascii="VIC" w:eastAsia="Arial" w:hAnsi="VIC" w:cs="Arial"/>
        </w:rPr>
        <w:t>C</w:t>
      </w:r>
      <w:r w:rsidRPr="00BE64B5">
        <w:rPr>
          <w:rFonts w:ascii="VIC" w:eastAsia="Arial" w:hAnsi="VIC" w:cs="Arial"/>
        </w:rPr>
        <w:t>ompletion</w:t>
      </w:r>
      <w:r w:rsidR="00BB0744">
        <w:rPr>
          <w:rFonts w:ascii="VIC" w:eastAsia="Arial" w:hAnsi="VIC" w:cs="Arial"/>
        </w:rPr>
        <w:t>,</w:t>
      </w:r>
      <w:r w:rsidRPr="00BE64B5">
        <w:rPr>
          <w:rFonts w:ascii="VIC" w:eastAsia="Arial" w:hAnsi="VIC" w:cs="Arial"/>
        </w:rPr>
        <w:t xml:space="preserve"> and the adjustment to the TOC only appl</w:t>
      </w:r>
      <w:r w:rsidR="00BB0744">
        <w:rPr>
          <w:rFonts w:ascii="VIC" w:eastAsia="Arial" w:hAnsi="VIC" w:cs="Arial"/>
        </w:rPr>
        <w:t>ies</w:t>
      </w:r>
      <w:r w:rsidRPr="00BE64B5">
        <w:rPr>
          <w:rFonts w:ascii="VIC" w:eastAsia="Arial" w:hAnsi="VIC" w:cs="Arial"/>
        </w:rPr>
        <w:t xml:space="preserve"> to time</w:t>
      </w:r>
      <w:r w:rsidR="006C4DA4">
        <w:rPr>
          <w:rFonts w:ascii="VIC" w:eastAsia="Arial" w:hAnsi="VIC" w:cs="Arial"/>
        </w:rPr>
        <w:noBreakHyphen/>
      </w:r>
      <w:r w:rsidRPr="00BE64B5">
        <w:rPr>
          <w:rFonts w:ascii="VIC" w:eastAsia="Arial" w:hAnsi="VIC" w:cs="Arial"/>
        </w:rPr>
        <w:t xml:space="preserve">related costs. This is to ensure that these </w:t>
      </w:r>
      <w:r w:rsidR="00D04777" w:rsidRPr="00BE64B5">
        <w:rPr>
          <w:rFonts w:ascii="VIC" w:eastAsia="Arial" w:hAnsi="VIC" w:cs="Arial"/>
        </w:rPr>
        <w:t>A</w:t>
      </w:r>
      <w:r w:rsidRPr="00BE64B5">
        <w:rPr>
          <w:rFonts w:ascii="VIC" w:eastAsia="Arial" w:hAnsi="VIC" w:cs="Arial"/>
        </w:rPr>
        <w:t xml:space="preserve">djustment </w:t>
      </w:r>
      <w:r w:rsidR="00D04777" w:rsidRPr="00BE64B5">
        <w:rPr>
          <w:rFonts w:ascii="VIC" w:eastAsia="Arial" w:hAnsi="VIC" w:cs="Arial"/>
        </w:rPr>
        <w:t>E</w:t>
      </w:r>
      <w:r w:rsidRPr="00BE64B5">
        <w:rPr>
          <w:rFonts w:ascii="VIC" w:eastAsia="Arial" w:hAnsi="VIC" w:cs="Arial"/>
        </w:rPr>
        <w:t xml:space="preserve">vents are sufficiently material to warrant paying relief to the </w:t>
      </w:r>
      <w:r w:rsidR="00D04777" w:rsidRPr="00BE64B5">
        <w:rPr>
          <w:rFonts w:ascii="VIC" w:eastAsia="Arial" w:hAnsi="VIC" w:cs="Arial"/>
        </w:rPr>
        <w:t>C</w:t>
      </w:r>
      <w:r w:rsidR="00184A02" w:rsidRPr="00BE64B5">
        <w:rPr>
          <w:rFonts w:ascii="VIC" w:eastAsia="Arial" w:hAnsi="VIC" w:cs="Arial"/>
        </w:rPr>
        <w:t>ontractor</w:t>
      </w:r>
      <w:r w:rsidRPr="00BE64B5">
        <w:rPr>
          <w:rFonts w:ascii="VIC" w:eastAsia="Arial" w:hAnsi="VIC" w:cs="Arial"/>
        </w:rPr>
        <w:t>.</w:t>
      </w:r>
    </w:p>
    <w:p w14:paraId="42E45803" w14:textId="0AB72632" w:rsidR="00C26930" w:rsidRPr="004E42DD" w:rsidRDefault="00C26930" w:rsidP="00BD2343">
      <w:pPr>
        <w:pStyle w:val="NormalIndent"/>
      </w:pPr>
      <w:r w:rsidRPr="00BE64B5">
        <w:rPr>
          <w:rFonts w:ascii="VIC" w:eastAsia="Arial" w:hAnsi="VIC" w:cs="Arial"/>
        </w:rPr>
        <w:t>Project</w:t>
      </w:r>
      <w:r w:rsidR="007C277D" w:rsidRPr="00BE64B5">
        <w:rPr>
          <w:rFonts w:ascii="VIC" w:eastAsia="Arial" w:hAnsi="VIC" w:cs="Arial"/>
        </w:rPr>
        <w:t>-specific</w:t>
      </w:r>
      <w:r w:rsidRPr="004E42DD">
        <w:t xml:space="preserve"> </w:t>
      </w:r>
      <w:r w:rsidR="00D04777">
        <w:t>A</w:t>
      </w:r>
      <w:r w:rsidRPr="004E42DD">
        <w:t xml:space="preserve">djustment </w:t>
      </w:r>
      <w:r w:rsidR="00D04777">
        <w:t>E</w:t>
      </w:r>
      <w:r w:rsidRPr="004E42DD">
        <w:t xml:space="preserve">vents, which impact the TOC </w:t>
      </w:r>
      <w:r w:rsidR="00290B1A">
        <w:t>(</w:t>
      </w:r>
      <w:r w:rsidRPr="004E42DD">
        <w:t xml:space="preserve">and by extension the </w:t>
      </w:r>
      <w:r w:rsidR="00D04777">
        <w:t>R</w:t>
      </w:r>
      <w:r w:rsidRPr="004E42DD">
        <w:t xml:space="preserve">isk </w:t>
      </w:r>
      <w:r w:rsidR="007E2E78">
        <w:t>or</w:t>
      </w:r>
      <w:r w:rsidRPr="004E42DD">
        <w:t xml:space="preserve"> </w:t>
      </w:r>
      <w:r w:rsidR="00D04777">
        <w:t>R</w:t>
      </w:r>
      <w:r w:rsidRPr="004E42DD">
        <w:t xml:space="preserve">eward </w:t>
      </w:r>
      <w:r w:rsidR="00D04777">
        <w:t>R</w:t>
      </w:r>
      <w:r w:rsidRPr="004E42DD">
        <w:t>egime</w:t>
      </w:r>
      <w:r w:rsidR="00290B1A">
        <w:t>)</w:t>
      </w:r>
      <w:r w:rsidRPr="004E42DD">
        <w:t xml:space="preserve">, can be determined on a case-by-case basis in accordance with the </w:t>
      </w:r>
      <w:r w:rsidR="00D04777">
        <w:t>A</w:t>
      </w:r>
      <w:r w:rsidRPr="004E42DD">
        <w:t xml:space="preserve">djustment </w:t>
      </w:r>
      <w:r w:rsidR="00D04777">
        <w:t>E</w:t>
      </w:r>
      <w:r w:rsidRPr="004E42DD">
        <w:t xml:space="preserve">vent </w:t>
      </w:r>
      <w:r w:rsidR="00D04777">
        <w:t>G</w:t>
      </w:r>
      <w:r w:rsidRPr="004E42DD">
        <w:t xml:space="preserve">uidelines. Procuring </w:t>
      </w:r>
      <w:r w:rsidR="0013160E">
        <w:t>a</w:t>
      </w:r>
      <w:r w:rsidRPr="004E42DD">
        <w:t>gencies should consult with DTF regarding project</w:t>
      </w:r>
      <w:r w:rsidR="007C277D">
        <w:t>-specific</w:t>
      </w:r>
      <w:r w:rsidRPr="004E42DD">
        <w:t xml:space="preserve"> </w:t>
      </w:r>
      <w:r w:rsidR="00D04777">
        <w:t>A</w:t>
      </w:r>
      <w:r w:rsidRPr="004E42DD">
        <w:t xml:space="preserve">djustment </w:t>
      </w:r>
      <w:r w:rsidR="00D04777">
        <w:t>E</w:t>
      </w:r>
      <w:r w:rsidRPr="004E42DD">
        <w:t>vents as part of the HVHR approvals processes.</w:t>
      </w:r>
    </w:p>
    <w:p w14:paraId="4D113857" w14:textId="4BB5F78E" w:rsidR="00C26930" w:rsidRPr="004E42DD" w:rsidRDefault="00C26930" w:rsidP="00BD2343">
      <w:pPr>
        <w:pStyle w:val="NormalIndent"/>
      </w:pPr>
      <w:r w:rsidRPr="004E42DD">
        <w:t xml:space="preserve">Care should be taken to ensure the agreed </w:t>
      </w:r>
      <w:r w:rsidR="00D04777">
        <w:t>A</w:t>
      </w:r>
      <w:r w:rsidRPr="004E42DD">
        <w:t xml:space="preserve">djustment </w:t>
      </w:r>
      <w:r w:rsidR="00D04777">
        <w:t>E</w:t>
      </w:r>
      <w:r w:rsidR="0013160E">
        <w:t>v</w:t>
      </w:r>
      <w:r w:rsidRPr="004E42DD">
        <w:t>ents are as targeted and specific as possible to avoid broad adjustments rights.</w:t>
      </w:r>
    </w:p>
    <w:p w14:paraId="28AB45DC" w14:textId="77777777" w:rsidR="00C26930" w:rsidRPr="00C26930" w:rsidRDefault="00C26930" w:rsidP="004C4B48">
      <w:pPr>
        <w:pStyle w:val="Heading2numbered"/>
      </w:pPr>
      <w:bookmarkStart w:id="258" w:name="_Toc130925438"/>
      <w:bookmarkStart w:id="259" w:name="_Toc130925445"/>
      <w:bookmarkStart w:id="260" w:name="_Toc130925451"/>
      <w:bookmarkStart w:id="261" w:name="_Toc130925459"/>
      <w:bookmarkStart w:id="262" w:name="_Toc130925465"/>
      <w:bookmarkStart w:id="263" w:name="_Toc130925471"/>
      <w:bookmarkStart w:id="264" w:name="_Toc130925477"/>
      <w:bookmarkStart w:id="265" w:name="_Toc130925483"/>
      <w:bookmarkStart w:id="266" w:name="_Toc130925489"/>
      <w:bookmarkStart w:id="267" w:name="_Toc130925495"/>
      <w:bookmarkStart w:id="268" w:name="_Toc130925501"/>
      <w:bookmarkStart w:id="269" w:name="_Toc130925507"/>
      <w:bookmarkStart w:id="270" w:name="_Toc130925519"/>
      <w:bookmarkStart w:id="271" w:name="_Toc130925525"/>
      <w:bookmarkStart w:id="272" w:name="_Toc130925531"/>
      <w:bookmarkStart w:id="273" w:name="_Toc130925537"/>
      <w:bookmarkStart w:id="274" w:name="_Toc130925543"/>
      <w:bookmarkStart w:id="275" w:name="_Toc130925544"/>
      <w:bookmarkStart w:id="276" w:name="_Toc130925545"/>
      <w:bookmarkStart w:id="277" w:name="_Toc130925546"/>
      <w:bookmarkStart w:id="278" w:name="_Toc130925547"/>
      <w:bookmarkStart w:id="279" w:name="_Toc130925548"/>
      <w:bookmarkStart w:id="280" w:name="_Toc130925559"/>
      <w:bookmarkStart w:id="281" w:name="_Toc130925560"/>
      <w:bookmarkStart w:id="282" w:name="_Toc130925561"/>
      <w:bookmarkStart w:id="283" w:name="_Toc130925562"/>
      <w:bookmarkStart w:id="284" w:name="_Toc130925563"/>
      <w:bookmarkStart w:id="285" w:name="_Toc130925564"/>
      <w:bookmarkStart w:id="286" w:name="_Toc130925565"/>
      <w:bookmarkStart w:id="287" w:name="_Toc130925566"/>
      <w:bookmarkStart w:id="288" w:name="_Toc130925567"/>
      <w:bookmarkStart w:id="289" w:name="_Toc130925568"/>
      <w:bookmarkStart w:id="290" w:name="_Toc130925569"/>
      <w:bookmarkStart w:id="291" w:name="_Toc130925570"/>
      <w:bookmarkStart w:id="292" w:name="_Toc130925571"/>
      <w:bookmarkStart w:id="293" w:name="_Toc130925572"/>
      <w:bookmarkStart w:id="294" w:name="_Toc130925573"/>
      <w:bookmarkStart w:id="295" w:name="_Toc130925574"/>
      <w:bookmarkStart w:id="296" w:name="_Toc130925575"/>
      <w:bookmarkStart w:id="297" w:name="_Toc130925576"/>
      <w:bookmarkStart w:id="298" w:name="_Ref130925282"/>
      <w:bookmarkStart w:id="299" w:name="_Toc130925577"/>
      <w:bookmarkStart w:id="300" w:name="_Toc133577877"/>
      <w:bookmarkStart w:id="301" w:name="_Toc14561257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C26930">
        <w:t>Monitoring and reporting</w:t>
      </w:r>
      <w:bookmarkEnd w:id="298"/>
      <w:bookmarkEnd w:id="299"/>
      <w:bookmarkEnd w:id="300"/>
      <w:bookmarkEnd w:id="301"/>
    </w:p>
    <w:p w14:paraId="4DA3E41C" w14:textId="7F3FAAC1" w:rsidR="00C26930" w:rsidRPr="004E42DD" w:rsidRDefault="00C26930" w:rsidP="00BD2343">
      <w:pPr>
        <w:pStyle w:val="NormalIndent"/>
      </w:pPr>
      <w:r w:rsidRPr="004E42DD">
        <w:t xml:space="preserve">On a regular basis, the </w:t>
      </w:r>
      <w:r w:rsidR="0013160E">
        <w:t>p</w:t>
      </w:r>
      <w:r w:rsidRPr="004E42DD">
        <w:t xml:space="preserve">rocuring </w:t>
      </w:r>
      <w:r w:rsidR="0013160E">
        <w:t>a</w:t>
      </w:r>
      <w:r w:rsidRPr="004E42DD">
        <w:t xml:space="preserve">gency should obtain reporting </w:t>
      </w:r>
      <w:r w:rsidR="00F70860">
        <w:t>that</w:t>
      </w:r>
      <w:r w:rsidR="00F70860" w:rsidRPr="004E42DD">
        <w:t xml:space="preserve"> </w:t>
      </w:r>
      <w:r w:rsidRPr="004E42DD">
        <w:t>outlines how the project is meeting cost, time, VfM and other objectives.</w:t>
      </w:r>
    </w:p>
    <w:p w14:paraId="2372E230" w14:textId="4597C7EC" w:rsidR="00C26930" w:rsidRPr="004E42DD" w:rsidRDefault="00C26930" w:rsidP="00BD2343">
      <w:pPr>
        <w:pStyle w:val="NormalIndent"/>
      </w:pPr>
      <w:r w:rsidRPr="004E42DD">
        <w:t xml:space="preserve">In addition, the </w:t>
      </w:r>
      <w:r w:rsidR="00D04777">
        <w:t>C</w:t>
      </w:r>
      <w:r w:rsidR="00184A02">
        <w:t>ontractor</w:t>
      </w:r>
      <w:r w:rsidRPr="004E42DD">
        <w:t xml:space="preserve"> should provide a regular forecast of cost to complete in the agreed </w:t>
      </w:r>
      <w:r w:rsidR="00162A7C">
        <w:t>W</w:t>
      </w:r>
      <w:r w:rsidRPr="004E42DD">
        <w:t xml:space="preserve">ork </w:t>
      </w:r>
      <w:r w:rsidR="00162A7C">
        <w:t>B</w:t>
      </w:r>
      <w:r w:rsidRPr="004E42DD">
        <w:t xml:space="preserve">reakdown </w:t>
      </w:r>
      <w:r w:rsidR="00162A7C">
        <w:t>S</w:t>
      </w:r>
      <w:r w:rsidRPr="004E42DD">
        <w:t xml:space="preserve">tructure and </w:t>
      </w:r>
      <w:r w:rsidR="00162A7C">
        <w:t>C</w:t>
      </w:r>
      <w:r w:rsidRPr="004E42DD">
        <w:t xml:space="preserve">ost </w:t>
      </w:r>
      <w:r w:rsidR="00162A7C">
        <w:t>B</w:t>
      </w:r>
      <w:r w:rsidRPr="004E42DD">
        <w:t xml:space="preserve">reakdown </w:t>
      </w:r>
      <w:r w:rsidR="00162A7C">
        <w:t>S</w:t>
      </w:r>
      <w:r w:rsidRPr="004E42DD">
        <w:t>tructure</w:t>
      </w:r>
      <w:r w:rsidR="0013160E">
        <w:t xml:space="preserve"> </w:t>
      </w:r>
      <w:r w:rsidRPr="004E42DD">
        <w:t>format</w:t>
      </w:r>
      <w:r w:rsidR="00290B1A">
        <w:t>. W</w:t>
      </w:r>
      <w:r w:rsidRPr="004E42DD">
        <w:t xml:space="preserve">here forecast cost </w:t>
      </w:r>
      <w:r w:rsidR="00A0460C">
        <w:t>is</w:t>
      </w:r>
      <w:r w:rsidRPr="004E42DD">
        <w:t xml:space="preserve"> likely to exceed</w:t>
      </w:r>
      <w:r w:rsidR="00A0460C">
        <w:t xml:space="preserve"> </w:t>
      </w:r>
      <w:r w:rsidR="00313E92">
        <w:t xml:space="preserve">the </w:t>
      </w:r>
      <w:r w:rsidRPr="004E42DD">
        <w:t>TOC</w:t>
      </w:r>
      <w:r w:rsidR="00313E92">
        <w:t>,</w:t>
      </w:r>
      <w:r w:rsidR="00290B1A">
        <w:t xml:space="preserve"> they should provide a list of proposed actions to limit excess</w:t>
      </w:r>
      <w:r w:rsidRPr="004E42DD">
        <w:t xml:space="preserve">. The </w:t>
      </w:r>
      <w:r w:rsidR="0013160E">
        <w:t>p</w:t>
      </w:r>
      <w:r w:rsidRPr="004E42DD">
        <w:t xml:space="preserve">rocuring </w:t>
      </w:r>
      <w:r w:rsidR="0013160E">
        <w:t>a</w:t>
      </w:r>
      <w:r w:rsidRPr="004E42DD">
        <w:t>gency should support decision</w:t>
      </w:r>
      <w:r w:rsidR="007C277D">
        <w:t>-</w:t>
      </w:r>
      <w:r w:rsidRPr="004E42DD">
        <w:t>making</w:t>
      </w:r>
      <w:r w:rsidR="004779FE">
        <w:noBreakHyphen/>
      </w:r>
      <w:r w:rsidRPr="004E42DD">
        <w:t xml:space="preserve"> where </w:t>
      </w:r>
      <w:r w:rsidR="00313E92">
        <w:t xml:space="preserve">the </w:t>
      </w:r>
      <w:r w:rsidRPr="004E42DD">
        <w:t>TOC is likely to be significantly exceeded.</w:t>
      </w:r>
    </w:p>
    <w:p w14:paraId="095C0104" w14:textId="4A096612" w:rsidR="00C26930" w:rsidRPr="004E42DD" w:rsidRDefault="00C26930" w:rsidP="00BD2343">
      <w:pPr>
        <w:pStyle w:val="NormalIndent"/>
      </w:pPr>
      <w:r w:rsidRPr="004E42DD">
        <w:t>This</w:t>
      </w:r>
      <w:r w:rsidRPr="004E42DD" w:rsidDel="00313E92">
        <w:t xml:space="preserve"> </w:t>
      </w:r>
      <w:r w:rsidRPr="004E42DD">
        <w:t>allow</w:t>
      </w:r>
      <w:r w:rsidR="00313E92">
        <w:t>s</w:t>
      </w:r>
      <w:r w:rsidRPr="004E42DD">
        <w:t xml:space="preserve"> for comparison of forecast cost </w:t>
      </w:r>
      <w:r w:rsidR="00290B1A">
        <w:t>and project delivery against</w:t>
      </w:r>
      <w:r w:rsidRPr="004E42DD">
        <w:t xml:space="preserve"> the TOC </w:t>
      </w:r>
      <w:r w:rsidR="00AA04ED">
        <w:t>E</w:t>
      </w:r>
      <w:r w:rsidRPr="004E42DD">
        <w:t>stimate.</w:t>
      </w:r>
    </w:p>
    <w:p w14:paraId="299FA50F" w14:textId="37A125AC" w:rsidR="00C26930" w:rsidRPr="004E42DD" w:rsidRDefault="00C26930" w:rsidP="00BD2343">
      <w:pPr>
        <w:pStyle w:val="NormalIndent"/>
      </w:pPr>
      <w:r w:rsidRPr="004E42DD">
        <w:t xml:space="preserve">Reporting should outline agreed variations to the TOC arising </w:t>
      </w:r>
      <w:r w:rsidR="00290B1A">
        <w:t>from</w:t>
      </w:r>
      <w:r w:rsidRPr="004E42DD">
        <w:t xml:space="preserve"> any </w:t>
      </w:r>
      <w:r w:rsidR="00162A7C">
        <w:t>A</w:t>
      </w:r>
      <w:r w:rsidRPr="004E42DD">
        <w:t xml:space="preserve">djustment </w:t>
      </w:r>
      <w:r w:rsidR="00162A7C">
        <w:t>E</w:t>
      </w:r>
      <w:r w:rsidRPr="004E42DD">
        <w:t>vents. This should include the outcome of the following elements:</w:t>
      </w:r>
    </w:p>
    <w:p w14:paraId="6C8C0989" w14:textId="508D4394" w:rsidR="00C26930" w:rsidRPr="004E42DD" w:rsidRDefault="00162A7C" w:rsidP="000D52B3">
      <w:pPr>
        <w:pStyle w:val="Bulletindent"/>
      </w:pPr>
      <w:r>
        <w:t>C</w:t>
      </w:r>
      <w:r w:rsidR="00184A02">
        <w:t>ontractor</w:t>
      </w:r>
      <w:r w:rsidR="0081425E">
        <w:t>-</w:t>
      </w:r>
      <w:r w:rsidR="00C26930" w:rsidRPr="004E42DD">
        <w:t>requested TOC adjustments</w:t>
      </w:r>
      <w:r w:rsidR="00290B1A">
        <w:t xml:space="preserve"> where t</w:t>
      </w:r>
      <w:r w:rsidR="00C26930" w:rsidRPr="004E42DD">
        <w:t xml:space="preserve">he </w:t>
      </w:r>
      <w:r>
        <w:t>C</w:t>
      </w:r>
      <w:r w:rsidR="00184A02">
        <w:t>ontractor</w:t>
      </w:r>
      <w:r w:rsidR="00C26930" w:rsidRPr="004E42DD">
        <w:t xml:space="preserve"> </w:t>
      </w:r>
      <w:r w:rsidR="00290B1A">
        <w:t>is</w:t>
      </w:r>
      <w:r w:rsidR="00C26930" w:rsidRPr="004E42DD">
        <w:t xml:space="preserve"> entitled to claim an adjustment to the TOC for an </w:t>
      </w:r>
      <w:r>
        <w:t>A</w:t>
      </w:r>
      <w:r w:rsidR="00C26930" w:rsidRPr="004E42DD">
        <w:t xml:space="preserve">djustment </w:t>
      </w:r>
      <w:r>
        <w:t>E</w:t>
      </w:r>
      <w:r w:rsidR="00C26930" w:rsidRPr="004E42DD">
        <w:t>vent (</w:t>
      </w:r>
      <w:r>
        <w:t>T</w:t>
      </w:r>
      <w:r w:rsidR="00C26930" w:rsidRPr="004E42DD">
        <w:t xml:space="preserve">ime) or </w:t>
      </w:r>
      <w:r>
        <w:t>A</w:t>
      </w:r>
      <w:r w:rsidR="00C26930" w:rsidRPr="004E42DD">
        <w:t xml:space="preserve">djustment </w:t>
      </w:r>
      <w:r>
        <w:t>E</w:t>
      </w:r>
      <w:r w:rsidR="00C26930" w:rsidRPr="004E42DD">
        <w:t>vent (</w:t>
      </w:r>
      <w:r>
        <w:t>C</w:t>
      </w:r>
      <w:r w:rsidR="00C26930" w:rsidRPr="004E42DD">
        <w:t>ost</w:t>
      </w:r>
      <w:r w:rsidR="00290B1A">
        <w:t>)</w:t>
      </w:r>
      <w:r w:rsidR="0081425E">
        <w:t>; and</w:t>
      </w:r>
    </w:p>
    <w:p w14:paraId="5356CBD9" w14:textId="64580691" w:rsidR="00C26930" w:rsidRPr="004E42DD" w:rsidRDefault="00162A7C" w:rsidP="000D52B3">
      <w:pPr>
        <w:pStyle w:val="Bulletindent"/>
      </w:pPr>
      <w:r>
        <w:t>C</w:t>
      </w:r>
      <w:r w:rsidR="00184A02">
        <w:t>ontractor</w:t>
      </w:r>
      <w:r w:rsidR="0068140B">
        <w:t>-</w:t>
      </w:r>
      <w:r w:rsidR="0013160E">
        <w:t xml:space="preserve"> or </w:t>
      </w:r>
      <w:r>
        <w:t>P</w:t>
      </w:r>
      <w:r w:rsidR="00C26930" w:rsidRPr="004E42DD">
        <w:t>rincipal</w:t>
      </w:r>
      <w:r w:rsidR="0054780B">
        <w:t>-</w:t>
      </w:r>
      <w:r w:rsidR="00C26930" w:rsidRPr="004E42DD">
        <w:t xml:space="preserve">requested TOC adjustments for </w:t>
      </w:r>
      <w:r>
        <w:t>V</w:t>
      </w:r>
      <w:r w:rsidR="00C26930" w:rsidRPr="004E42DD">
        <w:t>ariations.</w:t>
      </w:r>
    </w:p>
    <w:p w14:paraId="43D72012" w14:textId="00A257F0" w:rsidR="00C26930" w:rsidRPr="004E42DD" w:rsidRDefault="00C26930" w:rsidP="00382569">
      <w:pPr>
        <w:pStyle w:val="NormalIndent"/>
        <w:keepNext/>
      </w:pPr>
      <w:r w:rsidRPr="004E42DD">
        <w:t xml:space="preserve">As stated in section </w:t>
      </w:r>
      <w:r w:rsidRPr="004E42DD">
        <w:fldChar w:fldCharType="begin" w:fldLock="1"/>
      </w:r>
      <w:r w:rsidRPr="004E42DD">
        <w:instrText xml:space="preserve"> REF _Ref130925337 \r \h </w:instrText>
      </w:r>
      <w:r w:rsidR="004E42DD">
        <w:instrText xml:space="preserve"> \* MERGEFORMAT </w:instrText>
      </w:r>
      <w:r w:rsidRPr="004E42DD">
        <w:fldChar w:fldCharType="separate"/>
      </w:r>
      <w:r w:rsidR="00400321">
        <w:t>3.7.1</w:t>
      </w:r>
      <w:r w:rsidRPr="004E42DD">
        <w:fldChar w:fldCharType="end"/>
      </w:r>
      <w:r w:rsidRPr="004E42DD">
        <w:t xml:space="preserve">, the </w:t>
      </w:r>
      <w:r w:rsidR="0013160E">
        <w:t>p</w:t>
      </w:r>
      <w:r w:rsidRPr="004E42DD">
        <w:t xml:space="preserve">rocuring </w:t>
      </w:r>
      <w:r w:rsidR="0013160E">
        <w:t>a</w:t>
      </w:r>
      <w:r w:rsidRPr="004E42DD">
        <w:t xml:space="preserve">gency should consider </w:t>
      </w:r>
      <w:r w:rsidR="0013160E">
        <w:t>using</w:t>
      </w:r>
      <w:r w:rsidRPr="004E42DD">
        <w:t xml:space="preserve"> an </w:t>
      </w:r>
      <w:r w:rsidR="0013160E">
        <w:t>i</w:t>
      </w:r>
      <w:r w:rsidRPr="004E42DD">
        <w:t xml:space="preserve">ndependent </w:t>
      </w:r>
      <w:r w:rsidR="0013160E">
        <w:t>a</w:t>
      </w:r>
      <w:r w:rsidRPr="004E42DD">
        <w:t xml:space="preserve">uditor to verify that the project is progressing as reported and </w:t>
      </w:r>
      <w:r w:rsidR="003A78B3">
        <w:t>P</w:t>
      </w:r>
      <w:r>
        <w:t xml:space="preserve">ayment </w:t>
      </w:r>
      <w:r w:rsidR="003A78B3">
        <w:t>C</w:t>
      </w:r>
      <w:r>
        <w:t>laims</w:t>
      </w:r>
      <w:r w:rsidRPr="004E42DD">
        <w:t xml:space="preserve"> reflect this</w:t>
      </w:r>
      <w:r w:rsidR="00A97E24" w:rsidRPr="004E42DD">
        <w:t>.</w:t>
      </w:r>
    </w:p>
    <w:p w14:paraId="2EF61D05" w14:textId="2B5BF612" w:rsidR="00C26930" w:rsidRPr="004E42DD" w:rsidRDefault="00C26930" w:rsidP="00BD2343">
      <w:pPr>
        <w:pStyle w:val="NormalIndent"/>
      </w:pPr>
      <w:r w:rsidRPr="004E42DD">
        <w:t xml:space="preserve">The ITC Delivery Deed contains drafting to require the </w:t>
      </w:r>
      <w:r w:rsidR="00162A7C">
        <w:t>C</w:t>
      </w:r>
      <w:r w:rsidR="00184A02">
        <w:t>ontractor</w:t>
      </w:r>
      <w:r w:rsidRPr="004E42DD">
        <w:t xml:space="preserve">’s preparation and pursuit of an </w:t>
      </w:r>
      <w:r w:rsidR="0013160E">
        <w:t>o</w:t>
      </w:r>
      <w:r w:rsidRPr="004E42DD">
        <w:t xml:space="preserve">verrun </w:t>
      </w:r>
      <w:r w:rsidR="0013160E">
        <w:t>c</w:t>
      </w:r>
      <w:r w:rsidRPr="004E42DD">
        <w:t xml:space="preserve">ure </w:t>
      </w:r>
      <w:r w:rsidR="0013160E">
        <w:t>p</w:t>
      </w:r>
      <w:r w:rsidRPr="004E42DD">
        <w:t>lan where the TOC is likely to be exceeded or has already been exceeded.</w:t>
      </w:r>
    </w:p>
    <w:p w14:paraId="73BA2C21" w14:textId="2B628A05" w:rsidR="009C038D" w:rsidRPr="00770105" w:rsidRDefault="009C038D" w:rsidP="004C4B48">
      <w:pPr>
        <w:pStyle w:val="Heading3numbered"/>
      </w:pPr>
      <w:bookmarkStart w:id="302" w:name="_Toc130925578"/>
      <w:bookmarkStart w:id="303" w:name="_Toc133577878"/>
      <w:r w:rsidRPr="00770105">
        <w:t>Report</w:t>
      </w:r>
      <w:r w:rsidR="00290B1A" w:rsidRPr="00770105">
        <w:t>ing</w:t>
      </w:r>
      <w:r w:rsidRPr="00770105">
        <w:t xml:space="preserve"> and reconciling VfM over the life of the project</w:t>
      </w:r>
    </w:p>
    <w:p w14:paraId="483BD4A4" w14:textId="1C47608A" w:rsidR="009C038D" w:rsidRPr="004C4B48" w:rsidRDefault="00290B1A" w:rsidP="00BD2343">
      <w:pPr>
        <w:pStyle w:val="NormalIndent"/>
      </w:pPr>
      <w:r>
        <w:t>U</w:t>
      </w:r>
      <w:r w:rsidRPr="004C4B48">
        <w:t>pon contract completion</w:t>
      </w:r>
      <w:r w:rsidR="00EB5E05">
        <w:t>,</w:t>
      </w:r>
      <w:r>
        <w:t xml:space="preserve"> </w:t>
      </w:r>
      <w:r w:rsidR="00162A7C">
        <w:t>procuring</w:t>
      </w:r>
      <w:r w:rsidR="009C038D" w:rsidRPr="004C4B48">
        <w:t xml:space="preserve"> agencies are required to prepare a project completion report for </w:t>
      </w:r>
      <w:r>
        <w:t>g</w:t>
      </w:r>
      <w:r w:rsidR="009C038D" w:rsidRPr="004C4B48">
        <w:t xml:space="preserve">overnment </w:t>
      </w:r>
      <w:r w:rsidR="00EB5E05">
        <w:t xml:space="preserve">that </w:t>
      </w:r>
      <w:r w:rsidRPr="004C4B48">
        <w:t>includ</w:t>
      </w:r>
      <w:r>
        <w:t>es</w:t>
      </w:r>
      <w:r w:rsidRPr="004C4B48">
        <w:t xml:space="preserve"> VfM outcomes</w:t>
      </w:r>
      <w:r w:rsidR="009C038D" w:rsidRPr="004C4B48">
        <w:t xml:space="preserve">. The completion report must be developed and verified independently of the </w:t>
      </w:r>
      <w:r w:rsidR="00162A7C">
        <w:t>C</w:t>
      </w:r>
      <w:r w:rsidR="00184A02">
        <w:t>ontractor</w:t>
      </w:r>
      <w:r w:rsidR="009C038D" w:rsidRPr="004C4B48">
        <w:t xml:space="preserve"> to ensure an impartial and objective assessment of project performance.</w:t>
      </w:r>
    </w:p>
    <w:p w14:paraId="3A596BB9" w14:textId="192E5391" w:rsidR="009C038D" w:rsidRPr="004C4B48" w:rsidRDefault="009C038D" w:rsidP="00292E6E">
      <w:pPr>
        <w:pStyle w:val="NormalIndent"/>
        <w:keepNext/>
      </w:pPr>
      <w:r w:rsidRPr="004C4B48">
        <w:t>The completion report must include:</w:t>
      </w:r>
    </w:p>
    <w:p w14:paraId="13867160" w14:textId="6416D814" w:rsidR="009C038D" w:rsidRPr="004C4B48" w:rsidRDefault="009C038D" w:rsidP="000D52B3">
      <w:pPr>
        <w:pStyle w:val="Bulletindent"/>
      </w:pPr>
      <w:r w:rsidRPr="004C4B48">
        <w:t xml:space="preserve">a full reconciliation of total </w:t>
      </w:r>
      <w:r w:rsidR="004163A8">
        <w:t>procuring</w:t>
      </w:r>
      <w:r w:rsidRPr="004C4B48">
        <w:t xml:space="preserve"> agency budget with the actual total project cost to the government</w:t>
      </w:r>
      <w:r w:rsidR="005B5F91">
        <w:t>,</w:t>
      </w:r>
      <w:r w:rsidR="00037F56">
        <w:t xml:space="preserve"> </w:t>
      </w:r>
      <w:r>
        <w:t>includ</w:t>
      </w:r>
      <w:r w:rsidR="005B5F91">
        <w:t>ing</w:t>
      </w:r>
      <w:r w:rsidRPr="004C4B48">
        <w:t xml:space="preserve"> a breakdown of provisions outside the TOC</w:t>
      </w:r>
      <w:r w:rsidR="00037F56">
        <w:t>,</w:t>
      </w:r>
      <w:r w:rsidRPr="004C4B48">
        <w:t xml:space="preserve"> such as owner’s costs and contingencies</w:t>
      </w:r>
      <w:r w:rsidR="005B5F91">
        <w:t>;</w:t>
      </w:r>
    </w:p>
    <w:p w14:paraId="27B82932" w14:textId="3910428D" w:rsidR="009C038D" w:rsidRPr="004C4B48" w:rsidRDefault="009C038D" w:rsidP="000D52B3">
      <w:pPr>
        <w:pStyle w:val="Bulletindent"/>
      </w:pPr>
      <w:r w:rsidRPr="004C4B48">
        <w:t>a reconciliation of the TOC against the expected AOC</w:t>
      </w:r>
      <w:r w:rsidR="009B4B37">
        <w:t>;</w:t>
      </w:r>
    </w:p>
    <w:p w14:paraId="5F113B47" w14:textId="0F1D63E2" w:rsidR="009C038D" w:rsidRPr="004C4B48" w:rsidRDefault="009C038D" w:rsidP="000D52B3">
      <w:pPr>
        <w:pStyle w:val="Bulletindent"/>
      </w:pPr>
      <w:r w:rsidRPr="004C4B48">
        <w:t>an assessment of the risks that eventuated in comparison to expectations at project tendering</w:t>
      </w:r>
      <w:r w:rsidR="009B4B37">
        <w:t>;</w:t>
      </w:r>
    </w:p>
    <w:p w14:paraId="331C0403" w14:textId="787CF0A7" w:rsidR="009C038D" w:rsidRPr="004C4B48" w:rsidRDefault="009C038D" w:rsidP="000D52B3">
      <w:pPr>
        <w:pStyle w:val="Bulletindent"/>
      </w:pPr>
      <w:r w:rsidRPr="004C4B48">
        <w:t>a summary of contractual changes during delivery (since execution)</w:t>
      </w:r>
      <w:r w:rsidR="009B4B37">
        <w:t>;</w:t>
      </w:r>
    </w:p>
    <w:p w14:paraId="54D2AC2C" w14:textId="2C98D728" w:rsidR="009C038D" w:rsidRPr="004C4B48" w:rsidRDefault="009C038D" w:rsidP="000D52B3">
      <w:pPr>
        <w:pStyle w:val="Bulletindent"/>
      </w:pPr>
      <w:r w:rsidRPr="004C4B48">
        <w:t xml:space="preserve">a summary of the </w:t>
      </w:r>
      <w:r w:rsidR="00162A7C">
        <w:t>C</w:t>
      </w:r>
      <w:r w:rsidR="00184A02">
        <w:t>ontractor</w:t>
      </w:r>
      <w:r w:rsidRPr="004C4B48">
        <w:t xml:space="preserve">’s performance, including against KRAs and payments made to the </w:t>
      </w:r>
      <w:r w:rsidR="00162A7C">
        <w:t>C</w:t>
      </w:r>
      <w:r w:rsidR="00184A02">
        <w:t>ontractor</w:t>
      </w:r>
      <w:r w:rsidR="009B4B37">
        <w:t>;</w:t>
      </w:r>
    </w:p>
    <w:p w14:paraId="3123FFF5" w14:textId="0483452C" w:rsidR="009C038D" w:rsidRPr="004C4B48" w:rsidRDefault="009C038D" w:rsidP="000D52B3">
      <w:pPr>
        <w:pStyle w:val="Bulletindent"/>
      </w:pPr>
      <w:r w:rsidRPr="004C4B48">
        <w:t xml:space="preserve">quality, innovation and other improvements identified and implemented during the project by the </w:t>
      </w:r>
      <w:r w:rsidR="00162A7C">
        <w:t>C</w:t>
      </w:r>
      <w:r w:rsidR="00184A02">
        <w:t>ontractor</w:t>
      </w:r>
      <w:r w:rsidR="00037F56">
        <w:t>,</w:t>
      </w:r>
      <w:r w:rsidRPr="004C4B48">
        <w:t xml:space="preserve"> including the benefits delivered from those innovations (with verification)</w:t>
      </w:r>
      <w:r w:rsidR="005E6B13">
        <w:t>;</w:t>
      </w:r>
    </w:p>
    <w:p w14:paraId="4D1F2A07" w14:textId="75D358B1" w:rsidR="009C038D" w:rsidRPr="004C4B48" w:rsidRDefault="009C038D" w:rsidP="000D52B3">
      <w:pPr>
        <w:pStyle w:val="Bulletindent"/>
        <w:rPr>
          <w:rFonts w:ascii="Calibri" w:hAnsi="Calibri"/>
        </w:rPr>
      </w:pPr>
      <w:r w:rsidRPr="004C4B48">
        <w:t>a summary of scope changes and their effect on capital expenditure and operational expenditure, including a reconciliation between project scope contracted for and what was delivered</w:t>
      </w:r>
      <w:r w:rsidR="005E6B13">
        <w:rPr>
          <w:rFonts w:ascii="Calibri" w:hAnsi="Calibri"/>
        </w:rPr>
        <w:t>;</w:t>
      </w:r>
    </w:p>
    <w:p w14:paraId="3F9C2815" w14:textId="13182A28" w:rsidR="009C038D" w:rsidRPr="004C4B48" w:rsidRDefault="009C038D" w:rsidP="000D52B3">
      <w:pPr>
        <w:pStyle w:val="Bulletindent"/>
      </w:pPr>
      <w:r w:rsidRPr="004C4B48">
        <w:t>an assessment of whether the agreed legal and commercial terms and conditions in the contract executed has provided for a best-in-market actual outcome</w:t>
      </w:r>
      <w:r w:rsidR="00C77859">
        <w:t>; and</w:t>
      </w:r>
    </w:p>
    <w:p w14:paraId="20AD7B62" w14:textId="29C2A716" w:rsidR="004C4B48" w:rsidRPr="004C4B48" w:rsidRDefault="009C038D" w:rsidP="000D52B3">
      <w:pPr>
        <w:pStyle w:val="Bulletindent"/>
      </w:pPr>
      <w:r w:rsidRPr="004C4B48">
        <w:t>a summary of lessons learn</w:t>
      </w:r>
      <w:r w:rsidR="003541CF">
        <w:t>ed</w:t>
      </w:r>
      <w:r w:rsidRPr="004C4B48">
        <w:t>, including aspects that could have been improved on, with recommendations for how performance can be improved in the future</w:t>
      </w:r>
      <w:r w:rsidR="00037F56">
        <w:t>.</w:t>
      </w:r>
    </w:p>
    <w:p w14:paraId="6344F441" w14:textId="7E6B16A1" w:rsidR="009C038D" w:rsidRPr="004C4B48" w:rsidRDefault="00770105" w:rsidP="00BD2343">
      <w:pPr>
        <w:pStyle w:val="NormalIndent"/>
      </w:pPr>
      <w:r>
        <w:t>Procuring</w:t>
      </w:r>
      <w:r w:rsidR="009C038D" w:rsidRPr="004C4B48">
        <w:t xml:space="preserve"> agencies are also required to provide progressive reconciliations of changes to project budget, cost, scope and timeframes from what was approved by </w:t>
      </w:r>
      <w:r w:rsidR="00DC610F">
        <w:t>g</w:t>
      </w:r>
      <w:r w:rsidR="009C038D" w:rsidRPr="004C4B48">
        <w:t>overnment in the business case</w:t>
      </w:r>
      <w:r w:rsidR="00DC610F">
        <w:t>. This is best done</w:t>
      </w:r>
      <w:r w:rsidR="009C038D" w:rsidRPr="004C4B48">
        <w:t xml:space="preserve"> at key project decision points where appropriate. These changes should be </w:t>
      </w:r>
      <w:r w:rsidR="00DC610F" w:rsidRPr="004C4B48">
        <w:t>c</w:t>
      </w:r>
      <w:r w:rsidR="00DC610F">
        <w:t>ombined</w:t>
      </w:r>
      <w:r w:rsidR="00DC610F" w:rsidRPr="004C4B48">
        <w:t xml:space="preserve"> </w:t>
      </w:r>
      <w:r w:rsidR="009C038D" w:rsidRPr="004C4B48">
        <w:t>into one report</w:t>
      </w:r>
      <w:r w:rsidR="004631CC">
        <w:t xml:space="preserve"> and </w:t>
      </w:r>
      <w:r w:rsidR="009C038D" w:rsidRPr="004C4B48">
        <w:t>updated for changes at each approval point</w:t>
      </w:r>
      <w:r w:rsidR="004631CC">
        <w:t>. Where there are changes</w:t>
      </w:r>
      <w:r w:rsidR="009C038D" w:rsidRPr="004C4B48">
        <w:t xml:space="preserve"> from what was previously approved by </w:t>
      </w:r>
      <w:r w:rsidR="002A1722">
        <w:t>g</w:t>
      </w:r>
      <w:r w:rsidR="009C038D" w:rsidRPr="004C4B48">
        <w:t>overnment</w:t>
      </w:r>
      <w:r w:rsidR="00CC210A">
        <w:t>,</w:t>
      </w:r>
      <w:r w:rsidR="009C038D" w:rsidRPr="004C4B48">
        <w:t xml:space="preserve"> the reasons for </w:t>
      </w:r>
      <w:r w:rsidR="39C6A659">
        <w:t>these</w:t>
      </w:r>
      <w:r w:rsidR="009C038D" w:rsidRPr="004C4B48">
        <w:t xml:space="preserve"> changes</w:t>
      </w:r>
      <w:r w:rsidR="004631CC">
        <w:t xml:space="preserve"> should be included</w:t>
      </w:r>
      <w:r w:rsidR="009C038D" w:rsidRPr="004C4B48">
        <w:t>.</w:t>
      </w:r>
    </w:p>
    <w:p w14:paraId="06528B90" w14:textId="793A5F2A" w:rsidR="002B5BB6" w:rsidRPr="00070529" w:rsidRDefault="5194A849" w:rsidP="00165B99">
      <w:pPr>
        <w:pStyle w:val="Heading1numbered"/>
      </w:pPr>
      <w:bookmarkStart w:id="304" w:name="_Toc65769833"/>
      <w:bookmarkStart w:id="305" w:name="_Ref78882880"/>
      <w:bookmarkStart w:id="306" w:name="_Ref78882892"/>
      <w:bookmarkStart w:id="307" w:name="_Ref109322620"/>
      <w:bookmarkStart w:id="308" w:name="_Toc133577883"/>
      <w:bookmarkStart w:id="309" w:name="_Ref144735996"/>
      <w:bookmarkStart w:id="310" w:name="_Toc145612578"/>
      <w:bookmarkStart w:id="311" w:name="_Ref508030506"/>
      <w:bookmarkStart w:id="312" w:name="_Toc508030929"/>
      <w:bookmarkStart w:id="313" w:name="_Toc508030957"/>
      <w:bookmarkEnd w:id="302"/>
      <w:bookmarkEnd w:id="303"/>
      <w:r w:rsidRPr="00070529">
        <w:t xml:space="preserve">ITC </w:t>
      </w:r>
      <w:r w:rsidR="00ED6C21">
        <w:t>Development Deed</w:t>
      </w:r>
      <w:r w:rsidRPr="00070529">
        <w:t xml:space="preserve"> guidance</w:t>
      </w:r>
      <w:bookmarkEnd w:id="304"/>
      <w:bookmarkEnd w:id="305"/>
      <w:bookmarkEnd w:id="306"/>
      <w:bookmarkEnd w:id="307"/>
      <w:bookmarkEnd w:id="308"/>
      <w:bookmarkEnd w:id="309"/>
      <w:bookmarkEnd w:id="310"/>
    </w:p>
    <w:p w14:paraId="4F601AF9" w14:textId="6C0F2A5A" w:rsidR="00C62E59" w:rsidRPr="00070529" w:rsidRDefault="00C62E59" w:rsidP="00292E6E">
      <w:pPr>
        <w:pStyle w:val="NormalIndent"/>
        <w:keepNext/>
      </w:pPr>
      <w:r w:rsidRPr="00070529">
        <w:t xml:space="preserve">The ITC </w:t>
      </w:r>
      <w:r w:rsidR="00ED6C21">
        <w:t>Development Deed</w:t>
      </w:r>
      <w:r w:rsidRPr="00070529">
        <w:t xml:space="preserve"> govern</w:t>
      </w:r>
      <w:r w:rsidR="001E18BC">
        <w:t>s</w:t>
      </w:r>
      <w:r w:rsidRPr="00070529">
        <w:t xml:space="preserve"> the delivery of the Development Phase Activities by the Shortlisted Respondent (or Shortlisted Respondents, as applicable).</w:t>
      </w:r>
      <w:r w:rsidR="002402DE">
        <w:t xml:space="preserve"> W</w:t>
      </w:r>
      <w:r w:rsidR="002402DE" w:rsidRPr="00070529">
        <w:t xml:space="preserve">here there are multiple </w:t>
      </w:r>
      <w:r w:rsidR="00162A7C">
        <w:t>S</w:t>
      </w:r>
      <w:r w:rsidR="006E5C4B">
        <w:t>hortlisted</w:t>
      </w:r>
      <w:r w:rsidR="00766D0B">
        <w:t xml:space="preserve"> </w:t>
      </w:r>
      <w:r w:rsidR="00162A7C">
        <w:t>R</w:t>
      </w:r>
      <w:r w:rsidR="00766D0B">
        <w:t>espondent</w:t>
      </w:r>
      <w:r w:rsidR="002402DE" w:rsidRPr="00070529">
        <w:t>s,</w:t>
      </w:r>
      <w:r w:rsidR="00162A7C">
        <w:t xml:space="preserve"> </w:t>
      </w:r>
      <w:r w:rsidR="002402DE">
        <w:t xml:space="preserve">there </w:t>
      </w:r>
      <w:r w:rsidR="00160221">
        <w:t>are</w:t>
      </w:r>
      <w:r w:rsidR="002402DE">
        <w:t xml:space="preserve"> multiple</w:t>
      </w:r>
      <w:r w:rsidR="002402DE" w:rsidRPr="00070529">
        <w:t xml:space="preserve"> ITC </w:t>
      </w:r>
      <w:r w:rsidR="00ED6C21">
        <w:t>Development Deed</w:t>
      </w:r>
      <w:r w:rsidR="002402DE">
        <w:t>s</w:t>
      </w:r>
      <w:r w:rsidR="004C1F19">
        <w:t>,</w:t>
      </w:r>
      <w:r w:rsidR="002402DE">
        <w:t xml:space="preserve"> each governing</w:t>
      </w:r>
      <w:r w:rsidR="002A076C">
        <w:t xml:space="preserve"> the</w:t>
      </w:r>
      <w:r w:rsidR="002402DE">
        <w:t xml:space="preserve"> </w:t>
      </w:r>
      <w:r w:rsidR="00162A7C">
        <w:t>D</w:t>
      </w:r>
      <w:r w:rsidR="002402DE">
        <w:t>e</w:t>
      </w:r>
      <w:r w:rsidR="0A9BA28C">
        <w:t>velopment</w:t>
      </w:r>
      <w:r w:rsidR="002402DE">
        <w:t xml:space="preserve"> </w:t>
      </w:r>
      <w:r w:rsidR="00162A7C">
        <w:t>P</w:t>
      </w:r>
      <w:r w:rsidR="002402DE">
        <w:t xml:space="preserve">hase </w:t>
      </w:r>
      <w:r w:rsidR="00162A7C">
        <w:t>A</w:t>
      </w:r>
      <w:r w:rsidR="002402DE">
        <w:t>ctivities.</w:t>
      </w:r>
    </w:p>
    <w:p w14:paraId="207A6D10" w14:textId="7B887A38" w:rsidR="002B5BB6" w:rsidRDefault="002B5BB6" w:rsidP="00165B99">
      <w:pPr>
        <w:pStyle w:val="Heading3numbered"/>
      </w:pPr>
      <w:bookmarkStart w:id="314" w:name="_Toc131621271"/>
      <w:bookmarkStart w:id="315" w:name="_Toc131689855"/>
      <w:bookmarkStart w:id="316" w:name="_Toc131621272"/>
      <w:bookmarkStart w:id="317" w:name="_Toc131689856"/>
      <w:bookmarkStart w:id="318" w:name="_Toc131621273"/>
      <w:bookmarkStart w:id="319" w:name="_Toc131689857"/>
      <w:bookmarkStart w:id="320" w:name="_Toc131621274"/>
      <w:bookmarkStart w:id="321" w:name="_Toc131689858"/>
      <w:bookmarkStart w:id="322" w:name="_Toc131621275"/>
      <w:bookmarkStart w:id="323" w:name="_Toc131689859"/>
      <w:bookmarkStart w:id="324" w:name="_Toc131621276"/>
      <w:bookmarkStart w:id="325" w:name="_Toc131689860"/>
      <w:bookmarkStart w:id="326" w:name="_Toc131621277"/>
      <w:bookmarkStart w:id="327" w:name="_Toc131689861"/>
      <w:bookmarkStart w:id="328" w:name="_Toc131621278"/>
      <w:bookmarkStart w:id="329" w:name="_Toc131689862"/>
      <w:bookmarkStart w:id="330" w:name="_Toc131621279"/>
      <w:bookmarkStart w:id="331" w:name="_Toc131689863"/>
      <w:bookmarkStart w:id="332" w:name="_Toc131621280"/>
      <w:bookmarkStart w:id="333" w:name="_Toc131689864"/>
      <w:bookmarkStart w:id="334" w:name="_Toc131621281"/>
      <w:bookmarkStart w:id="335" w:name="_Toc131689865"/>
      <w:bookmarkStart w:id="336" w:name="_Toc131621282"/>
      <w:bookmarkStart w:id="337" w:name="_Toc131689866"/>
      <w:bookmarkStart w:id="338" w:name="_Toc131621283"/>
      <w:bookmarkStart w:id="339" w:name="_Toc131689867"/>
      <w:bookmarkStart w:id="340" w:name="_Toc131621284"/>
      <w:bookmarkStart w:id="341" w:name="_Toc131689868"/>
      <w:bookmarkStart w:id="342" w:name="_Toc131621285"/>
      <w:bookmarkStart w:id="343" w:name="_Toc131689869"/>
      <w:bookmarkStart w:id="344" w:name="_Toc131621286"/>
      <w:bookmarkStart w:id="345" w:name="_Toc131689870"/>
      <w:bookmarkStart w:id="346" w:name="_Toc131621287"/>
      <w:bookmarkStart w:id="347" w:name="_Toc131689871"/>
      <w:bookmarkStart w:id="348" w:name="_Toc131621288"/>
      <w:bookmarkStart w:id="349" w:name="_Toc131689872"/>
      <w:bookmarkStart w:id="350" w:name="_Toc131621289"/>
      <w:bookmarkStart w:id="351" w:name="_Toc131689873"/>
      <w:bookmarkStart w:id="352" w:name="_Toc131621290"/>
      <w:bookmarkStart w:id="353" w:name="_Toc131689874"/>
      <w:bookmarkStart w:id="354" w:name="_Toc131621291"/>
      <w:bookmarkStart w:id="355" w:name="_Toc131689875"/>
      <w:bookmarkStart w:id="356" w:name="_Toc131621292"/>
      <w:bookmarkStart w:id="357" w:name="_Toc131689876"/>
      <w:bookmarkStart w:id="358" w:name="_Toc131621293"/>
      <w:bookmarkStart w:id="359" w:name="_Toc131689877"/>
      <w:bookmarkStart w:id="360" w:name="_Toc131621294"/>
      <w:bookmarkStart w:id="361" w:name="_Toc131689878"/>
      <w:bookmarkStart w:id="362" w:name="_Toc131621295"/>
      <w:bookmarkStart w:id="363" w:name="_Toc131689879"/>
      <w:bookmarkStart w:id="364" w:name="_Toc131621296"/>
      <w:bookmarkStart w:id="365" w:name="_Toc131689880"/>
      <w:bookmarkStart w:id="366" w:name="_Toc131621297"/>
      <w:bookmarkStart w:id="367" w:name="_Toc131689881"/>
      <w:bookmarkStart w:id="368" w:name="_Toc131621298"/>
      <w:bookmarkStart w:id="369" w:name="_Toc131689882"/>
      <w:bookmarkStart w:id="370" w:name="_Toc131621299"/>
      <w:bookmarkStart w:id="371" w:name="_Toc131689883"/>
      <w:bookmarkStart w:id="372" w:name="_Toc131621300"/>
      <w:bookmarkStart w:id="373" w:name="_Toc131689884"/>
      <w:bookmarkStart w:id="374" w:name="_Toc131621301"/>
      <w:bookmarkStart w:id="375" w:name="_Toc131689885"/>
      <w:bookmarkStart w:id="376" w:name="_Toc131621302"/>
      <w:bookmarkStart w:id="377" w:name="_Toc131689886"/>
      <w:bookmarkStart w:id="378" w:name="_Toc131621303"/>
      <w:bookmarkStart w:id="379" w:name="_Toc131689887"/>
      <w:bookmarkStart w:id="380" w:name="_Toc131621304"/>
      <w:bookmarkStart w:id="381" w:name="_Toc131689888"/>
      <w:bookmarkStart w:id="382" w:name="_Toc131621305"/>
      <w:bookmarkStart w:id="383" w:name="_Toc131689889"/>
      <w:bookmarkStart w:id="384" w:name="_Toc131621306"/>
      <w:bookmarkStart w:id="385" w:name="_Toc131689890"/>
      <w:bookmarkStart w:id="386" w:name="_Toc131621307"/>
      <w:bookmarkStart w:id="387" w:name="_Toc131689891"/>
      <w:bookmarkStart w:id="388" w:name="_Toc131621308"/>
      <w:bookmarkStart w:id="389" w:name="_Toc131689892"/>
      <w:bookmarkStart w:id="390" w:name="_Toc131621309"/>
      <w:bookmarkStart w:id="391" w:name="_Toc131689893"/>
      <w:bookmarkStart w:id="392" w:name="_Toc131621310"/>
      <w:bookmarkStart w:id="393" w:name="_Toc131689894"/>
      <w:bookmarkStart w:id="394" w:name="_Toc131621311"/>
      <w:bookmarkStart w:id="395" w:name="_Toc131689895"/>
      <w:bookmarkStart w:id="396" w:name="_Toc131621312"/>
      <w:bookmarkStart w:id="397" w:name="_Toc131689896"/>
      <w:bookmarkStart w:id="398" w:name="_Toc131621313"/>
      <w:bookmarkStart w:id="399" w:name="_Toc131689897"/>
      <w:bookmarkStart w:id="400" w:name="_Toc131621314"/>
      <w:bookmarkStart w:id="401" w:name="_Toc131689898"/>
      <w:bookmarkStart w:id="402" w:name="_Toc131555101"/>
      <w:bookmarkStart w:id="403" w:name="_Toc131555102"/>
      <w:bookmarkStart w:id="404" w:name="_Toc59631029"/>
      <w:bookmarkStart w:id="405" w:name="_Toc65769075"/>
      <w:bookmarkStart w:id="406" w:name="_Toc65769835"/>
      <w:bookmarkStart w:id="407" w:name="_Toc59631030"/>
      <w:bookmarkStart w:id="408" w:name="_Toc65769076"/>
      <w:bookmarkStart w:id="409" w:name="_Toc65769836"/>
      <w:bookmarkStart w:id="410" w:name="_Toc59631033"/>
      <w:bookmarkStart w:id="411" w:name="_Toc65769079"/>
      <w:bookmarkStart w:id="412" w:name="_Toc65769839"/>
      <w:bookmarkStart w:id="413" w:name="_Toc59631035"/>
      <w:bookmarkStart w:id="414" w:name="_Toc65769081"/>
      <w:bookmarkStart w:id="415" w:name="_Toc65769841"/>
      <w:bookmarkStart w:id="416" w:name="_Toc59631039"/>
      <w:bookmarkStart w:id="417" w:name="_Toc65769085"/>
      <w:bookmarkStart w:id="418" w:name="_Toc65769845"/>
      <w:bookmarkStart w:id="419" w:name="_Toc59631040"/>
      <w:bookmarkStart w:id="420" w:name="_Toc65769086"/>
      <w:bookmarkStart w:id="421" w:name="_Toc65769846"/>
      <w:bookmarkStart w:id="422" w:name="_Toc59631045"/>
      <w:bookmarkStart w:id="423" w:name="_Toc65769091"/>
      <w:bookmarkStart w:id="424" w:name="_Toc65769851"/>
      <w:bookmarkStart w:id="425" w:name="_Toc59631049"/>
      <w:bookmarkStart w:id="426" w:name="_Toc65769095"/>
      <w:bookmarkStart w:id="427" w:name="_Toc65769855"/>
      <w:bookmarkStart w:id="428" w:name="_Toc59631050"/>
      <w:bookmarkStart w:id="429" w:name="_Toc65769096"/>
      <w:bookmarkStart w:id="430" w:name="_Toc65769856"/>
      <w:bookmarkStart w:id="431" w:name="_Toc131555103"/>
      <w:bookmarkStart w:id="432" w:name="_Toc65769868"/>
      <w:bookmarkStart w:id="433" w:name="_Toc65769869"/>
      <w:bookmarkStart w:id="434" w:name="_Toc65769870"/>
      <w:bookmarkStart w:id="435" w:name="_Toc65769109"/>
      <w:bookmarkStart w:id="436" w:name="_Toc65769872"/>
      <w:bookmarkStart w:id="437" w:name="_Toc65769110"/>
      <w:bookmarkStart w:id="438" w:name="_Toc65769873"/>
      <w:bookmarkStart w:id="439" w:name="_Toc65769111"/>
      <w:bookmarkStart w:id="440" w:name="_Toc65769874"/>
      <w:bookmarkStart w:id="441" w:name="_Toc65769113"/>
      <w:bookmarkStart w:id="442" w:name="_Toc65769876"/>
      <w:bookmarkStart w:id="443" w:name="_Toc65769118"/>
      <w:bookmarkStart w:id="444" w:name="_Toc65769881"/>
      <w:bookmarkStart w:id="445" w:name="_Toc131555104"/>
      <w:bookmarkStart w:id="446" w:name="_Toc13155510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t>Procurement strategy and Development Phase Objectives</w:t>
      </w:r>
      <w:r w:rsidR="002A076C">
        <w:t xml:space="preserve"> </w:t>
      </w:r>
      <w:r w:rsidR="002A076C" w:rsidRPr="002A076C">
        <w:t>(clause</w:t>
      </w:r>
      <w:r w:rsidR="00754976" w:rsidRPr="00754976">
        <w:rPr>
          <w:rFonts w:ascii="Calibri" w:hAnsi="Calibri" w:cs="Calibri"/>
        </w:rPr>
        <w:t> </w:t>
      </w:r>
      <w:r w:rsidR="002A076C" w:rsidRPr="002A076C">
        <w:t>2 of the ITC Development Deed)</w:t>
      </w:r>
    </w:p>
    <w:p w14:paraId="13B6B1C4" w14:textId="3DC5ACCE" w:rsidR="002B5BB6" w:rsidRPr="007E66ED" w:rsidRDefault="002B5BB6" w:rsidP="004C4B48">
      <w:pPr>
        <w:pStyle w:val="Heading4numbered"/>
      </w:pPr>
      <w:r>
        <w:t xml:space="preserve">Procurement </w:t>
      </w:r>
      <w:r w:rsidR="004631CC">
        <w:t>s</w:t>
      </w:r>
      <w:r>
        <w:t>trategy</w:t>
      </w:r>
      <w:r w:rsidR="002A076C">
        <w:t xml:space="preserve"> </w:t>
      </w:r>
      <w:r w:rsidR="002A076C" w:rsidRPr="002A076C">
        <w:t>(clauses</w:t>
      </w:r>
      <w:r w:rsidR="00754976" w:rsidRPr="00754976">
        <w:rPr>
          <w:rFonts w:ascii="Calibri" w:hAnsi="Calibri" w:cs="Calibri"/>
        </w:rPr>
        <w:t> </w:t>
      </w:r>
      <w:r w:rsidR="002A076C" w:rsidRPr="002A076C">
        <w:t>2.1 and 2.3 of the ITC Development Deed)</w:t>
      </w:r>
    </w:p>
    <w:p w14:paraId="46F072D9" w14:textId="3C61C581" w:rsidR="001C17C7" w:rsidRDefault="00002D3A" w:rsidP="00BD2343">
      <w:pPr>
        <w:pStyle w:val="NormalIndent"/>
      </w:pPr>
      <w:r>
        <w:t>Clause</w:t>
      </w:r>
      <w:r w:rsidR="00754976" w:rsidRPr="00754976">
        <w:rPr>
          <w:rFonts w:ascii="Calibri" w:hAnsi="Calibri" w:cs="Calibri"/>
        </w:rPr>
        <w:t> </w:t>
      </w:r>
      <w:r>
        <w:t>2</w:t>
      </w:r>
      <w:r w:rsidR="002A076C">
        <w:t xml:space="preserve"> </w:t>
      </w:r>
      <w:r w:rsidR="002A076C" w:rsidRPr="002A076C">
        <w:t>of the ITC Development Deed</w:t>
      </w:r>
      <w:r>
        <w:t xml:space="preserve"> sets out the procurement strategy and </w:t>
      </w:r>
      <w:r w:rsidR="001C17C7">
        <w:t xml:space="preserve">Development Phase Objectives </w:t>
      </w:r>
      <w:r>
        <w:t xml:space="preserve">of the ITC </w:t>
      </w:r>
      <w:r w:rsidR="00ED6C21">
        <w:t>Development Deed</w:t>
      </w:r>
      <w:r>
        <w:t>.</w:t>
      </w:r>
    </w:p>
    <w:p w14:paraId="113B4035" w14:textId="6F4CD763" w:rsidR="00002D3A" w:rsidRPr="006B5B95" w:rsidRDefault="002402DE" w:rsidP="00BD2343">
      <w:pPr>
        <w:pStyle w:val="NormalIndent"/>
      </w:pPr>
      <w:r>
        <w:t>This is a</w:t>
      </w:r>
      <w:r w:rsidR="00002D3A">
        <w:t xml:space="preserve"> two-phase procurement model, with one or more Shortlisted Respondents entering into a</w:t>
      </w:r>
      <w:r w:rsidR="00E73A81">
        <w:t>n ITC</w:t>
      </w:r>
      <w:r w:rsidR="00002D3A">
        <w:t xml:space="preserve"> </w:t>
      </w:r>
      <w:r w:rsidR="00ED6C21">
        <w:t>Development Deed</w:t>
      </w:r>
      <w:r w:rsidR="00002D3A">
        <w:t xml:space="preserve"> </w:t>
      </w:r>
      <w:r w:rsidR="001C17C7">
        <w:t xml:space="preserve">and </w:t>
      </w:r>
      <w:r w:rsidR="00002D3A">
        <w:t xml:space="preserve">one Successful Respondent </w:t>
      </w:r>
      <w:r w:rsidR="00A706B0">
        <w:t xml:space="preserve">subsequently </w:t>
      </w:r>
      <w:r w:rsidR="00002D3A">
        <w:t>entering into a</w:t>
      </w:r>
      <w:r w:rsidR="001C17C7">
        <w:t>n</w:t>
      </w:r>
      <w:r w:rsidR="00002D3A">
        <w:t xml:space="preserve"> </w:t>
      </w:r>
      <w:r w:rsidR="00E73A81">
        <w:t xml:space="preserve">ITC </w:t>
      </w:r>
      <w:r w:rsidR="00002D3A">
        <w:t>Delivery Deed</w:t>
      </w:r>
      <w:r>
        <w:t>.</w:t>
      </w:r>
      <w:r w:rsidR="00002D3A">
        <w:t xml:space="preserve"> </w:t>
      </w:r>
      <w:r>
        <w:t>T</w:t>
      </w:r>
      <w:r w:rsidR="00002D3A">
        <w:t xml:space="preserve">he Shortlisted Respondent accepts that neither the negotiation of any Agreed ITC Delivery Deed </w:t>
      </w:r>
      <w:r w:rsidR="00E62514">
        <w:t>n</w:t>
      </w:r>
      <w:r w:rsidR="00002D3A">
        <w:t>or a direction to carry out the Early Delivery Activities constitutes a representation by the Principal that it will accept the Shortlisted Respondent</w:t>
      </w:r>
      <w:r w:rsidR="00E62514">
        <w:t>’</w:t>
      </w:r>
      <w:r w:rsidR="00002D3A">
        <w:t xml:space="preserve">s Delivery Phase Offer or proceed with the Project. </w:t>
      </w:r>
      <w:r w:rsidR="24567D8D">
        <w:t>T</w:t>
      </w:r>
      <w:r w:rsidR="00002D3A">
        <w:t xml:space="preserve">he Shortlisted Respondent acknowledges that while the Principal will cooperate </w:t>
      </w:r>
      <w:r w:rsidR="00E9702E">
        <w:t xml:space="preserve">with </w:t>
      </w:r>
      <w:r w:rsidR="00002D3A">
        <w:t>and assist the</w:t>
      </w:r>
      <w:r>
        <w:t>m</w:t>
      </w:r>
      <w:r w:rsidR="007034F3">
        <w:t xml:space="preserve"> </w:t>
      </w:r>
      <w:r w:rsidR="00002D3A">
        <w:t xml:space="preserve">to perform the Development Phase Services, </w:t>
      </w:r>
      <w:r w:rsidR="00A706B0">
        <w:t xml:space="preserve">the Principal </w:t>
      </w:r>
      <w:r w:rsidR="00002D3A">
        <w:t xml:space="preserve">will </w:t>
      </w:r>
      <w:r>
        <w:t xml:space="preserve">simultaneously </w:t>
      </w:r>
      <w:r w:rsidR="00174330">
        <w:t xml:space="preserve">cooperate </w:t>
      </w:r>
      <w:r w:rsidR="00A706B0">
        <w:t xml:space="preserve">with and </w:t>
      </w:r>
      <w:r w:rsidR="00002D3A">
        <w:t>assist Other Shortlisted Respondents</w:t>
      </w:r>
      <w:r w:rsidR="00A706B0">
        <w:t xml:space="preserve"> (if applicable)</w:t>
      </w:r>
      <w:r w:rsidR="00002D3A">
        <w:t xml:space="preserve"> provide their services under their </w:t>
      </w:r>
      <w:r w:rsidR="00A706B0">
        <w:t xml:space="preserve">respective </w:t>
      </w:r>
      <w:r w:rsidR="00002D3A">
        <w:t xml:space="preserve">ITC </w:t>
      </w:r>
      <w:r w:rsidR="00ED6C21">
        <w:t>Development D</w:t>
      </w:r>
      <w:r w:rsidR="00ED6C21" w:rsidRPr="006B5B95">
        <w:t>eed</w:t>
      </w:r>
      <w:r w:rsidR="00A706B0" w:rsidRPr="006B5B95">
        <w:t>s</w:t>
      </w:r>
      <w:r w:rsidR="00002D3A" w:rsidRPr="006B5B95">
        <w:t>.</w:t>
      </w:r>
    </w:p>
    <w:p w14:paraId="253045BE" w14:textId="4CE36C3B" w:rsidR="002B5BB6" w:rsidRDefault="002B5BB6" w:rsidP="004C4B48">
      <w:pPr>
        <w:pStyle w:val="Heading4numbered"/>
      </w:pPr>
      <w:r>
        <w:t>Project</w:t>
      </w:r>
      <w:r w:rsidR="00043711">
        <w:t>-</w:t>
      </w:r>
      <w:r>
        <w:t>specific amendments</w:t>
      </w:r>
    </w:p>
    <w:p w14:paraId="6586F7A8" w14:textId="11F25894" w:rsidR="00002D3A" w:rsidRDefault="00002D3A" w:rsidP="00BD2343">
      <w:pPr>
        <w:pStyle w:val="NormalIndent"/>
      </w:pPr>
      <w:r>
        <w:t>Where the scope of the Project forms part of a larger portfolio of works to be delivered (</w:t>
      </w:r>
      <w:r w:rsidR="00382569">
        <w:t>e.g.</w:t>
      </w:r>
      <w:r>
        <w:t xml:space="preserve"> upgrades to a road or rail network), project</w:t>
      </w:r>
      <w:r w:rsidR="007C277D">
        <w:t>-specific</w:t>
      </w:r>
      <w:r>
        <w:t xml:space="preserve"> amendments may be required to alter the scope of the </w:t>
      </w:r>
      <w:r w:rsidR="00C77D25">
        <w:t>W</w:t>
      </w:r>
      <w:r>
        <w:t>orks under clause</w:t>
      </w:r>
      <w:r w:rsidR="00754976" w:rsidRPr="00754976">
        <w:rPr>
          <w:rFonts w:ascii="Calibri" w:hAnsi="Calibri" w:cs="Calibri"/>
        </w:rPr>
        <w:t> </w:t>
      </w:r>
      <w:r>
        <w:t>2.1(</w:t>
      </w:r>
      <w:r w:rsidR="00A706B0">
        <w:t>c</w:t>
      </w:r>
      <w:r>
        <w:t>)</w:t>
      </w:r>
      <w:r w:rsidR="00E73A81">
        <w:t xml:space="preserve"> of the ITC </w:t>
      </w:r>
      <w:r w:rsidR="00ED6C21">
        <w:t>Development Deed</w:t>
      </w:r>
      <w:r>
        <w:t>.</w:t>
      </w:r>
      <w:r w:rsidR="002402DE">
        <w:t xml:space="preserve"> These are </w:t>
      </w:r>
      <w:r w:rsidR="00B012C7">
        <w:t>at</w:t>
      </w:r>
      <w:r w:rsidR="002402DE">
        <w:t xml:space="preserve"> the </w:t>
      </w:r>
      <w:r w:rsidR="00A63337">
        <w:t>P</w:t>
      </w:r>
      <w:r w:rsidR="002402DE">
        <w:t>rincipal</w:t>
      </w:r>
      <w:r w:rsidR="00B012C7">
        <w:t>’</w:t>
      </w:r>
      <w:r w:rsidR="002402DE">
        <w:t>s discretion.</w:t>
      </w:r>
    </w:p>
    <w:p w14:paraId="05D7D5CE" w14:textId="65644BC8" w:rsidR="00002D3A" w:rsidRPr="00C752C1" w:rsidRDefault="00002D3A" w:rsidP="00BD2343">
      <w:pPr>
        <w:pStyle w:val="NormalIndent"/>
      </w:pPr>
      <w:r>
        <w:t>In some cases</w:t>
      </w:r>
      <w:r w:rsidR="00605EED">
        <w:t>,</w:t>
      </w:r>
      <w:r>
        <w:t xml:space="preserve"> it may be appropriate for the Principal to </w:t>
      </w:r>
      <w:r w:rsidR="002402DE">
        <w:t xml:space="preserve">use </w:t>
      </w:r>
      <w:r w:rsidR="00A706B0">
        <w:t xml:space="preserve">its </w:t>
      </w:r>
      <w:r>
        <w:t>discretion to reduce the scope of the Project</w:t>
      </w:r>
      <w:r w:rsidR="334B1794">
        <w:t xml:space="preserve">. </w:t>
      </w:r>
    </w:p>
    <w:p w14:paraId="45ED872B" w14:textId="2E225054" w:rsidR="002B5BB6" w:rsidRPr="00584BD1" w:rsidRDefault="002B5BB6" w:rsidP="006B5B95">
      <w:pPr>
        <w:pStyle w:val="Heading3numbered"/>
        <w:pageBreakBefore/>
      </w:pPr>
      <w:r>
        <w:t>Relationship Principles</w:t>
      </w:r>
      <w:r w:rsidR="002A076C">
        <w:t xml:space="preserve"> </w:t>
      </w:r>
      <w:r w:rsidR="002A076C" w:rsidRPr="002A076C">
        <w:t>(clause</w:t>
      </w:r>
      <w:r w:rsidR="00754976" w:rsidRPr="00754976">
        <w:rPr>
          <w:rFonts w:ascii="Calibri" w:hAnsi="Calibri" w:cs="Calibri"/>
        </w:rPr>
        <w:t> </w:t>
      </w:r>
      <w:r w:rsidR="002A076C" w:rsidRPr="002A076C">
        <w:t>2.3 of the ITC Development Deed)</w:t>
      </w:r>
    </w:p>
    <w:p w14:paraId="0A42F832" w14:textId="28726388" w:rsidR="00002D3A" w:rsidRDefault="00002D3A" w:rsidP="00BD2343">
      <w:pPr>
        <w:pStyle w:val="NormalIndent"/>
      </w:pPr>
      <w:r>
        <w:t xml:space="preserve">The ITC </w:t>
      </w:r>
      <w:r w:rsidR="00ED6C21">
        <w:t>Development Deed</w:t>
      </w:r>
      <w:r>
        <w:t xml:space="preserve"> adopts a collaborative approach, whereby the Shortlisted Respondent agrees to abide by certain principles of behaviour</w:t>
      </w:r>
      <w:r w:rsidR="002402DE">
        <w:t xml:space="preserve"> as part of the agreement</w:t>
      </w:r>
      <w:r>
        <w:t xml:space="preserve">. This </w:t>
      </w:r>
      <w:r w:rsidRPr="005F5259">
        <w:rPr>
          <w:rFonts w:cstheme="minorHAnsi"/>
          <w:szCs w:val="19"/>
        </w:rPr>
        <w:t>promotes</w:t>
      </w:r>
      <w:r>
        <w:t xml:space="preserve"> a greater commercial alignment, facilitating collective problem</w:t>
      </w:r>
      <w:r w:rsidR="007C277D">
        <w:t>-</w:t>
      </w:r>
      <w:r>
        <w:t>solving and decision</w:t>
      </w:r>
      <w:r w:rsidR="007C277D">
        <w:t>-</w:t>
      </w:r>
      <w:r>
        <w:t xml:space="preserve">making </w:t>
      </w:r>
      <w:r w:rsidR="002402DE">
        <w:t xml:space="preserve">to reduce </w:t>
      </w:r>
      <w:r>
        <w:t>adversarial issues. In particular, the Shortlisted Respondent commits to:</w:t>
      </w:r>
    </w:p>
    <w:p w14:paraId="4638413F" w14:textId="08FE78F8" w:rsidR="00002D3A" w:rsidRDefault="00A079A3" w:rsidP="000D52B3">
      <w:pPr>
        <w:pStyle w:val="Bulletindent"/>
      </w:pPr>
      <w:r>
        <w:t>establishing and maintaining a culture that emphasises and reinforces</w:t>
      </w:r>
      <w:r w:rsidR="002402DE">
        <w:t xml:space="preserve"> </w:t>
      </w:r>
      <w:r w:rsidR="4D2F9D1E">
        <w:t xml:space="preserve">integrity </w:t>
      </w:r>
      <w:r>
        <w:t>and trust</w:t>
      </w:r>
      <w:r w:rsidR="00E64271">
        <w:t>;</w:t>
      </w:r>
    </w:p>
    <w:p w14:paraId="772BF8BB" w14:textId="0CFCD382" w:rsidR="00002D3A" w:rsidRDefault="4D2F9D1E" w:rsidP="000D52B3">
      <w:pPr>
        <w:pStyle w:val="Bulletindent"/>
      </w:pPr>
      <w:r>
        <w:t>notifying the Principal of perceived or real differences of opinion or conflicts of interest as soon as they aris</w:t>
      </w:r>
      <w:r w:rsidR="004631CC">
        <w:t>e</w:t>
      </w:r>
      <w:r w:rsidR="00E64271">
        <w:t>; and</w:t>
      </w:r>
    </w:p>
    <w:p w14:paraId="6CF21EE2" w14:textId="27E2EBCC" w:rsidR="00002D3A" w:rsidRDefault="4D2F9D1E" w:rsidP="000D52B3">
      <w:pPr>
        <w:pStyle w:val="Bulletindent"/>
      </w:pPr>
      <w:r>
        <w:t>ensuring its officers and agents are also committed to the Relationship Principles.</w:t>
      </w:r>
    </w:p>
    <w:p w14:paraId="0D573A26" w14:textId="3095EA86" w:rsidR="002B5BB6" w:rsidRDefault="7DFCB643" w:rsidP="004C4B48">
      <w:pPr>
        <w:pStyle w:val="Heading4numbered"/>
      </w:pPr>
      <w:r>
        <w:t xml:space="preserve">Open </w:t>
      </w:r>
      <w:r w:rsidR="004132F3">
        <w:t>b</w:t>
      </w:r>
      <w:r>
        <w:t xml:space="preserve">ook </w:t>
      </w:r>
      <w:r w:rsidR="004132F3">
        <w:t>b</w:t>
      </w:r>
      <w:r>
        <w:t>asis</w:t>
      </w:r>
      <w:r w:rsidR="00A63337">
        <w:t xml:space="preserve"> </w:t>
      </w:r>
      <w:r w:rsidR="00A63337" w:rsidRPr="00A63337">
        <w:t>(clauses</w:t>
      </w:r>
      <w:r w:rsidR="00754976" w:rsidRPr="00754976">
        <w:rPr>
          <w:rFonts w:ascii="Calibri" w:hAnsi="Calibri" w:cs="Calibri"/>
        </w:rPr>
        <w:t> </w:t>
      </w:r>
      <w:r w:rsidR="00A63337" w:rsidRPr="00A63337">
        <w:t>8.1, 12.2 and 14.3 of the ITC Development Deed)</w:t>
      </w:r>
    </w:p>
    <w:p w14:paraId="752F9580" w14:textId="31A28E7E" w:rsidR="00002D3A" w:rsidRDefault="00A079A3" w:rsidP="00BD2343">
      <w:pPr>
        <w:pStyle w:val="NormalIndent"/>
      </w:pPr>
      <w:r>
        <w:t xml:space="preserve">The Shortlisted Respondent is required to complete certain obligations on an </w:t>
      </w:r>
      <w:r w:rsidR="004132F3">
        <w:t>o</w:t>
      </w:r>
      <w:r>
        <w:t xml:space="preserve">pen </w:t>
      </w:r>
      <w:r w:rsidR="004132F3">
        <w:t>b</w:t>
      </w:r>
      <w:r>
        <w:t xml:space="preserve">ook </w:t>
      </w:r>
      <w:r w:rsidR="004132F3">
        <w:t>b</w:t>
      </w:r>
      <w:r>
        <w:t>asis, including:</w:t>
      </w:r>
    </w:p>
    <w:p w14:paraId="4E065D06" w14:textId="7A1A2F8C" w:rsidR="00A079A3" w:rsidRDefault="00A079A3" w:rsidP="000D52B3">
      <w:pPr>
        <w:pStyle w:val="Bulletindent"/>
      </w:pPr>
      <w:r>
        <w:t>the procurement of all Subcontractors</w:t>
      </w:r>
      <w:r w:rsidR="004132F3">
        <w:t>;</w:t>
      </w:r>
    </w:p>
    <w:p w14:paraId="068012FD" w14:textId="7ECD0F6C" w:rsidR="002A524B" w:rsidRPr="002A524B" w:rsidRDefault="00A079A3" w:rsidP="000D52B3">
      <w:pPr>
        <w:pStyle w:val="Bulletindent"/>
      </w:pPr>
      <w:r>
        <w:t>the preparation of, and any adjustment to, the TOC Estimate</w:t>
      </w:r>
      <w:r w:rsidR="004132F3">
        <w:t>; and</w:t>
      </w:r>
    </w:p>
    <w:p w14:paraId="428824BF" w14:textId="05476CCD" w:rsidR="00A079A3" w:rsidRDefault="00A079A3" w:rsidP="000D52B3">
      <w:pPr>
        <w:pStyle w:val="Bulletindent"/>
      </w:pPr>
      <w:r>
        <w:t>making the Deliverables and the Shortlisted Respondent</w:t>
      </w:r>
      <w:r w:rsidR="004132F3">
        <w:t>’</w:t>
      </w:r>
      <w:r>
        <w:t>s Records fully available to the Principal</w:t>
      </w:r>
      <w:r w:rsidRPr="00A079A3">
        <w:t>, the Principal Representative and any other person authorised by the Principal or the Principal Representative for examination, audit, inspection, transcription and copying</w:t>
      </w:r>
      <w:r>
        <w:t>.</w:t>
      </w:r>
    </w:p>
    <w:p w14:paraId="349643AF" w14:textId="5A553835" w:rsidR="00D834C6" w:rsidRDefault="0094184A" w:rsidP="00BD2343">
      <w:pPr>
        <w:pStyle w:val="NormalIndent"/>
      </w:pPr>
      <w:r>
        <w:t>Completing</w:t>
      </w:r>
      <w:r w:rsidR="326B40ED">
        <w:t xml:space="preserve"> an obligation on an </w:t>
      </w:r>
      <w:r w:rsidR="00FE6C58">
        <w:t>o</w:t>
      </w:r>
      <w:r w:rsidR="326B40ED">
        <w:t xml:space="preserve">pen </w:t>
      </w:r>
      <w:r w:rsidR="00FE6C58">
        <w:t>b</w:t>
      </w:r>
      <w:r w:rsidR="326B40ED">
        <w:t xml:space="preserve">ook </w:t>
      </w:r>
      <w:r w:rsidR="00FE6C58">
        <w:t>b</w:t>
      </w:r>
      <w:r w:rsidR="326B40ED">
        <w:t xml:space="preserve">asis requires the Shortlisted Respondent </w:t>
      </w:r>
      <w:r w:rsidR="7A11630D">
        <w:t>to be transparent in all dealings and share all relevant information in a timely manner</w:t>
      </w:r>
      <w:r w:rsidR="6404692E">
        <w:t xml:space="preserve">. The </w:t>
      </w:r>
      <w:r w:rsidR="191B5166">
        <w:t>Principal</w:t>
      </w:r>
      <w:r w:rsidR="6404692E">
        <w:t xml:space="preserve"> should collaboratively and proactively work with the </w:t>
      </w:r>
      <w:r w:rsidR="084369B1">
        <w:t>Shortlisted Respondent</w:t>
      </w:r>
      <w:r w:rsidR="6404692E">
        <w:t xml:space="preserve"> to ensure that information is </w:t>
      </w:r>
      <w:r w:rsidR="677E1748">
        <w:t xml:space="preserve">provided to the </w:t>
      </w:r>
      <w:r w:rsidR="645B748A">
        <w:t>Principal</w:t>
      </w:r>
      <w:r w:rsidR="677E1748">
        <w:t xml:space="preserve"> in a format that </w:t>
      </w:r>
      <w:r w:rsidR="25B68F59">
        <w:t>can be used effectively.</w:t>
      </w:r>
    </w:p>
    <w:p w14:paraId="3D8752B3" w14:textId="4EAC88D6" w:rsidR="00002D3A" w:rsidRDefault="53314988" w:rsidP="00BD2343">
      <w:pPr>
        <w:pStyle w:val="NormalIndent"/>
      </w:pPr>
      <w:r>
        <w:t xml:space="preserve">Information that should be provided </w:t>
      </w:r>
      <w:r w:rsidR="00A63337">
        <w:t xml:space="preserve">on an </w:t>
      </w:r>
      <w:r w:rsidR="00170D26">
        <w:t>o</w:t>
      </w:r>
      <w:r>
        <w:t xml:space="preserve">pen </w:t>
      </w:r>
      <w:r w:rsidR="00170D26">
        <w:t>b</w:t>
      </w:r>
      <w:r>
        <w:t xml:space="preserve">ook </w:t>
      </w:r>
      <w:r w:rsidR="00170D26">
        <w:t>b</w:t>
      </w:r>
      <w:r w:rsidR="00A63337">
        <w:t xml:space="preserve">asis </w:t>
      </w:r>
      <w:r w:rsidR="7A11630D">
        <w:t>includ</w:t>
      </w:r>
      <w:r w:rsidR="421970EE">
        <w:t>es</w:t>
      </w:r>
      <w:r w:rsidR="326B40ED">
        <w:t xml:space="preserve"> (but</w:t>
      </w:r>
      <w:r w:rsidR="1C093965">
        <w:t xml:space="preserve"> is</w:t>
      </w:r>
      <w:r w:rsidR="326B40ED">
        <w:t xml:space="preserve"> not limited to) the provision of pricing, </w:t>
      </w:r>
      <w:r w:rsidR="001F4413">
        <w:t>risks</w:t>
      </w:r>
      <w:r w:rsidR="00036E89">
        <w:t xml:space="preserve"> and contingency</w:t>
      </w:r>
      <w:r w:rsidR="00D834C6">
        <w:t>. This</w:t>
      </w:r>
      <w:r w:rsidR="001F4413">
        <w:t xml:space="preserve"> </w:t>
      </w:r>
      <w:r w:rsidR="326B40ED">
        <w:t xml:space="preserve">and other information </w:t>
      </w:r>
      <w:r w:rsidR="00D834C6">
        <w:t xml:space="preserve">should be provided </w:t>
      </w:r>
      <w:r w:rsidR="326B40ED">
        <w:t xml:space="preserve">on an </w:t>
      </w:r>
      <w:r w:rsidR="00170D26">
        <w:t>o</w:t>
      </w:r>
      <w:r w:rsidR="326B40ED">
        <w:t xml:space="preserve">pen </w:t>
      </w:r>
      <w:r w:rsidR="00170D26">
        <w:t>b</w:t>
      </w:r>
      <w:r w:rsidR="326B40ED">
        <w:t xml:space="preserve">ook </w:t>
      </w:r>
      <w:r w:rsidR="00170D26">
        <w:t>b</w:t>
      </w:r>
      <w:r w:rsidR="326B40ED">
        <w:t xml:space="preserve">asis to the Principal to enable a fully auditable, transparent and </w:t>
      </w:r>
      <w:r w:rsidR="004631CC">
        <w:t>VfM</w:t>
      </w:r>
      <w:r w:rsidR="326B40ED">
        <w:t xml:space="preserve"> assessment of actual costs and profit margins in respect of, among other things</w:t>
      </w:r>
      <w:r w:rsidR="7A11630D">
        <w:t>:</w:t>
      </w:r>
    </w:p>
    <w:p w14:paraId="0B7C78F8" w14:textId="1AC221AB" w:rsidR="00002D3A" w:rsidRDefault="00A079A3" w:rsidP="000D52B3">
      <w:pPr>
        <w:pStyle w:val="Bulletindent"/>
      </w:pPr>
      <w:r w:rsidRPr="00A079A3">
        <w:t>the preparation of, and any adjustment to, the TOC Estimate</w:t>
      </w:r>
      <w:r w:rsidR="000663A6">
        <w:t>;</w:t>
      </w:r>
    </w:p>
    <w:p w14:paraId="0696CCF1" w14:textId="31B0099F" w:rsidR="002A524B" w:rsidRPr="002A524B" w:rsidRDefault="4D2F9D1E" w:rsidP="000D52B3">
      <w:pPr>
        <w:pStyle w:val="Bulletindent"/>
      </w:pPr>
      <w:r>
        <w:t xml:space="preserve">the </w:t>
      </w:r>
      <w:r w:rsidR="00A079A3">
        <w:t>Delivery Phase Offe</w:t>
      </w:r>
      <w:r w:rsidR="004631CC">
        <w:t>r</w:t>
      </w:r>
      <w:r w:rsidR="000663A6">
        <w:t>; and</w:t>
      </w:r>
    </w:p>
    <w:p w14:paraId="413970B3" w14:textId="254FEF29" w:rsidR="00002D3A" w:rsidRDefault="00A079A3" w:rsidP="000D52B3">
      <w:pPr>
        <w:pStyle w:val="Bulletindent"/>
      </w:pPr>
      <w:r>
        <w:t>the procurement of any Subcontractors</w:t>
      </w:r>
      <w:r w:rsidR="4D2F9D1E">
        <w:t>.</w:t>
      </w:r>
    </w:p>
    <w:p w14:paraId="19FB9B0A" w14:textId="4A1FD22B" w:rsidR="002B5BB6" w:rsidRDefault="002B5BB6" w:rsidP="004C4B48">
      <w:pPr>
        <w:pStyle w:val="Heading2numbered"/>
      </w:pPr>
      <w:bookmarkStart w:id="447" w:name="_Toc65769127"/>
      <w:bookmarkStart w:id="448" w:name="_Toc65769890"/>
      <w:bookmarkStart w:id="449" w:name="_Toc65769131"/>
      <w:bookmarkStart w:id="450" w:name="_Toc65769894"/>
      <w:bookmarkStart w:id="451" w:name="_Toc65769133"/>
      <w:bookmarkStart w:id="452" w:name="_Toc65769896"/>
      <w:bookmarkStart w:id="453" w:name="_Toc59631069"/>
      <w:bookmarkStart w:id="454" w:name="_Toc65769134"/>
      <w:bookmarkStart w:id="455" w:name="_Toc65769897"/>
      <w:bookmarkStart w:id="456" w:name="_Toc59631070"/>
      <w:bookmarkStart w:id="457" w:name="_Toc65769135"/>
      <w:bookmarkStart w:id="458" w:name="_Toc65769898"/>
      <w:bookmarkStart w:id="459" w:name="_Toc131555107"/>
      <w:bookmarkStart w:id="460" w:name="_Toc131621316"/>
      <w:bookmarkStart w:id="461" w:name="_Toc131689900"/>
      <w:bookmarkStart w:id="462" w:name="_Toc131555108"/>
      <w:bookmarkStart w:id="463" w:name="_Toc131621317"/>
      <w:bookmarkStart w:id="464" w:name="_Toc131689901"/>
      <w:bookmarkStart w:id="465" w:name="_Toc131555109"/>
      <w:bookmarkStart w:id="466" w:name="_Toc131621318"/>
      <w:bookmarkStart w:id="467" w:name="_Toc131689902"/>
      <w:bookmarkStart w:id="468" w:name="_Toc131555110"/>
      <w:bookmarkStart w:id="469" w:name="_Toc131621319"/>
      <w:bookmarkStart w:id="470" w:name="_Toc131689903"/>
      <w:bookmarkStart w:id="471" w:name="_Toc131555111"/>
      <w:bookmarkStart w:id="472" w:name="_Toc131621320"/>
      <w:bookmarkStart w:id="473" w:name="_Toc131689904"/>
      <w:bookmarkStart w:id="474" w:name="_Toc131555112"/>
      <w:bookmarkStart w:id="475" w:name="_Toc131621321"/>
      <w:bookmarkStart w:id="476" w:name="_Toc131689905"/>
      <w:bookmarkStart w:id="477" w:name="_Toc131555113"/>
      <w:bookmarkStart w:id="478" w:name="_Toc131621322"/>
      <w:bookmarkStart w:id="479" w:name="_Toc131689906"/>
      <w:bookmarkStart w:id="480" w:name="_Toc131555114"/>
      <w:bookmarkStart w:id="481" w:name="_Toc131621323"/>
      <w:bookmarkStart w:id="482" w:name="_Toc131689907"/>
      <w:bookmarkStart w:id="483" w:name="_Toc131555115"/>
      <w:bookmarkStart w:id="484" w:name="_Toc131621324"/>
      <w:bookmarkStart w:id="485" w:name="_Toc131689908"/>
      <w:bookmarkStart w:id="486" w:name="_Toc131555116"/>
      <w:bookmarkStart w:id="487" w:name="_Toc131621325"/>
      <w:bookmarkStart w:id="488" w:name="_Toc131689909"/>
      <w:bookmarkStart w:id="489" w:name="_Toc131555117"/>
      <w:bookmarkStart w:id="490" w:name="_Toc131621326"/>
      <w:bookmarkStart w:id="491" w:name="_Toc131689910"/>
      <w:bookmarkStart w:id="492" w:name="_Toc131555118"/>
      <w:bookmarkStart w:id="493" w:name="_Toc131621327"/>
      <w:bookmarkStart w:id="494" w:name="_Toc131689911"/>
      <w:bookmarkStart w:id="495" w:name="_Toc131555119"/>
      <w:bookmarkStart w:id="496" w:name="_Toc131621328"/>
      <w:bookmarkStart w:id="497" w:name="_Toc131689912"/>
      <w:bookmarkStart w:id="498" w:name="_Toc131555120"/>
      <w:bookmarkStart w:id="499" w:name="_Toc131621329"/>
      <w:bookmarkStart w:id="500" w:name="_Toc131689913"/>
      <w:bookmarkStart w:id="501" w:name="_Toc131555121"/>
      <w:bookmarkStart w:id="502" w:name="_Toc131621330"/>
      <w:bookmarkStart w:id="503" w:name="_Toc131689914"/>
      <w:bookmarkStart w:id="504" w:name="_Toc131555122"/>
      <w:bookmarkStart w:id="505" w:name="_Toc131621331"/>
      <w:bookmarkStart w:id="506" w:name="_Toc131689915"/>
      <w:bookmarkStart w:id="507" w:name="_Toc131555123"/>
      <w:bookmarkStart w:id="508" w:name="_Toc131621332"/>
      <w:bookmarkStart w:id="509" w:name="_Toc131689916"/>
      <w:bookmarkStart w:id="510" w:name="_Toc131555124"/>
      <w:bookmarkStart w:id="511" w:name="_Toc131621333"/>
      <w:bookmarkStart w:id="512" w:name="_Toc131689917"/>
      <w:bookmarkStart w:id="513" w:name="_Toc59631074"/>
      <w:bookmarkStart w:id="514" w:name="_Toc65769139"/>
      <w:bookmarkStart w:id="515" w:name="_Toc65769902"/>
      <w:bookmarkStart w:id="516" w:name="_Toc59631086"/>
      <w:bookmarkStart w:id="517" w:name="_Toc65769151"/>
      <w:bookmarkStart w:id="518" w:name="_Toc65769914"/>
      <w:bookmarkStart w:id="519" w:name="_Toc59631095"/>
      <w:bookmarkStart w:id="520" w:name="_Toc65769160"/>
      <w:bookmarkStart w:id="521" w:name="_Toc65769923"/>
      <w:bookmarkStart w:id="522" w:name="_Toc59631110"/>
      <w:bookmarkStart w:id="523" w:name="_Toc65769175"/>
      <w:bookmarkStart w:id="524" w:name="_Toc65769938"/>
      <w:bookmarkStart w:id="525" w:name="_Toc59631119"/>
      <w:bookmarkStart w:id="526" w:name="_Toc65769184"/>
      <w:bookmarkStart w:id="527" w:name="_Toc65769947"/>
      <w:bookmarkStart w:id="528" w:name="_Toc59631122"/>
      <w:bookmarkStart w:id="529" w:name="_Toc65769187"/>
      <w:bookmarkStart w:id="530" w:name="_Toc65769950"/>
      <w:bookmarkStart w:id="531" w:name="_Toc59631130"/>
      <w:bookmarkStart w:id="532" w:name="_Toc65769195"/>
      <w:bookmarkStart w:id="533" w:name="_Toc65769958"/>
      <w:bookmarkStart w:id="534" w:name="_Toc59631139"/>
      <w:bookmarkStart w:id="535" w:name="_Toc65769204"/>
      <w:bookmarkStart w:id="536" w:name="_Toc65769967"/>
      <w:bookmarkStart w:id="537" w:name="_Toc131553515"/>
      <w:bookmarkStart w:id="538" w:name="_Toc131554313"/>
      <w:bookmarkStart w:id="539" w:name="_Toc131555125"/>
      <w:bookmarkStart w:id="540" w:name="_Toc131621334"/>
      <w:bookmarkStart w:id="541" w:name="_Toc131689918"/>
      <w:bookmarkStart w:id="542" w:name="_Toc131553516"/>
      <w:bookmarkStart w:id="543" w:name="_Toc131554314"/>
      <w:bookmarkStart w:id="544" w:name="_Toc131555126"/>
      <w:bookmarkStart w:id="545" w:name="_Toc131621335"/>
      <w:bookmarkStart w:id="546" w:name="_Toc131689919"/>
      <w:bookmarkStart w:id="547" w:name="_Toc131553517"/>
      <w:bookmarkStart w:id="548" w:name="_Toc131554315"/>
      <w:bookmarkStart w:id="549" w:name="_Toc131555127"/>
      <w:bookmarkStart w:id="550" w:name="_Toc131621336"/>
      <w:bookmarkStart w:id="551" w:name="_Toc131689920"/>
      <w:bookmarkStart w:id="552" w:name="_Toc131553518"/>
      <w:bookmarkStart w:id="553" w:name="_Toc131554316"/>
      <w:bookmarkStart w:id="554" w:name="_Toc131555128"/>
      <w:bookmarkStart w:id="555" w:name="_Toc131621337"/>
      <w:bookmarkStart w:id="556" w:name="_Toc131689921"/>
      <w:bookmarkStart w:id="557" w:name="_Toc131553519"/>
      <w:bookmarkStart w:id="558" w:name="_Toc131554317"/>
      <w:bookmarkStart w:id="559" w:name="_Toc131555129"/>
      <w:bookmarkStart w:id="560" w:name="_Toc131621338"/>
      <w:bookmarkStart w:id="561" w:name="_Toc131689922"/>
      <w:bookmarkStart w:id="562" w:name="_Toc131553520"/>
      <w:bookmarkStart w:id="563" w:name="_Toc131554318"/>
      <w:bookmarkStart w:id="564" w:name="_Toc131555130"/>
      <w:bookmarkStart w:id="565" w:name="_Toc131621339"/>
      <w:bookmarkStart w:id="566" w:name="_Toc131689923"/>
      <w:bookmarkStart w:id="567" w:name="_Toc131553521"/>
      <w:bookmarkStart w:id="568" w:name="_Toc131554319"/>
      <w:bookmarkStart w:id="569" w:name="_Toc131555131"/>
      <w:bookmarkStart w:id="570" w:name="_Toc131621340"/>
      <w:bookmarkStart w:id="571" w:name="_Toc131689924"/>
      <w:bookmarkStart w:id="572" w:name="_Toc131553522"/>
      <w:bookmarkStart w:id="573" w:name="_Toc131554320"/>
      <w:bookmarkStart w:id="574" w:name="_Toc131555132"/>
      <w:bookmarkStart w:id="575" w:name="_Toc131621341"/>
      <w:bookmarkStart w:id="576" w:name="_Toc131689925"/>
      <w:bookmarkStart w:id="577" w:name="_Toc131553523"/>
      <w:bookmarkStart w:id="578" w:name="_Toc131554321"/>
      <w:bookmarkStart w:id="579" w:name="_Toc131555133"/>
      <w:bookmarkStart w:id="580" w:name="_Toc131621342"/>
      <w:bookmarkStart w:id="581" w:name="_Toc131689926"/>
      <w:bookmarkStart w:id="582" w:name="_Toc131553524"/>
      <w:bookmarkStart w:id="583" w:name="_Toc131554322"/>
      <w:bookmarkStart w:id="584" w:name="_Toc131555134"/>
      <w:bookmarkStart w:id="585" w:name="_Toc131621343"/>
      <w:bookmarkStart w:id="586" w:name="_Toc131689927"/>
      <w:bookmarkStart w:id="587" w:name="_Toc131553525"/>
      <w:bookmarkStart w:id="588" w:name="_Toc131554323"/>
      <w:bookmarkStart w:id="589" w:name="_Toc131555135"/>
      <w:bookmarkStart w:id="590" w:name="_Toc131621344"/>
      <w:bookmarkStart w:id="591" w:name="_Toc131689928"/>
      <w:bookmarkStart w:id="592" w:name="_Toc131553526"/>
      <w:bookmarkStart w:id="593" w:name="_Toc131554324"/>
      <w:bookmarkStart w:id="594" w:name="_Toc131555136"/>
      <w:bookmarkStart w:id="595" w:name="_Toc131621345"/>
      <w:bookmarkStart w:id="596" w:name="_Toc131689929"/>
      <w:bookmarkStart w:id="597" w:name="_Toc131553527"/>
      <w:bookmarkStart w:id="598" w:name="_Toc131554325"/>
      <w:bookmarkStart w:id="599" w:name="_Toc131555137"/>
      <w:bookmarkStart w:id="600" w:name="_Toc131621346"/>
      <w:bookmarkStart w:id="601" w:name="_Toc131689930"/>
      <w:bookmarkStart w:id="602" w:name="_Toc131553528"/>
      <w:bookmarkStart w:id="603" w:name="_Toc131554326"/>
      <w:bookmarkStart w:id="604" w:name="_Toc131555138"/>
      <w:bookmarkStart w:id="605" w:name="_Toc131621347"/>
      <w:bookmarkStart w:id="606" w:name="_Toc131689931"/>
      <w:bookmarkStart w:id="607" w:name="_Toc131553529"/>
      <w:bookmarkStart w:id="608" w:name="_Toc131554327"/>
      <w:bookmarkStart w:id="609" w:name="_Toc131555139"/>
      <w:bookmarkStart w:id="610" w:name="_Toc131621348"/>
      <w:bookmarkStart w:id="611" w:name="_Toc131689932"/>
      <w:bookmarkStart w:id="612" w:name="_Toc131553530"/>
      <w:bookmarkStart w:id="613" w:name="_Toc131554328"/>
      <w:bookmarkStart w:id="614" w:name="_Toc131555140"/>
      <w:bookmarkStart w:id="615" w:name="_Toc131621349"/>
      <w:bookmarkStart w:id="616" w:name="_Toc131689933"/>
      <w:bookmarkStart w:id="617" w:name="_Toc131553531"/>
      <w:bookmarkStart w:id="618" w:name="_Toc131554329"/>
      <w:bookmarkStart w:id="619" w:name="_Toc131555141"/>
      <w:bookmarkStart w:id="620" w:name="_Toc131621350"/>
      <w:bookmarkStart w:id="621" w:name="_Toc131689934"/>
      <w:bookmarkStart w:id="622" w:name="_Toc131553532"/>
      <w:bookmarkStart w:id="623" w:name="_Toc131554330"/>
      <w:bookmarkStart w:id="624" w:name="_Toc131555142"/>
      <w:bookmarkStart w:id="625" w:name="_Toc131621351"/>
      <w:bookmarkStart w:id="626" w:name="_Toc131689935"/>
      <w:bookmarkStart w:id="627" w:name="_Toc131553533"/>
      <w:bookmarkStart w:id="628" w:name="_Toc131554331"/>
      <w:bookmarkStart w:id="629" w:name="_Toc131555143"/>
      <w:bookmarkStart w:id="630" w:name="_Toc131621352"/>
      <w:bookmarkStart w:id="631" w:name="_Toc131689936"/>
      <w:bookmarkStart w:id="632" w:name="_Toc131553534"/>
      <w:bookmarkStart w:id="633" w:name="_Toc131554332"/>
      <w:bookmarkStart w:id="634" w:name="_Toc131555144"/>
      <w:bookmarkStart w:id="635" w:name="_Toc131621353"/>
      <w:bookmarkStart w:id="636" w:name="_Toc131689937"/>
      <w:bookmarkStart w:id="637" w:name="_Toc131553535"/>
      <w:bookmarkStart w:id="638" w:name="_Toc131554333"/>
      <w:bookmarkStart w:id="639" w:name="_Toc131555145"/>
      <w:bookmarkStart w:id="640" w:name="_Toc131621354"/>
      <w:bookmarkStart w:id="641" w:name="_Toc131689938"/>
      <w:bookmarkStart w:id="642" w:name="_Toc131553536"/>
      <w:bookmarkStart w:id="643" w:name="_Toc131554334"/>
      <w:bookmarkStart w:id="644" w:name="_Toc131555146"/>
      <w:bookmarkStart w:id="645" w:name="_Toc131621355"/>
      <w:bookmarkStart w:id="646" w:name="_Toc131689939"/>
      <w:bookmarkStart w:id="647" w:name="_Toc131553537"/>
      <w:bookmarkStart w:id="648" w:name="_Toc131554335"/>
      <w:bookmarkStart w:id="649" w:name="_Toc131555147"/>
      <w:bookmarkStart w:id="650" w:name="_Toc131621356"/>
      <w:bookmarkStart w:id="651" w:name="_Toc131689940"/>
      <w:bookmarkStart w:id="652" w:name="_Toc131553538"/>
      <w:bookmarkStart w:id="653" w:name="_Toc131554336"/>
      <w:bookmarkStart w:id="654" w:name="_Toc131555148"/>
      <w:bookmarkStart w:id="655" w:name="_Toc131621357"/>
      <w:bookmarkStart w:id="656" w:name="_Toc131689941"/>
      <w:bookmarkStart w:id="657" w:name="_Toc131553539"/>
      <w:bookmarkStart w:id="658" w:name="_Toc131554337"/>
      <w:bookmarkStart w:id="659" w:name="_Toc131555149"/>
      <w:bookmarkStart w:id="660" w:name="_Toc131621358"/>
      <w:bookmarkStart w:id="661" w:name="_Toc131689942"/>
      <w:bookmarkStart w:id="662" w:name="_Toc131553540"/>
      <w:bookmarkStart w:id="663" w:name="_Toc131554338"/>
      <w:bookmarkStart w:id="664" w:name="_Toc131555150"/>
      <w:bookmarkStart w:id="665" w:name="_Toc131621359"/>
      <w:bookmarkStart w:id="666" w:name="_Toc131689943"/>
      <w:bookmarkStart w:id="667" w:name="_Toc131553541"/>
      <w:bookmarkStart w:id="668" w:name="_Toc131554339"/>
      <w:bookmarkStart w:id="669" w:name="_Toc131555151"/>
      <w:bookmarkStart w:id="670" w:name="_Toc131621360"/>
      <w:bookmarkStart w:id="671" w:name="_Toc131689944"/>
      <w:bookmarkStart w:id="672" w:name="_Toc131553542"/>
      <w:bookmarkStart w:id="673" w:name="_Toc131554340"/>
      <w:bookmarkStart w:id="674" w:name="_Toc131555152"/>
      <w:bookmarkStart w:id="675" w:name="_Toc131621361"/>
      <w:bookmarkStart w:id="676" w:name="_Toc131689945"/>
      <w:bookmarkStart w:id="677" w:name="_Toc131553543"/>
      <w:bookmarkStart w:id="678" w:name="_Toc131554341"/>
      <w:bookmarkStart w:id="679" w:name="_Toc131555153"/>
      <w:bookmarkStart w:id="680" w:name="_Toc131621362"/>
      <w:bookmarkStart w:id="681" w:name="_Toc131689946"/>
      <w:bookmarkStart w:id="682" w:name="_Toc131553544"/>
      <w:bookmarkStart w:id="683" w:name="_Toc131554342"/>
      <w:bookmarkStart w:id="684" w:name="_Toc131555154"/>
      <w:bookmarkStart w:id="685" w:name="_Toc131621363"/>
      <w:bookmarkStart w:id="686" w:name="_Toc131689947"/>
      <w:bookmarkStart w:id="687" w:name="_Toc131553545"/>
      <w:bookmarkStart w:id="688" w:name="_Toc131554343"/>
      <w:bookmarkStart w:id="689" w:name="_Toc131555155"/>
      <w:bookmarkStart w:id="690" w:name="_Toc131621364"/>
      <w:bookmarkStart w:id="691" w:name="_Toc131689948"/>
      <w:bookmarkStart w:id="692" w:name="_Toc131553546"/>
      <w:bookmarkStart w:id="693" w:name="_Toc131554344"/>
      <w:bookmarkStart w:id="694" w:name="_Toc131555156"/>
      <w:bookmarkStart w:id="695" w:name="_Toc131621365"/>
      <w:bookmarkStart w:id="696" w:name="_Toc131689949"/>
      <w:bookmarkStart w:id="697" w:name="_Toc131553547"/>
      <w:bookmarkStart w:id="698" w:name="_Toc131554345"/>
      <w:bookmarkStart w:id="699" w:name="_Toc131555157"/>
      <w:bookmarkStart w:id="700" w:name="_Toc131621366"/>
      <w:bookmarkStart w:id="701" w:name="_Toc131689950"/>
      <w:bookmarkStart w:id="702" w:name="_Toc131553548"/>
      <w:bookmarkStart w:id="703" w:name="_Toc131554346"/>
      <w:bookmarkStart w:id="704" w:name="_Toc131555158"/>
      <w:bookmarkStart w:id="705" w:name="_Toc131621367"/>
      <w:bookmarkStart w:id="706" w:name="_Toc131689951"/>
      <w:bookmarkStart w:id="707" w:name="_Toc131553549"/>
      <w:bookmarkStart w:id="708" w:name="_Toc131554347"/>
      <w:bookmarkStart w:id="709" w:name="_Toc131555159"/>
      <w:bookmarkStart w:id="710" w:name="_Toc131621368"/>
      <w:bookmarkStart w:id="711" w:name="_Toc131689952"/>
      <w:bookmarkStart w:id="712" w:name="_Toc131553550"/>
      <w:bookmarkStart w:id="713" w:name="_Toc131554348"/>
      <w:bookmarkStart w:id="714" w:name="_Toc131555160"/>
      <w:bookmarkStart w:id="715" w:name="_Toc131621369"/>
      <w:bookmarkStart w:id="716" w:name="_Toc131689953"/>
      <w:bookmarkStart w:id="717" w:name="_Toc131553551"/>
      <w:bookmarkStart w:id="718" w:name="_Toc131554349"/>
      <w:bookmarkStart w:id="719" w:name="_Toc131555161"/>
      <w:bookmarkStart w:id="720" w:name="_Toc131621370"/>
      <w:bookmarkStart w:id="721" w:name="_Toc131689954"/>
      <w:bookmarkStart w:id="722" w:name="_Toc131553552"/>
      <w:bookmarkStart w:id="723" w:name="_Toc131554350"/>
      <w:bookmarkStart w:id="724" w:name="_Toc131555162"/>
      <w:bookmarkStart w:id="725" w:name="_Toc131621371"/>
      <w:bookmarkStart w:id="726" w:name="_Toc131689955"/>
      <w:bookmarkStart w:id="727" w:name="_Toc131553553"/>
      <w:bookmarkStart w:id="728" w:name="_Toc131554351"/>
      <w:bookmarkStart w:id="729" w:name="_Toc131555163"/>
      <w:bookmarkStart w:id="730" w:name="_Toc131621372"/>
      <w:bookmarkStart w:id="731" w:name="_Toc131689956"/>
      <w:bookmarkStart w:id="732" w:name="_Toc131553554"/>
      <w:bookmarkStart w:id="733" w:name="_Toc131554352"/>
      <w:bookmarkStart w:id="734" w:name="_Toc131555164"/>
      <w:bookmarkStart w:id="735" w:name="_Toc131621373"/>
      <w:bookmarkStart w:id="736" w:name="_Toc131689957"/>
      <w:bookmarkStart w:id="737" w:name="_Toc131553555"/>
      <w:bookmarkStart w:id="738" w:name="_Toc131554353"/>
      <w:bookmarkStart w:id="739" w:name="_Toc131555165"/>
      <w:bookmarkStart w:id="740" w:name="_Toc131621374"/>
      <w:bookmarkStart w:id="741" w:name="_Toc131689958"/>
      <w:bookmarkStart w:id="742" w:name="_Toc131553556"/>
      <w:bookmarkStart w:id="743" w:name="_Toc131554354"/>
      <w:bookmarkStart w:id="744" w:name="_Toc131555166"/>
      <w:bookmarkStart w:id="745" w:name="_Toc131621375"/>
      <w:bookmarkStart w:id="746" w:name="_Toc131689959"/>
      <w:bookmarkStart w:id="747" w:name="_Toc131553557"/>
      <w:bookmarkStart w:id="748" w:name="_Toc131554355"/>
      <w:bookmarkStart w:id="749" w:name="_Toc131555167"/>
      <w:bookmarkStart w:id="750" w:name="_Toc131621376"/>
      <w:bookmarkStart w:id="751" w:name="_Toc131689960"/>
      <w:bookmarkStart w:id="752" w:name="_Toc131553558"/>
      <w:bookmarkStart w:id="753" w:name="_Toc131554356"/>
      <w:bookmarkStart w:id="754" w:name="_Toc131555168"/>
      <w:bookmarkStart w:id="755" w:name="_Toc131621377"/>
      <w:bookmarkStart w:id="756" w:name="_Toc131689961"/>
      <w:bookmarkStart w:id="757" w:name="_Toc131553559"/>
      <w:bookmarkStart w:id="758" w:name="_Toc131554357"/>
      <w:bookmarkStart w:id="759" w:name="_Toc131555169"/>
      <w:bookmarkStart w:id="760" w:name="_Toc131621378"/>
      <w:bookmarkStart w:id="761" w:name="_Toc131689962"/>
      <w:bookmarkStart w:id="762" w:name="_Toc131553560"/>
      <w:bookmarkStart w:id="763" w:name="_Toc131554358"/>
      <w:bookmarkStart w:id="764" w:name="_Toc131555170"/>
      <w:bookmarkStart w:id="765" w:name="_Toc131621379"/>
      <w:bookmarkStart w:id="766" w:name="_Toc131689963"/>
      <w:bookmarkStart w:id="767" w:name="_Toc131553561"/>
      <w:bookmarkStart w:id="768" w:name="_Toc131554359"/>
      <w:bookmarkStart w:id="769" w:name="_Toc131555171"/>
      <w:bookmarkStart w:id="770" w:name="_Toc131621380"/>
      <w:bookmarkStart w:id="771" w:name="_Toc131689964"/>
      <w:bookmarkStart w:id="772" w:name="_Toc131553562"/>
      <w:bookmarkStart w:id="773" w:name="_Toc131554360"/>
      <w:bookmarkStart w:id="774" w:name="_Toc131555172"/>
      <w:bookmarkStart w:id="775" w:name="_Toc131621381"/>
      <w:bookmarkStart w:id="776" w:name="_Toc131689965"/>
      <w:bookmarkStart w:id="777" w:name="_Toc131553563"/>
      <w:bookmarkStart w:id="778" w:name="_Toc131554361"/>
      <w:bookmarkStart w:id="779" w:name="_Toc131555173"/>
      <w:bookmarkStart w:id="780" w:name="_Toc131621382"/>
      <w:bookmarkStart w:id="781" w:name="_Toc131689966"/>
      <w:bookmarkStart w:id="782" w:name="_Toc65769209"/>
      <w:bookmarkStart w:id="783" w:name="_Toc65769972"/>
      <w:bookmarkStart w:id="784" w:name="_Toc65769213"/>
      <w:bookmarkStart w:id="785" w:name="_Toc65769976"/>
      <w:bookmarkStart w:id="786" w:name="_Toc65769214"/>
      <w:bookmarkStart w:id="787" w:name="_Toc65769977"/>
      <w:bookmarkStart w:id="788" w:name="_Toc65769216"/>
      <w:bookmarkStart w:id="789" w:name="_Toc65769979"/>
      <w:bookmarkStart w:id="790" w:name="_Toc65769217"/>
      <w:bookmarkStart w:id="791" w:name="_Toc65769980"/>
      <w:bookmarkStart w:id="792" w:name="_Toc65769219"/>
      <w:bookmarkStart w:id="793" w:name="_Toc65769982"/>
      <w:bookmarkStart w:id="794" w:name="_Toc65769225"/>
      <w:bookmarkStart w:id="795" w:name="_Toc65769988"/>
      <w:bookmarkStart w:id="796" w:name="_Toc65769226"/>
      <w:bookmarkStart w:id="797" w:name="_Toc65769989"/>
      <w:bookmarkStart w:id="798" w:name="_Toc65769231"/>
      <w:bookmarkStart w:id="799" w:name="_Toc65769994"/>
      <w:bookmarkStart w:id="800" w:name="_Toc65769234"/>
      <w:bookmarkStart w:id="801" w:name="_Toc65769997"/>
      <w:bookmarkStart w:id="802" w:name="_Toc65769237"/>
      <w:bookmarkStart w:id="803" w:name="_Toc65770000"/>
      <w:bookmarkStart w:id="804" w:name="_Toc65769240"/>
      <w:bookmarkStart w:id="805" w:name="_Toc65770003"/>
      <w:bookmarkStart w:id="806" w:name="_Toc65769243"/>
      <w:bookmarkStart w:id="807" w:name="_Toc65770006"/>
      <w:bookmarkStart w:id="808" w:name="_Toc65769246"/>
      <w:bookmarkStart w:id="809" w:name="_Toc65770009"/>
      <w:bookmarkStart w:id="810" w:name="_Toc65769252"/>
      <w:bookmarkStart w:id="811" w:name="_Toc65770015"/>
      <w:bookmarkStart w:id="812" w:name="_Toc65769255"/>
      <w:bookmarkStart w:id="813" w:name="_Toc65770018"/>
      <w:bookmarkStart w:id="814" w:name="_Toc65769257"/>
      <w:bookmarkStart w:id="815" w:name="_Toc65770020"/>
      <w:bookmarkStart w:id="816" w:name="_Toc65769259"/>
      <w:bookmarkStart w:id="817" w:name="_Toc65770022"/>
      <w:bookmarkStart w:id="818" w:name="_Toc65769260"/>
      <w:bookmarkStart w:id="819" w:name="_Toc65770023"/>
      <w:bookmarkStart w:id="820" w:name="_Toc65769262"/>
      <w:bookmarkStart w:id="821" w:name="_Toc65770025"/>
      <w:bookmarkStart w:id="822" w:name="_Toc65769263"/>
      <w:bookmarkStart w:id="823" w:name="_Toc65770026"/>
      <w:bookmarkStart w:id="824" w:name="_Toc65769265"/>
      <w:bookmarkStart w:id="825" w:name="_Toc65770028"/>
      <w:bookmarkStart w:id="826" w:name="_Toc65769266"/>
      <w:bookmarkStart w:id="827" w:name="_Toc65770029"/>
      <w:bookmarkStart w:id="828" w:name="_Toc65769270"/>
      <w:bookmarkStart w:id="829" w:name="_Toc65770033"/>
      <w:bookmarkStart w:id="830" w:name="_Toc65769271"/>
      <w:bookmarkStart w:id="831" w:name="_Toc65770034"/>
      <w:bookmarkStart w:id="832" w:name="_Toc133577884"/>
      <w:bookmarkStart w:id="833" w:name="_Toc65770035"/>
      <w:bookmarkStart w:id="834" w:name="_Toc145612579"/>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t>Early Delivery Activities</w:t>
      </w:r>
      <w:bookmarkEnd w:id="832"/>
      <w:r w:rsidR="00A63337">
        <w:t xml:space="preserve"> </w:t>
      </w:r>
      <w:r w:rsidR="00A63337" w:rsidRPr="00A63337">
        <w:t>(clause</w:t>
      </w:r>
      <w:r w:rsidR="00754976" w:rsidRPr="00754976">
        <w:rPr>
          <w:rFonts w:ascii="Calibri" w:hAnsi="Calibri" w:cs="Calibri"/>
        </w:rPr>
        <w:t> </w:t>
      </w:r>
      <w:r w:rsidR="00A63337" w:rsidRPr="00A63337">
        <w:t>9 of the ITC Development Deed)</w:t>
      </w:r>
      <w:bookmarkEnd w:id="833"/>
      <w:bookmarkEnd w:id="834"/>
    </w:p>
    <w:p w14:paraId="6477881A" w14:textId="2FB5B5C4" w:rsidR="002B5BB6" w:rsidRDefault="002B5BB6" w:rsidP="004C4B48">
      <w:pPr>
        <w:pStyle w:val="Heading3numbered"/>
      </w:pPr>
      <w:r>
        <w:t>Direction</w:t>
      </w:r>
      <w:r w:rsidR="00A63337" w:rsidRPr="00A63337">
        <w:t xml:space="preserve"> (clauses</w:t>
      </w:r>
      <w:r w:rsidR="00754976" w:rsidRPr="00754976">
        <w:rPr>
          <w:rFonts w:ascii="Calibri" w:hAnsi="Calibri" w:cs="Calibri"/>
        </w:rPr>
        <w:t> </w:t>
      </w:r>
      <w:r w:rsidR="00A63337" w:rsidRPr="00A63337">
        <w:t>9.1 and 9.2 of the ITC Development Deed)</w:t>
      </w:r>
    </w:p>
    <w:p w14:paraId="14419809" w14:textId="63CB7951" w:rsidR="00790EE6" w:rsidRDefault="00790EE6" w:rsidP="00BD2343">
      <w:pPr>
        <w:pStyle w:val="NormalIndent"/>
      </w:pPr>
      <w:r>
        <w:t xml:space="preserve">At any time, the Principal Representative may </w:t>
      </w:r>
      <w:r w:rsidR="008448BB">
        <w:t xml:space="preserve">issue an Early Delivery Activities Direction to </w:t>
      </w:r>
      <w:r>
        <w:t>the Shortlisted Respondent</w:t>
      </w:r>
      <w:r w:rsidR="008448BB">
        <w:t>.</w:t>
      </w:r>
      <w:r>
        <w:t xml:space="preserve"> </w:t>
      </w:r>
      <w:r w:rsidR="00FF5666">
        <w:t xml:space="preserve">This </w:t>
      </w:r>
      <w:r w:rsidR="008448BB">
        <w:t xml:space="preserve">Direction is </w:t>
      </w:r>
      <w:r>
        <w:t xml:space="preserve">a written notice in the form of </w:t>
      </w:r>
      <w:r w:rsidR="00E01173">
        <w:t>S</w:t>
      </w:r>
      <w:r>
        <w:t>chedule</w:t>
      </w:r>
      <w:r w:rsidR="00754976" w:rsidRPr="00754976">
        <w:rPr>
          <w:rFonts w:ascii="Calibri" w:hAnsi="Calibri" w:cs="Calibri"/>
        </w:rPr>
        <w:t> </w:t>
      </w:r>
      <w:r>
        <w:t xml:space="preserve">7 </w:t>
      </w:r>
      <w:r w:rsidR="006C5478">
        <w:t xml:space="preserve">that </w:t>
      </w:r>
      <w:r>
        <w:t>contains particulars of the scope, commencement and completion dates for the Early Delivery Activities. The Shortlisted Respondent must not carry out any Early Delivery Activities unless so directed by the Principal Representative.</w:t>
      </w:r>
    </w:p>
    <w:p w14:paraId="33725D2C" w14:textId="02BBCD49" w:rsidR="00790EE6" w:rsidRDefault="00790EE6" w:rsidP="00BD2343">
      <w:pPr>
        <w:pStyle w:val="NormalIndent"/>
      </w:pPr>
      <w:r>
        <w:t xml:space="preserve">Additionally, the Principal Representative may issue the Shortlisted Respondent with a notice of proposed Early Delivery Activities. </w:t>
      </w:r>
      <w:r w:rsidR="008448BB">
        <w:t xml:space="preserve">Where the Principal Representative issues such a notice, the </w:t>
      </w:r>
      <w:r>
        <w:t>Shortlisted Respondent must provide a</w:t>
      </w:r>
      <w:r w:rsidR="008448BB">
        <w:t>n Early Delivery Activities Proposal</w:t>
      </w:r>
      <w:r>
        <w:t xml:space="preserve"> </w:t>
      </w:r>
      <w:r w:rsidR="008448BB">
        <w:t>(</w:t>
      </w:r>
      <w:r>
        <w:t xml:space="preserve">in the form of </w:t>
      </w:r>
      <w:r w:rsidR="00E01173">
        <w:t>S</w:t>
      </w:r>
      <w:r>
        <w:t>chedule</w:t>
      </w:r>
      <w:r w:rsidR="00754976" w:rsidRPr="00754976">
        <w:rPr>
          <w:rFonts w:ascii="Calibri" w:hAnsi="Calibri" w:cs="Calibri"/>
        </w:rPr>
        <w:t> </w:t>
      </w:r>
      <w:r>
        <w:t>8</w:t>
      </w:r>
      <w:r w:rsidR="008448BB">
        <w:t>)</w:t>
      </w:r>
      <w:r>
        <w:t xml:space="preserve"> within 10 Business Days, or as otherwise reasonably agreed.</w:t>
      </w:r>
    </w:p>
    <w:p w14:paraId="456D3AE6" w14:textId="7606B058" w:rsidR="00790EE6" w:rsidRDefault="1525AB4C" w:rsidP="00BD2343">
      <w:pPr>
        <w:pStyle w:val="NormalIndent"/>
      </w:pPr>
      <w:r>
        <w:t xml:space="preserve">As noted </w:t>
      </w:r>
      <w:r w:rsidR="1F7374A1">
        <w:t>in section</w:t>
      </w:r>
      <w:r w:rsidR="00FF2598">
        <w:t xml:space="preserve"> </w:t>
      </w:r>
      <w:r w:rsidR="00FF2598">
        <w:fldChar w:fldCharType="begin" w:fldLock="1"/>
      </w:r>
      <w:r w:rsidR="00FF2598">
        <w:instrText xml:space="preserve"> REF _Ref144735420 \n \h </w:instrText>
      </w:r>
      <w:r w:rsidR="00FF2598">
        <w:fldChar w:fldCharType="separate"/>
      </w:r>
      <w:r w:rsidR="00400321">
        <w:t>1.4.3</w:t>
      </w:r>
      <w:r w:rsidR="00FF2598">
        <w:fldChar w:fldCharType="end"/>
      </w:r>
      <w:r w:rsidR="00C603C8">
        <w:t>,</w:t>
      </w:r>
      <w:r w:rsidR="1F7374A1" w:rsidDel="00C603C8">
        <w:t xml:space="preserve"> </w:t>
      </w:r>
      <w:r w:rsidR="3EB815CC">
        <w:t xml:space="preserve">where there are multiple </w:t>
      </w:r>
      <w:r w:rsidR="4922CB3C">
        <w:t>S</w:t>
      </w:r>
      <w:r w:rsidR="6C3AA59A">
        <w:t>hortlisted</w:t>
      </w:r>
      <w:r w:rsidR="742F6216">
        <w:t xml:space="preserve"> </w:t>
      </w:r>
      <w:r w:rsidR="4922CB3C">
        <w:t>R</w:t>
      </w:r>
      <w:r w:rsidR="742F6216">
        <w:t>espondent</w:t>
      </w:r>
      <w:r w:rsidR="3EB815CC">
        <w:t xml:space="preserve">s, it </w:t>
      </w:r>
      <w:r w:rsidR="07E086D2">
        <w:t xml:space="preserve">can be challenging </w:t>
      </w:r>
      <w:r w:rsidR="3EB815CC">
        <w:t xml:space="preserve">to monitor </w:t>
      </w:r>
      <w:r>
        <w:t>probity requirements</w:t>
      </w:r>
      <w:r w:rsidR="3EB815CC">
        <w:t xml:space="preserve"> under the ITC </w:t>
      </w:r>
      <w:r w:rsidR="4BF74DF8">
        <w:t>Development Deed</w:t>
      </w:r>
      <w:r w:rsidR="3EB815CC">
        <w:t xml:space="preserve">. This is especially true </w:t>
      </w:r>
      <w:r w:rsidR="1A20325A">
        <w:t xml:space="preserve">while </w:t>
      </w:r>
      <w:r>
        <w:t xml:space="preserve">undertaking Early Delivery Activities under </w:t>
      </w:r>
      <w:r w:rsidR="1A20325A">
        <w:t xml:space="preserve">an </w:t>
      </w:r>
      <w:r>
        <w:t xml:space="preserve">ITC </w:t>
      </w:r>
      <w:r w:rsidR="4BF74DF8">
        <w:t>Development Deed</w:t>
      </w:r>
      <w:r>
        <w:t xml:space="preserve">. The </w:t>
      </w:r>
      <w:r w:rsidR="1A20325A">
        <w:t xml:space="preserve">procuring </w:t>
      </w:r>
      <w:r w:rsidR="13655803">
        <w:t>agency</w:t>
      </w:r>
      <w:r w:rsidR="1A20325A">
        <w:t xml:space="preserve"> </w:t>
      </w:r>
      <w:r>
        <w:t xml:space="preserve">should consider whether a separate tender process could be used for Early Delivery Activities </w:t>
      </w:r>
      <w:r w:rsidR="3EB815CC">
        <w:t>if they</w:t>
      </w:r>
      <w:r>
        <w:t xml:space="preserve"> occur early in the </w:t>
      </w:r>
      <w:r w:rsidR="37304787">
        <w:t>P</w:t>
      </w:r>
      <w:r>
        <w:t>roject (</w:t>
      </w:r>
      <w:r w:rsidR="00382569">
        <w:t>e.g.</w:t>
      </w:r>
      <w:r>
        <w:t xml:space="preserve"> they are on the critical path)</w:t>
      </w:r>
      <w:r w:rsidR="00AB6CA8">
        <w:t>,</w:t>
      </w:r>
      <w:r>
        <w:t xml:space="preserve"> but the work is not so integrated into the </w:t>
      </w:r>
      <w:r w:rsidR="37304787">
        <w:t>P</w:t>
      </w:r>
      <w:r>
        <w:t xml:space="preserve">roject or design solution that it needs to be </w:t>
      </w:r>
      <w:r w:rsidR="3EB815CC">
        <w:t xml:space="preserve">completed </w:t>
      </w:r>
      <w:r>
        <w:t>by a Shortlisted Respondent.</w:t>
      </w:r>
    </w:p>
    <w:p w14:paraId="3F15B65E" w14:textId="37C5E0E5" w:rsidR="002B5BB6" w:rsidRDefault="002B5BB6" w:rsidP="004C4B48">
      <w:pPr>
        <w:pStyle w:val="Heading3numbered"/>
      </w:pPr>
      <w:r>
        <w:t>Conduct of Early Delivery Activities</w:t>
      </w:r>
      <w:r w:rsidR="00A63337" w:rsidRPr="00A63337">
        <w:t xml:space="preserve"> (clause</w:t>
      </w:r>
      <w:r w:rsidR="00754976" w:rsidRPr="00754976">
        <w:rPr>
          <w:rFonts w:ascii="Calibri" w:hAnsi="Calibri" w:cs="Calibri"/>
        </w:rPr>
        <w:t> </w:t>
      </w:r>
      <w:r w:rsidR="00A63337" w:rsidRPr="00A63337">
        <w:t>9.5 of the ITC Development Deed)</w:t>
      </w:r>
    </w:p>
    <w:p w14:paraId="6990299E" w14:textId="7ED0CAA8" w:rsidR="00790EE6" w:rsidRDefault="00FF5666" w:rsidP="00BD2343">
      <w:pPr>
        <w:pStyle w:val="NormalIndent"/>
      </w:pPr>
      <w:r>
        <w:t>E</w:t>
      </w:r>
      <w:r w:rsidR="380CCD87">
        <w:t xml:space="preserve">arly Delivery Activities </w:t>
      </w:r>
      <w:r>
        <w:t>are anything</w:t>
      </w:r>
      <w:r w:rsidR="63026A3E">
        <w:t xml:space="preserve"> </w:t>
      </w:r>
      <w:r w:rsidR="380CCD87">
        <w:t>the Shortlisted Respondent is</w:t>
      </w:r>
      <w:r w:rsidR="63026A3E">
        <w:t xml:space="preserve"> or may be</w:t>
      </w:r>
      <w:r w:rsidR="380CCD87">
        <w:t xml:space="preserve"> required to </w:t>
      </w:r>
      <w:r w:rsidR="63026A3E">
        <w:t xml:space="preserve">do to comply with its obligations under the ITC </w:t>
      </w:r>
      <w:r w:rsidR="00ED6C21">
        <w:t>Development Deed</w:t>
      </w:r>
      <w:r w:rsidR="7725F1FD">
        <w:t>.</w:t>
      </w:r>
      <w:r w:rsidR="380CCD87">
        <w:t xml:space="preserve"> </w:t>
      </w:r>
      <w:r w:rsidR="7725F1FD">
        <w:t xml:space="preserve">This </w:t>
      </w:r>
      <w:r w:rsidR="007135CE">
        <w:t>incorporates</w:t>
      </w:r>
      <w:r w:rsidR="380CCD87">
        <w:t xml:space="preserve"> design, construction, commissioning and completion of the Early Works</w:t>
      </w:r>
      <w:r w:rsidR="63026A3E">
        <w:t xml:space="preserve">, </w:t>
      </w:r>
      <w:r w:rsidR="003E21B1">
        <w:t xml:space="preserve">which are </w:t>
      </w:r>
      <w:r w:rsidR="63026A3E">
        <w:t xml:space="preserve">any physical works to be executed in accordance with the ITC </w:t>
      </w:r>
      <w:r w:rsidR="00ED6C21">
        <w:t>Development Deed</w:t>
      </w:r>
      <w:r w:rsidR="380CCD87">
        <w:t>.</w:t>
      </w:r>
    </w:p>
    <w:p w14:paraId="5A997048" w14:textId="1D477DB4" w:rsidR="00790EE6" w:rsidRDefault="00790EE6" w:rsidP="00BD2343">
      <w:pPr>
        <w:pStyle w:val="NormalIndent"/>
      </w:pPr>
      <w:r>
        <w:t xml:space="preserve">Unless otherwise specified in the Early Delivery Activities Direction, the Early Delivery Activities </w:t>
      </w:r>
      <w:r w:rsidR="008C139C">
        <w:t>are</w:t>
      </w:r>
      <w:r>
        <w:t xml:space="preserve"> subject to the terms of the Agreed ITC Delivery Deed.</w:t>
      </w:r>
    </w:p>
    <w:p w14:paraId="4B756AD9" w14:textId="2F3AF94A" w:rsidR="00790EE6" w:rsidRPr="00A65BF5" w:rsidRDefault="00790EE6" w:rsidP="00BD2343">
      <w:pPr>
        <w:pStyle w:val="NormalIndent"/>
        <w:rPr>
          <w:b/>
          <w:bCs/>
          <w:i/>
          <w:iCs/>
        </w:rPr>
      </w:pPr>
      <w:r w:rsidRPr="00BC3452">
        <w:t xml:space="preserve">Payment for the Early Delivery Activities </w:t>
      </w:r>
      <w:r w:rsidR="008C139C">
        <w:t>is</w:t>
      </w:r>
      <w:r w:rsidRPr="00BC3452">
        <w:t xml:space="preserve"> made in accordance with the Agreed ITC Delivery</w:t>
      </w:r>
      <w:r w:rsidR="00BC3452">
        <w:t xml:space="preserve"> </w:t>
      </w:r>
      <w:r w:rsidRPr="00BC3452">
        <w:t>Deed unless agreed otherwise</w:t>
      </w:r>
      <w:r w:rsidR="002F0FC3" w:rsidRPr="00BC3452">
        <w:t xml:space="preserve"> (clause</w:t>
      </w:r>
      <w:r w:rsidR="00754976" w:rsidRPr="00754976">
        <w:rPr>
          <w:rFonts w:ascii="Calibri" w:hAnsi="Calibri" w:cs="Calibri"/>
        </w:rPr>
        <w:t> </w:t>
      </w:r>
      <w:r w:rsidR="002F0FC3" w:rsidRPr="00BC3452">
        <w:t>9.5(d)</w:t>
      </w:r>
      <w:r w:rsidR="00D27611">
        <w:t xml:space="preserve"> of the ITC Development Deed</w:t>
      </w:r>
      <w:r w:rsidR="002F0FC3" w:rsidRPr="00BC3452">
        <w:t>)</w:t>
      </w:r>
      <w:r w:rsidR="002E60BB">
        <w:t>.</w:t>
      </w:r>
      <w:r w:rsidRPr="00BC3452">
        <w:t xml:space="preserve"> </w:t>
      </w:r>
      <w:r>
        <w:t>The Risk or Reward Regime under the ITC Delivery Deed</w:t>
      </w:r>
      <w:r w:rsidR="002F0FC3">
        <w:t>,</w:t>
      </w:r>
      <w:r>
        <w:t xml:space="preserve"> which provides for </w:t>
      </w:r>
      <w:r w:rsidR="00D27611" w:rsidRPr="00D27611">
        <w:t>the Gainshare</w:t>
      </w:r>
      <w:r w:rsidR="00384050">
        <w:t>/Painshare</w:t>
      </w:r>
      <w:r w:rsidR="00D27611" w:rsidRPr="00D27611">
        <w:t xml:space="preserve"> Adjustment </w:t>
      </w:r>
      <w:r>
        <w:t xml:space="preserve">and </w:t>
      </w:r>
      <w:r w:rsidR="00EC4240">
        <w:t>P</w:t>
      </w:r>
      <w:r>
        <w:t xml:space="preserve">erformance </w:t>
      </w:r>
      <w:r w:rsidR="00EC4240">
        <w:t>R</w:t>
      </w:r>
      <w:r>
        <w:t>eward payments</w:t>
      </w:r>
      <w:r w:rsidR="002F0FC3">
        <w:t>,</w:t>
      </w:r>
      <w:r>
        <w:t xml:space="preserve"> does not apply </w:t>
      </w:r>
      <w:r w:rsidR="002F0FC3">
        <w:t>during the Development Phase</w:t>
      </w:r>
      <w:r>
        <w:t>.</w:t>
      </w:r>
    </w:p>
    <w:p w14:paraId="7290E7DD" w14:textId="1F490D71" w:rsidR="00790EE6" w:rsidRDefault="00790EE6" w:rsidP="00BD2343">
      <w:pPr>
        <w:pStyle w:val="NormalIndent"/>
      </w:pPr>
      <w:r>
        <w:t>In performing any Early Delivery Activities, the Shortlisted Respondent must not establish any accommodation, facilities or presence on the Site unless expressly directed by the Principal.</w:t>
      </w:r>
    </w:p>
    <w:p w14:paraId="2FBF07DC" w14:textId="5FF933A4" w:rsidR="002B5BB6" w:rsidRDefault="002B5BB6" w:rsidP="004C4B48">
      <w:pPr>
        <w:pStyle w:val="Heading3numbered"/>
      </w:pPr>
      <w:r>
        <w:t xml:space="preserve">Early Works </w:t>
      </w:r>
      <w:r w:rsidR="00F34747">
        <w:t>DLP</w:t>
      </w:r>
      <w:r w:rsidR="00D27611">
        <w:t xml:space="preserve"> (clause</w:t>
      </w:r>
      <w:r w:rsidR="00754976" w:rsidRPr="00754976">
        <w:rPr>
          <w:rFonts w:ascii="Calibri" w:hAnsi="Calibri" w:cs="Calibri"/>
        </w:rPr>
        <w:t> </w:t>
      </w:r>
      <w:r w:rsidR="00D27611">
        <w:t>9.7</w:t>
      </w:r>
      <w:r w:rsidR="00D27611" w:rsidRPr="0025769D">
        <w:t xml:space="preserve"> of the </w:t>
      </w:r>
      <w:r w:rsidR="00D27611">
        <w:t>ITC Development Deed)</w:t>
      </w:r>
    </w:p>
    <w:p w14:paraId="7137E872" w14:textId="07E1C2DC" w:rsidR="00790EE6" w:rsidRDefault="00790EE6" w:rsidP="00BD2343">
      <w:pPr>
        <w:pStyle w:val="NormalIndent"/>
      </w:pPr>
      <w:r>
        <w:t>If the Shortlisted Respondent</w:t>
      </w:r>
      <w:r w:rsidR="00632B5D">
        <w:t>’</w:t>
      </w:r>
      <w:r>
        <w:t xml:space="preserve">s Delivery Phase Offer is rejected by the Principal, the Shortlisted Respondent must continue to carry out the Early Delivery Activities to complete the Early Works in accordance with ITC </w:t>
      </w:r>
      <w:r w:rsidR="00ED6C21">
        <w:t>Development Deed</w:t>
      </w:r>
      <w:r>
        <w:t>.</w:t>
      </w:r>
    </w:p>
    <w:p w14:paraId="3ABC813B" w14:textId="097EC255" w:rsidR="00790EE6" w:rsidRDefault="00790EE6" w:rsidP="00BD2343">
      <w:pPr>
        <w:pStyle w:val="NormalIndent"/>
      </w:pPr>
      <w:r>
        <w:t xml:space="preserve">The Early Works DLP is 12 </w:t>
      </w:r>
      <w:r w:rsidR="0006125B">
        <w:t>M</w:t>
      </w:r>
      <w:r>
        <w:t>onths</w:t>
      </w:r>
      <w:r w:rsidDel="002E0F11">
        <w:t xml:space="preserve"> </w:t>
      </w:r>
      <w:r>
        <w:t>from</w:t>
      </w:r>
      <w:r w:rsidR="006F162F">
        <w:t xml:space="preserve"> t</w:t>
      </w:r>
      <w:r w:rsidR="5B6408C8">
        <w:t>he date the Shortlisted Respondent achieves completion of the Early Works</w:t>
      </w:r>
      <w:r w:rsidR="002E0F11">
        <w:t xml:space="preserve"> (unless extended by the Principal Representative in accordance with clause</w:t>
      </w:r>
      <w:r w:rsidR="00754976" w:rsidRPr="00754976">
        <w:rPr>
          <w:rFonts w:ascii="Calibri" w:hAnsi="Calibri" w:cs="Calibri"/>
        </w:rPr>
        <w:t> </w:t>
      </w:r>
      <w:r w:rsidR="002E0F11">
        <w:t>9.7(c) of the ITC Development Deed)</w:t>
      </w:r>
      <w:r w:rsidR="006F162F">
        <w:t>. However</w:t>
      </w:r>
      <w:r w:rsidR="003541CF">
        <w:t>,</w:t>
      </w:r>
      <w:r w:rsidR="006F162F">
        <w:t xml:space="preserve"> </w:t>
      </w:r>
      <w:r w:rsidR="5B6408C8">
        <w:t xml:space="preserve">if the Principal Representative directs that the Early Delivery Activities are not to continue, </w:t>
      </w:r>
      <w:r w:rsidR="006F162F">
        <w:t>the DLP is 12</w:t>
      </w:r>
      <w:r w:rsidR="00754976" w:rsidRPr="00754976">
        <w:rPr>
          <w:rFonts w:ascii="Calibri" w:hAnsi="Calibri" w:cs="Calibri"/>
        </w:rPr>
        <w:t> </w:t>
      </w:r>
      <w:r w:rsidR="00561AA0">
        <w:t>M</w:t>
      </w:r>
      <w:r w:rsidR="001938ED">
        <w:t xml:space="preserve">onths </w:t>
      </w:r>
      <w:r w:rsidR="006F162F">
        <w:t xml:space="preserve">from </w:t>
      </w:r>
      <w:r w:rsidR="5B6408C8">
        <w:t>the date the Principal notifies the Shortlisted Respondent that it rejects the Delivery Phase Offer under clause</w:t>
      </w:r>
      <w:r w:rsidR="00754976" w:rsidRPr="00754976">
        <w:rPr>
          <w:rFonts w:ascii="Calibri" w:hAnsi="Calibri" w:cs="Calibri"/>
        </w:rPr>
        <w:t> </w:t>
      </w:r>
      <w:r w:rsidR="00C11A05">
        <w:t>14.4(a)(iii)</w:t>
      </w:r>
      <w:r w:rsidR="00D27611">
        <w:t xml:space="preserve"> </w:t>
      </w:r>
      <w:r w:rsidR="00D27611" w:rsidRPr="00D27611">
        <w:t>of the ITC Development Deed</w:t>
      </w:r>
      <w:r w:rsidR="5B6408C8">
        <w:t>.</w:t>
      </w:r>
    </w:p>
    <w:p w14:paraId="6CB681D5" w14:textId="0EBC6289" w:rsidR="00790EE6" w:rsidRDefault="00790EE6" w:rsidP="00BD2343">
      <w:pPr>
        <w:pStyle w:val="NormalIndent"/>
      </w:pPr>
      <w:r>
        <w:t xml:space="preserve">The Shortlisted Respondent must rectify all Defects </w:t>
      </w:r>
      <w:r w:rsidR="000C3314">
        <w:t xml:space="preserve">that </w:t>
      </w:r>
      <w:r>
        <w:t xml:space="preserve">exist at the commencement of </w:t>
      </w:r>
      <w:r w:rsidR="005D732D">
        <w:t>the Early Works DLP</w:t>
      </w:r>
      <w:r>
        <w:t xml:space="preserve"> </w:t>
      </w:r>
      <w:r w:rsidR="005D732D">
        <w:t xml:space="preserve">or </w:t>
      </w:r>
      <w:r w:rsidR="00574ADE">
        <w:t xml:space="preserve">that </w:t>
      </w:r>
      <w:r>
        <w:t xml:space="preserve">the </w:t>
      </w:r>
      <w:r w:rsidR="00857B8C">
        <w:t>P</w:t>
      </w:r>
      <w:r w:rsidR="006F162F">
        <w:t xml:space="preserve">rincipal alerts them to </w:t>
      </w:r>
      <w:r>
        <w:t xml:space="preserve">during the Early Works DLP. Where the Shortlisted Respondent is required to rectify a Defect, the Principal Representative may extend the Early Works DLP for the relevant part of the Early Works for up to 6 </w:t>
      </w:r>
      <w:r w:rsidR="0006125B">
        <w:t>M</w:t>
      </w:r>
      <w:r>
        <w:t>onths</w:t>
      </w:r>
      <w:r w:rsidR="002E7419">
        <w:t>,</w:t>
      </w:r>
      <w:r>
        <w:t xml:space="preserve"> as the Principal Representative determines.</w:t>
      </w:r>
    </w:p>
    <w:p w14:paraId="309FBA92" w14:textId="156AE35E" w:rsidR="00790EE6" w:rsidRDefault="00FD4196" w:rsidP="00BD2343">
      <w:pPr>
        <w:pStyle w:val="NormalIndent"/>
      </w:pPr>
      <w:r>
        <w:fldChar w:fldCharType="begin" w:fldLock="1"/>
      </w:r>
      <w:r>
        <w:instrText xml:space="preserve"> REF _Ref143159339 \h </w:instrText>
      </w:r>
      <w:r>
        <w:fldChar w:fldCharType="separate"/>
      </w:r>
      <w:r w:rsidR="00400321">
        <w:t xml:space="preserve">Figure </w:t>
      </w:r>
      <w:r w:rsidR="00400321">
        <w:rPr>
          <w:noProof/>
        </w:rPr>
        <w:t>5</w:t>
      </w:r>
      <w:r>
        <w:fldChar w:fldCharType="end"/>
      </w:r>
      <w:r>
        <w:t xml:space="preserve"> </w:t>
      </w:r>
      <w:r w:rsidR="00790EE6">
        <w:t xml:space="preserve">below shows the relevant timeframes for the Early Delivery Activities Direction and Early Works DLP </w:t>
      </w:r>
      <w:r w:rsidR="1ADEC3A2">
        <w:t xml:space="preserve">for </w:t>
      </w:r>
      <w:r w:rsidR="00790EE6">
        <w:t xml:space="preserve">the Development </w:t>
      </w:r>
      <w:r w:rsidR="00C11A05">
        <w:t xml:space="preserve">Phase </w:t>
      </w:r>
      <w:r w:rsidR="00790EE6">
        <w:t>and Delivery Phase (by way of example only).</w:t>
      </w:r>
    </w:p>
    <w:p w14:paraId="716A82F6" w14:textId="28D4C6E5" w:rsidR="0087367B" w:rsidRDefault="001D18E5" w:rsidP="00D7634D">
      <w:pPr>
        <w:pStyle w:val="Captionindent"/>
      </w:pPr>
      <w:bookmarkStart w:id="835" w:name="_Ref143159339"/>
      <w:r>
        <w:t xml:space="preserve">Figure </w:t>
      </w:r>
      <w:r>
        <w:fldChar w:fldCharType="begin"/>
      </w:r>
      <w:r>
        <w:instrText>SEQ Figure \* ARABIC</w:instrText>
      </w:r>
      <w:r>
        <w:fldChar w:fldCharType="separate"/>
      </w:r>
      <w:r w:rsidR="00131EE1">
        <w:rPr>
          <w:noProof/>
        </w:rPr>
        <w:t>5</w:t>
      </w:r>
      <w:r>
        <w:fldChar w:fldCharType="end"/>
      </w:r>
      <w:bookmarkEnd w:id="835"/>
      <w:r>
        <w:t xml:space="preserve"> – Early Delivery Activities Direction and Early Works DLP</w:t>
      </w:r>
    </w:p>
    <w:p w14:paraId="167E20E5" w14:textId="23D441FF" w:rsidR="006A2CF5" w:rsidRPr="00D7634D" w:rsidRDefault="006A2CF5" w:rsidP="001D01EA">
      <w:pPr>
        <w:pStyle w:val="NormalIndent"/>
        <w:ind w:left="720"/>
      </w:pPr>
      <w:r>
        <w:rPr>
          <w:noProof/>
        </w:rPr>
        <w:drawing>
          <wp:inline distT="0" distB="0" distL="0" distR="0" wp14:anchorId="20F486F7" wp14:editId="5A54BA36">
            <wp:extent cx="4876516" cy="3909600"/>
            <wp:effectExtent l="0" t="0" r="0" b="0"/>
            <wp:docPr id="17" name="Picture 17" descr="Figure illustrates the relevant timeframes for the Early Delivery Activities Direction and Early Works DLP for the Development Phase and Delivery Phas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Figure illustrates the relevant timeframes for the Early Delivery Activities Direction and Early Works DLP for the Development Phase and Delivery Phase as described above."/>
                    <pic:cNvPicPr/>
                  </pic:nvPicPr>
                  <pic:blipFill rotWithShape="1">
                    <a:blip r:embed="rId55">
                      <a:extLst>
                        <a:ext uri="{96DAC541-7B7A-43D3-8B79-37D633B846F1}">
                          <asvg:svgBlip xmlns:asvg="http://schemas.microsoft.com/office/drawing/2016/SVG/main" r:embed="rId56"/>
                        </a:ext>
                      </a:extLst>
                    </a:blip>
                    <a:srcRect l="8864" t="1899" r="8113" b="7867"/>
                    <a:stretch/>
                  </pic:blipFill>
                  <pic:spPr bwMode="auto">
                    <a:xfrm>
                      <a:off x="0" y="0"/>
                      <a:ext cx="4891223" cy="3921391"/>
                    </a:xfrm>
                    <a:prstGeom prst="rect">
                      <a:avLst/>
                    </a:prstGeom>
                    <a:ln>
                      <a:noFill/>
                    </a:ln>
                    <a:extLst>
                      <a:ext uri="{53640926-AAD7-44D8-BBD7-CCE9431645EC}">
                        <a14:shadowObscured xmlns:a14="http://schemas.microsoft.com/office/drawing/2010/main"/>
                      </a:ext>
                    </a:extLst>
                  </pic:spPr>
                </pic:pic>
              </a:graphicData>
            </a:graphic>
          </wp:inline>
        </w:drawing>
      </w:r>
    </w:p>
    <w:p w14:paraId="528F4D3B" w14:textId="56850CE7" w:rsidR="00694D94" w:rsidRDefault="00694D94" w:rsidP="004C4B48">
      <w:pPr>
        <w:pStyle w:val="Heading2numbered"/>
      </w:pPr>
      <w:bookmarkStart w:id="836" w:name="_Toc133577885"/>
      <w:bookmarkStart w:id="837" w:name="_Ref144735528"/>
      <w:bookmarkStart w:id="838" w:name="_Toc145612580"/>
      <w:bookmarkStart w:id="839" w:name="_Toc65770036"/>
      <w:r>
        <w:t>Payment</w:t>
      </w:r>
      <w:bookmarkEnd w:id="836"/>
      <w:r w:rsidR="00D27611">
        <w:t xml:space="preserve"> </w:t>
      </w:r>
      <w:r w:rsidR="00D27611" w:rsidRPr="00D27611">
        <w:t>(clause</w:t>
      </w:r>
      <w:r w:rsidR="00754976" w:rsidRPr="00754976">
        <w:rPr>
          <w:rFonts w:ascii="Calibri" w:hAnsi="Calibri" w:cs="Calibri"/>
        </w:rPr>
        <w:t> </w:t>
      </w:r>
      <w:r w:rsidR="00D27611" w:rsidRPr="00D27611">
        <w:t>16 of the ITC Development Deed)</w:t>
      </w:r>
      <w:bookmarkEnd w:id="837"/>
      <w:bookmarkEnd w:id="838"/>
    </w:p>
    <w:p w14:paraId="54F4D207" w14:textId="713334D1" w:rsidR="0014187F" w:rsidRPr="00A97082" w:rsidRDefault="00694D94" w:rsidP="00BD2343">
      <w:pPr>
        <w:pStyle w:val="NormalIndent"/>
      </w:pPr>
      <w:r w:rsidRPr="00A97082">
        <w:t xml:space="preserve">The Shortlisted Respondent </w:t>
      </w:r>
      <w:r w:rsidR="00DC478B">
        <w:t>is</w:t>
      </w:r>
      <w:r w:rsidRPr="00A97082">
        <w:t xml:space="preserve"> paid</w:t>
      </w:r>
      <w:r w:rsidR="0014187F" w:rsidRPr="00A97082">
        <w:t>:</w:t>
      </w:r>
    </w:p>
    <w:p w14:paraId="706AFDB6" w14:textId="4407B0E3" w:rsidR="002A524B" w:rsidRPr="002A524B" w:rsidRDefault="00694D94" w:rsidP="000D52B3">
      <w:pPr>
        <w:pStyle w:val="Bulletindent"/>
      </w:pPr>
      <w:r w:rsidRPr="00A97082">
        <w:t>a Development Phase Services Fee</w:t>
      </w:r>
      <w:r w:rsidR="0014187F" w:rsidRPr="00A97082">
        <w:t xml:space="preserve"> for the Development Phase Services</w:t>
      </w:r>
      <w:r w:rsidR="00F52150">
        <w:t>; and</w:t>
      </w:r>
    </w:p>
    <w:p w14:paraId="5E92B596" w14:textId="656AF140" w:rsidR="00694D94" w:rsidRDefault="0014187F" w:rsidP="000D52B3">
      <w:pPr>
        <w:pStyle w:val="Bulletindent"/>
      </w:pPr>
      <w:r w:rsidRPr="00A97082">
        <w:t xml:space="preserve">any other amounts payable by the Principal to the Shortlisted Respondent under the ITC </w:t>
      </w:r>
      <w:r w:rsidR="00ED6C21">
        <w:t>Development Deed</w:t>
      </w:r>
      <w:r w:rsidRPr="00A97082">
        <w:t xml:space="preserve"> (such as </w:t>
      </w:r>
      <w:r w:rsidR="00FC7D90" w:rsidRPr="00A97082">
        <w:t>the</w:t>
      </w:r>
      <w:r w:rsidR="00694D94" w:rsidRPr="00A97082">
        <w:t xml:space="preserve"> Early Delivery Activities Price for any Early Delivery Activities</w:t>
      </w:r>
      <w:r>
        <w:t>)</w:t>
      </w:r>
      <w:r w:rsidR="00694D94" w:rsidRPr="00A97082">
        <w:t xml:space="preserve"> during the Development Phase in accordance with the ITC </w:t>
      </w:r>
      <w:r w:rsidR="00ED6C21">
        <w:t>Development Deed</w:t>
      </w:r>
      <w:r w:rsidR="00694D94" w:rsidRPr="00A97082">
        <w:t>.</w:t>
      </w:r>
    </w:p>
    <w:p w14:paraId="666A4F93" w14:textId="6422026A" w:rsidR="0014187F" w:rsidRDefault="0014187F" w:rsidP="00D7634D">
      <w:pPr>
        <w:pStyle w:val="Heading3numbered"/>
      </w:pPr>
      <w:bookmarkStart w:id="840" w:name="_Ref132127796"/>
      <w:r>
        <w:t>Development Phase Services Fee</w:t>
      </w:r>
      <w:bookmarkEnd w:id="840"/>
      <w:r w:rsidR="00D27611">
        <w:t xml:space="preserve"> </w:t>
      </w:r>
      <w:r w:rsidR="00D27611" w:rsidRPr="00D27611">
        <w:t>(</w:t>
      </w:r>
      <w:r w:rsidR="00E01173">
        <w:t>S</w:t>
      </w:r>
      <w:r w:rsidR="00D27611" w:rsidRPr="00D27611">
        <w:t>chedule</w:t>
      </w:r>
      <w:r w:rsidR="00754976" w:rsidRPr="00754976">
        <w:rPr>
          <w:rFonts w:ascii="Calibri" w:hAnsi="Calibri" w:cs="Calibri"/>
        </w:rPr>
        <w:t> </w:t>
      </w:r>
      <w:r w:rsidR="00D27611" w:rsidRPr="00D27611">
        <w:t>5 to the ITC Development</w:t>
      </w:r>
      <w:r w:rsidR="00754976" w:rsidRPr="00754976">
        <w:rPr>
          <w:rFonts w:ascii="Calibri" w:hAnsi="Calibri" w:cs="Calibri"/>
        </w:rPr>
        <w:t> </w:t>
      </w:r>
      <w:r w:rsidR="00D27611" w:rsidRPr="00D27611">
        <w:t>Deed)</w:t>
      </w:r>
    </w:p>
    <w:p w14:paraId="3D4D1D93" w14:textId="5D397A69" w:rsidR="00694D94" w:rsidRDefault="00694D94" w:rsidP="00BD2343">
      <w:pPr>
        <w:pStyle w:val="NormalIndent"/>
      </w:pPr>
      <w:r>
        <w:t xml:space="preserve">The </w:t>
      </w:r>
      <w:r w:rsidR="0014187F">
        <w:t xml:space="preserve">Development Phase Services Fee is calculated as the aggregate of the Development Phase Services Fee Components. Those </w:t>
      </w:r>
      <w:r>
        <w:t>components are:</w:t>
      </w:r>
    </w:p>
    <w:p w14:paraId="2EC0E999" w14:textId="57BD5636" w:rsidR="002A524B" w:rsidRPr="002A524B" w:rsidRDefault="0014187F" w:rsidP="000D52B3">
      <w:pPr>
        <w:pStyle w:val="Bulletindent"/>
      </w:pPr>
      <w:r>
        <w:t>the Development Phase Services Reimbursable Costs</w:t>
      </w:r>
      <w:r w:rsidR="00FA14AA">
        <w:t>; and</w:t>
      </w:r>
    </w:p>
    <w:p w14:paraId="5EC23163" w14:textId="2A16261D" w:rsidR="0014187F" w:rsidRDefault="0014187F" w:rsidP="000D52B3">
      <w:pPr>
        <w:pStyle w:val="Bulletindent"/>
      </w:pPr>
      <w:r>
        <w:t xml:space="preserve">the Development Phase Services </w:t>
      </w:r>
      <w:r w:rsidR="008F7EF3">
        <w:t>COP</w:t>
      </w:r>
      <w:r>
        <w:t>.</w:t>
      </w:r>
    </w:p>
    <w:p w14:paraId="73D12226" w14:textId="206CDD2D" w:rsidR="0014187F" w:rsidRPr="004C4B48" w:rsidRDefault="00FA14AA" w:rsidP="00BD2343">
      <w:pPr>
        <w:pStyle w:val="NormalIndent"/>
      </w:pPr>
      <w:r>
        <w:t>T</w:t>
      </w:r>
      <w:r w:rsidR="0014187F">
        <w:t>he</w:t>
      </w:r>
      <w:r w:rsidR="0014187F" w:rsidRPr="004C4B48">
        <w:t xml:space="preserve"> Development Phase Services Fee and Early Delivery Activities Price </w:t>
      </w:r>
      <w:r>
        <w:t>are</w:t>
      </w:r>
      <w:r w:rsidR="0014187F" w:rsidRPr="004C4B48">
        <w:t xml:space="preserve"> paid monthly in arrears following receipt of a </w:t>
      </w:r>
      <w:r w:rsidR="00504627">
        <w:t>P</w:t>
      </w:r>
      <w:r w:rsidR="0014187F">
        <w:t xml:space="preserve">ayment </w:t>
      </w:r>
      <w:r w:rsidR="00504627">
        <w:t>C</w:t>
      </w:r>
      <w:r w:rsidR="0014187F">
        <w:t>laim</w:t>
      </w:r>
      <w:r w:rsidR="008F7EF3">
        <w:t xml:space="preserve">. This claim </w:t>
      </w:r>
      <w:r>
        <w:t>is</w:t>
      </w:r>
      <w:r w:rsidR="008F7EF3">
        <w:t xml:space="preserve"> supported by e</w:t>
      </w:r>
      <w:r w:rsidR="0014187F" w:rsidRPr="004C4B48">
        <w:t xml:space="preserve">vidence of actual costs incurred and calculated in accordance with the rates and other assumptions detailed in the ITC </w:t>
      </w:r>
      <w:r w:rsidR="00ED6C21">
        <w:t>Development Deed</w:t>
      </w:r>
      <w:r w:rsidR="0014187F" w:rsidRPr="004C4B48">
        <w:t>. The Principal retains discretion to cease the Development Phase</w:t>
      </w:r>
      <w:r w:rsidR="008F7EF3">
        <w:t xml:space="preserve"> (</w:t>
      </w:r>
      <w:r w:rsidR="0014187F" w:rsidRPr="004C4B48">
        <w:t>and any activities within the Development Phase</w:t>
      </w:r>
      <w:r w:rsidR="008F7EF3">
        <w:t>)</w:t>
      </w:r>
      <w:r w:rsidR="0014187F" w:rsidRPr="004C4B48">
        <w:t xml:space="preserve"> at any time for any reason in accordance with the ITC </w:t>
      </w:r>
      <w:r w:rsidR="00ED6C21">
        <w:t>Development Deed</w:t>
      </w:r>
      <w:r w:rsidR="0014187F" w:rsidRPr="004C4B48">
        <w:t>.</w:t>
      </w:r>
    </w:p>
    <w:p w14:paraId="420D60A2" w14:textId="3716E5D8" w:rsidR="0014187F" w:rsidRPr="004028E4" w:rsidRDefault="0014187F" w:rsidP="004C4B48">
      <w:pPr>
        <w:pStyle w:val="Heading4numbered"/>
      </w:pPr>
      <w:r>
        <w:t>Development Phase Services Reimbursable Costs</w:t>
      </w:r>
    </w:p>
    <w:p w14:paraId="526B9B3F" w14:textId="6D7E2556" w:rsidR="0014187F" w:rsidRDefault="0014187F" w:rsidP="00BD2343">
      <w:pPr>
        <w:pStyle w:val="NormalIndent"/>
      </w:pPr>
      <w:r>
        <w:t xml:space="preserve">Subject to specific exclusions contained in the ITC </w:t>
      </w:r>
      <w:r w:rsidR="00ED6C21">
        <w:t>Development Deed</w:t>
      </w:r>
      <w:r>
        <w:t xml:space="preserve"> (including those exclusions identified in section</w:t>
      </w:r>
      <w:r w:rsidR="00754976" w:rsidRPr="00754976">
        <w:rPr>
          <w:rFonts w:ascii="Calibri" w:hAnsi="Calibri" w:cs="Calibri"/>
        </w:rPr>
        <w:t> </w:t>
      </w:r>
      <w:r>
        <w:t>3 of attachment</w:t>
      </w:r>
      <w:r w:rsidR="00754976" w:rsidRPr="00754976">
        <w:rPr>
          <w:rFonts w:ascii="Calibri" w:hAnsi="Calibri" w:cs="Calibri"/>
        </w:rPr>
        <w:t> </w:t>
      </w:r>
      <w:r>
        <w:t xml:space="preserve">1 to </w:t>
      </w:r>
      <w:r w:rsidR="00E01173">
        <w:t>S</w:t>
      </w:r>
      <w:r>
        <w:t>chedule</w:t>
      </w:r>
      <w:r w:rsidR="00754976" w:rsidRPr="00754976">
        <w:rPr>
          <w:rFonts w:ascii="Calibri" w:hAnsi="Calibri" w:cs="Calibri"/>
        </w:rPr>
        <w:t> </w:t>
      </w:r>
      <w:r>
        <w:t xml:space="preserve">5 to the ITC </w:t>
      </w:r>
      <w:r w:rsidR="00ED6C21">
        <w:t>Development Deed</w:t>
      </w:r>
      <w:r>
        <w:t xml:space="preserve">), the Development Phase Services Reimbursable Costs are costs and expenses </w:t>
      </w:r>
      <w:r w:rsidR="007666E8">
        <w:t xml:space="preserve">that </w:t>
      </w:r>
      <w:r>
        <w:t>are both:</w:t>
      </w:r>
    </w:p>
    <w:p w14:paraId="4C1400B2" w14:textId="1947F3B7" w:rsidR="002A524B" w:rsidRPr="002A524B" w:rsidRDefault="0014187F" w:rsidP="000D52B3">
      <w:pPr>
        <w:pStyle w:val="Bulletindent"/>
      </w:pPr>
      <w:r w:rsidRPr="004C4B48">
        <w:t xml:space="preserve">directly, reasonably and actually incurred by the Shortlisted Respondent in performing the Development Phase Services (excluding any corporate overhead component not specific to the Development Phase Services and any profit or mark up of any kind) in accordance with the ITC </w:t>
      </w:r>
      <w:r w:rsidR="00ED6C21">
        <w:t>Development Deed</w:t>
      </w:r>
      <w:r w:rsidR="00E653F4">
        <w:t>; and</w:t>
      </w:r>
    </w:p>
    <w:p w14:paraId="42CCA33F" w14:textId="374611CF" w:rsidR="0014187F" w:rsidRPr="004C4B48" w:rsidRDefault="0014187F" w:rsidP="000D52B3">
      <w:pPr>
        <w:pStyle w:val="Bulletindent"/>
      </w:pPr>
      <w:r w:rsidRPr="004C4B48">
        <w:t>identified as Development Phase Services Reimbursable Costs in section</w:t>
      </w:r>
      <w:r w:rsidR="00754976" w:rsidRPr="00754976">
        <w:rPr>
          <w:rFonts w:ascii="Calibri" w:hAnsi="Calibri"/>
        </w:rPr>
        <w:t> </w:t>
      </w:r>
      <w:r w:rsidRPr="004C4B48">
        <w:t>3 of attachment</w:t>
      </w:r>
      <w:r w:rsidR="00754976" w:rsidRPr="00754976">
        <w:rPr>
          <w:rFonts w:ascii="Calibri" w:hAnsi="Calibri"/>
        </w:rPr>
        <w:t> </w:t>
      </w:r>
      <w:r w:rsidRPr="004C4B48">
        <w:t xml:space="preserve">1 to </w:t>
      </w:r>
      <w:r w:rsidR="00E01173">
        <w:t>S</w:t>
      </w:r>
      <w:r w:rsidRPr="004C4B48">
        <w:t>chedule</w:t>
      </w:r>
      <w:r w:rsidR="00754976" w:rsidRPr="00754976">
        <w:rPr>
          <w:rFonts w:ascii="Calibri" w:hAnsi="Calibri"/>
        </w:rPr>
        <w:t> </w:t>
      </w:r>
      <w:r w:rsidRPr="004C4B48">
        <w:t xml:space="preserve">5 to the ITC </w:t>
      </w:r>
      <w:r w:rsidR="00ED6C21">
        <w:t>Development Deed</w:t>
      </w:r>
      <w:r w:rsidRPr="004C4B48">
        <w:t xml:space="preserve">, or </w:t>
      </w:r>
      <w:r w:rsidR="0020588E">
        <w:t>that</w:t>
      </w:r>
      <w:r w:rsidR="0020588E" w:rsidRPr="004C4B48">
        <w:t xml:space="preserve"> </w:t>
      </w:r>
      <w:r w:rsidRPr="004C4B48">
        <w:t xml:space="preserve">the ITC </w:t>
      </w:r>
      <w:r w:rsidR="00ED6C21">
        <w:t>Development Deed</w:t>
      </w:r>
      <w:r w:rsidRPr="004C4B48">
        <w:t xml:space="preserve"> otherwise expressly provides will be Development Phase Services Reimbursable Costs.</w:t>
      </w:r>
    </w:p>
    <w:p w14:paraId="52746153" w14:textId="0797ABF6" w:rsidR="00694D94" w:rsidRDefault="0014187F" w:rsidP="00BD2343">
      <w:pPr>
        <w:pStyle w:val="NormalIndent"/>
      </w:pPr>
      <w:r>
        <w:t xml:space="preserve">The costs identified </w:t>
      </w:r>
      <w:r w:rsidRPr="0014187F">
        <w:t>in section</w:t>
      </w:r>
      <w:r w:rsidR="00754976" w:rsidRPr="00754976">
        <w:rPr>
          <w:rFonts w:ascii="Calibri" w:hAnsi="Calibri" w:cs="Calibri"/>
        </w:rPr>
        <w:t> </w:t>
      </w:r>
      <w:r w:rsidRPr="0014187F">
        <w:t>3 of attachment</w:t>
      </w:r>
      <w:r w:rsidR="00754976" w:rsidRPr="00754976">
        <w:rPr>
          <w:rFonts w:ascii="Calibri" w:hAnsi="Calibri" w:cs="Calibri"/>
        </w:rPr>
        <w:t> </w:t>
      </w:r>
      <w:r w:rsidRPr="0014187F">
        <w:t xml:space="preserve">1 to </w:t>
      </w:r>
      <w:r w:rsidR="00E01173">
        <w:t>S</w:t>
      </w:r>
      <w:r w:rsidRPr="0014187F">
        <w:t>chedule</w:t>
      </w:r>
      <w:r w:rsidR="00754976" w:rsidRPr="00754976">
        <w:rPr>
          <w:rFonts w:ascii="Calibri" w:hAnsi="Calibri" w:cs="Calibri"/>
        </w:rPr>
        <w:t> </w:t>
      </w:r>
      <w:r w:rsidRPr="0014187F">
        <w:t xml:space="preserve">5 to the ITC </w:t>
      </w:r>
      <w:r w:rsidR="00ED6C21">
        <w:t>Development Deed</w:t>
      </w:r>
      <w:r>
        <w:t xml:space="preserve"> as Development Phase Services Reimbursable Costs include Non-Wages Personnel costs (calculated using agreed rates and </w:t>
      </w:r>
      <w:r w:rsidR="00417D4F">
        <w:t>R</w:t>
      </w:r>
      <w:r>
        <w:t xml:space="preserve">eimbursable </w:t>
      </w:r>
      <w:r w:rsidR="00417D4F">
        <w:t>C</w:t>
      </w:r>
      <w:r>
        <w:t xml:space="preserve">ost </w:t>
      </w:r>
      <w:r w:rsidR="00417D4F">
        <w:t>M</w:t>
      </w:r>
      <w:r>
        <w:t>ultipliers).</w:t>
      </w:r>
    </w:p>
    <w:p w14:paraId="09370A1E" w14:textId="0B6588B2" w:rsidR="0014187F" w:rsidRPr="008B500D" w:rsidRDefault="0014187F" w:rsidP="004C4B48">
      <w:pPr>
        <w:pStyle w:val="Heading4numbered"/>
      </w:pPr>
      <w:r>
        <w:t xml:space="preserve">Development Phase Services </w:t>
      </w:r>
      <w:r w:rsidDel="00B76A98">
        <w:t>Corporate Overhead and Profit</w:t>
      </w:r>
    </w:p>
    <w:p w14:paraId="6A19E067" w14:textId="015D083C" w:rsidR="00694D94" w:rsidRPr="00D408EE" w:rsidRDefault="0014187F" w:rsidP="00BD2343">
      <w:pPr>
        <w:pStyle w:val="NormalIndent"/>
      </w:pPr>
      <w:r w:rsidRPr="0014187F">
        <w:t xml:space="preserve">The Development Phase Services </w:t>
      </w:r>
      <w:r w:rsidR="000A4D16">
        <w:t>COP</w:t>
      </w:r>
      <w:r w:rsidRPr="0014187F">
        <w:t xml:space="preserve"> payable by the Principal to the Shortlisted Respondent is calculated as an amount equal to the </w:t>
      </w:r>
      <w:r w:rsidR="0002310C">
        <w:t>D</w:t>
      </w:r>
      <w:r w:rsidRPr="0014187F">
        <w:t xml:space="preserve">evelopment </w:t>
      </w:r>
      <w:r w:rsidR="0002310C">
        <w:t>P</w:t>
      </w:r>
      <w:r w:rsidRPr="0014187F">
        <w:t xml:space="preserve">hase </w:t>
      </w:r>
      <w:r w:rsidR="0002310C">
        <w:t>R</w:t>
      </w:r>
      <w:r w:rsidRPr="0014187F">
        <w:t xml:space="preserve">eimbursable </w:t>
      </w:r>
      <w:r w:rsidR="0002310C">
        <w:t>C</w:t>
      </w:r>
      <w:r w:rsidRPr="0014187F">
        <w:t xml:space="preserve">osts multiplied by the percentage for </w:t>
      </w:r>
      <w:r w:rsidR="00FD74D8">
        <w:t>COP</w:t>
      </w:r>
      <w:r w:rsidRPr="0014187F">
        <w:t xml:space="preserve"> specified in </w:t>
      </w:r>
      <w:r w:rsidR="00E01173">
        <w:t>S</w:t>
      </w:r>
      <w:r>
        <w:t>chedule2</w:t>
      </w:r>
      <w:r w:rsidRPr="0014187F">
        <w:t>.</w:t>
      </w:r>
    </w:p>
    <w:p w14:paraId="20EAD4B3" w14:textId="16BCE649" w:rsidR="005D732D" w:rsidRDefault="005D732D" w:rsidP="004C4B48">
      <w:pPr>
        <w:pStyle w:val="Heading3numbered"/>
      </w:pPr>
      <w:r>
        <w:t>Project</w:t>
      </w:r>
      <w:r w:rsidR="00043711">
        <w:t>-</w:t>
      </w:r>
      <w:r>
        <w:t>specific amendments</w:t>
      </w:r>
    </w:p>
    <w:p w14:paraId="06E88EE2" w14:textId="6802D713" w:rsidR="005D732D" w:rsidRPr="005D732D" w:rsidRDefault="1A25EA6F" w:rsidP="00BD2343">
      <w:pPr>
        <w:pStyle w:val="NormalIndent"/>
      </w:pPr>
      <w:r>
        <w:t xml:space="preserve">As </w:t>
      </w:r>
      <w:r w:rsidR="61E14E47">
        <w:t xml:space="preserve">mentioned </w:t>
      </w:r>
      <w:r>
        <w:t xml:space="preserve">in </w:t>
      </w:r>
      <w:r w:rsidR="61E14E47">
        <w:t>sections</w:t>
      </w:r>
      <w:r w:rsidR="00754976" w:rsidRPr="00754976">
        <w:rPr>
          <w:rFonts w:ascii="Calibri" w:hAnsi="Calibri" w:cs="Calibri"/>
        </w:rPr>
        <w:t> </w:t>
      </w:r>
      <w:r w:rsidR="00D81C91">
        <w:rPr>
          <w:color w:val="2B579A"/>
          <w:shd w:val="clear" w:color="auto" w:fill="E6E6E6"/>
        </w:rPr>
        <w:fldChar w:fldCharType="begin" w:fldLock="1"/>
      </w:r>
      <w:r w:rsidR="00D81C91">
        <w:instrText xml:space="preserve"> REF _Ref130925337 \r \h </w:instrText>
      </w:r>
      <w:r w:rsidR="00D81C91">
        <w:rPr>
          <w:color w:val="2B579A"/>
          <w:shd w:val="clear" w:color="auto" w:fill="E6E6E6"/>
        </w:rPr>
      </w:r>
      <w:r w:rsidR="00D81C91">
        <w:rPr>
          <w:color w:val="2B579A"/>
          <w:shd w:val="clear" w:color="auto" w:fill="E6E6E6"/>
        </w:rPr>
        <w:fldChar w:fldCharType="separate"/>
      </w:r>
      <w:r w:rsidR="00400321">
        <w:t>3.7.1</w:t>
      </w:r>
      <w:r w:rsidR="00D81C91">
        <w:rPr>
          <w:color w:val="2B579A"/>
          <w:shd w:val="clear" w:color="auto" w:fill="E6E6E6"/>
        </w:rPr>
        <w:fldChar w:fldCharType="end"/>
      </w:r>
      <w:r w:rsidR="61E14E47">
        <w:t xml:space="preserve"> and</w:t>
      </w:r>
      <w:r w:rsidR="00E4435C">
        <w:t xml:space="preserve"> </w:t>
      </w:r>
      <w:r w:rsidR="00E4435C">
        <w:fldChar w:fldCharType="begin" w:fldLock="1"/>
      </w:r>
      <w:r w:rsidR="00E4435C">
        <w:instrText xml:space="preserve"> REF _Ref144735528 \n \h </w:instrText>
      </w:r>
      <w:r w:rsidR="00E4435C">
        <w:fldChar w:fldCharType="separate"/>
      </w:r>
      <w:r w:rsidR="00400321">
        <w:t>4.3</w:t>
      </w:r>
      <w:r w:rsidR="00E4435C">
        <w:fldChar w:fldCharType="end"/>
      </w:r>
      <w:r>
        <w:t xml:space="preserve">, the procuring agency may choose to cap the </w:t>
      </w:r>
      <w:r w:rsidR="1BBCD97C">
        <w:t>D</w:t>
      </w:r>
      <w:r>
        <w:t>evelopment Phase Service Fee.</w:t>
      </w:r>
    </w:p>
    <w:p w14:paraId="2782347B" w14:textId="618167A3" w:rsidR="00694D94" w:rsidRDefault="00FC7D90" w:rsidP="00BD2343">
      <w:pPr>
        <w:pStyle w:val="NormalIndent"/>
      </w:pPr>
      <w:r>
        <w:t>W</w:t>
      </w:r>
      <w:r w:rsidR="00694D94" w:rsidRPr="781864CB">
        <w:t xml:space="preserve">here the scope of the Development Phase is </w:t>
      </w:r>
      <w:r w:rsidR="000A4D16">
        <w:t xml:space="preserve">well </w:t>
      </w:r>
      <w:r w:rsidR="00694D94" w:rsidRPr="781864CB">
        <w:t>defined and understood</w:t>
      </w:r>
      <w:r>
        <w:t>,</w:t>
      </w:r>
      <w:r w:rsidR="00694D94" w:rsidRPr="781864CB">
        <w:t xml:space="preserve"> the </w:t>
      </w:r>
      <w:r>
        <w:t xml:space="preserve">procuring </w:t>
      </w:r>
      <w:r w:rsidR="007B0038">
        <w:t>agency’s</w:t>
      </w:r>
      <w:r>
        <w:t xml:space="preserve"> </w:t>
      </w:r>
      <w:r w:rsidR="00694D94" w:rsidRPr="781864CB">
        <w:t xml:space="preserve">team should adjust its procurement process and amend the ITC </w:t>
      </w:r>
      <w:r w:rsidR="00ED6C21">
        <w:t>Development Deed</w:t>
      </w:r>
      <w:r w:rsidR="00694D94" w:rsidRPr="781864CB">
        <w:t xml:space="preserve"> to allow for the Development Phase </w:t>
      </w:r>
      <w:r>
        <w:t>Activities</w:t>
      </w:r>
      <w:r w:rsidR="00694D94" w:rsidRPr="781864CB">
        <w:t xml:space="preserve"> to be competitively tendered on a fixed</w:t>
      </w:r>
      <w:r w:rsidR="009C402E">
        <w:t>-</w:t>
      </w:r>
      <w:r w:rsidR="00694D94" w:rsidRPr="781864CB">
        <w:t>price basis.</w:t>
      </w:r>
    </w:p>
    <w:p w14:paraId="69473601" w14:textId="6CECD4AE" w:rsidR="00694D94" w:rsidRPr="008A3735" w:rsidRDefault="00694D94" w:rsidP="00BD2343">
      <w:pPr>
        <w:pStyle w:val="NormalIndent"/>
      </w:pPr>
      <w:r w:rsidRPr="008A3735">
        <w:t xml:space="preserve">DTF should be consulted </w:t>
      </w:r>
      <w:r w:rsidR="000A4D16">
        <w:t>about</w:t>
      </w:r>
      <w:r w:rsidRPr="008A3735">
        <w:t xml:space="preserve"> setting the Development Phase </w:t>
      </w:r>
      <w:r w:rsidR="00FC7D90" w:rsidRPr="009739FD">
        <w:t>Services Fee</w:t>
      </w:r>
      <w:r w:rsidRPr="002C041A">
        <w:t xml:space="preserve"> on a projec</w:t>
      </w:r>
      <w:r w:rsidR="000A4D16">
        <w:t>t</w:t>
      </w:r>
      <w:r w:rsidR="00043711">
        <w:t>-specific</w:t>
      </w:r>
      <w:r w:rsidRPr="002C041A">
        <w:t xml:space="preserve"> basis.</w:t>
      </w:r>
      <w:bookmarkStart w:id="841" w:name="_Toc131553565"/>
      <w:bookmarkStart w:id="842" w:name="_Toc131554363"/>
      <w:bookmarkEnd w:id="839"/>
      <w:bookmarkEnd w:id="841"/>
      <w:bookmarkEnd w:id="842"/>
    </w:p>
    <w:p w14:paraId="35CEB0C3" w14:textId="0DC1D58B" w:rsidR="002B5BB6" w:rsidRDefault="002B5BB6" w:rsidP="004C4B48">
      <w:pPr>
        <w:pStyle w:val="Heading2numbered"/>
      </w:pPr>
      <w:bookmarkStart w:id="843" w:name="_Toc59631146"/>
      <w:bookmarkStart w:id="844" w:name="_Toc131553566"/>
      <w:bookmarkStart w:id="845" w:name="_Toc131554364"/>
      <w:bookmarkStart w:id="846" w:name="_Toc131555178"/>
      <w:bookmarkStart w:id="847" w:name="_Toc131621386"/>
      <w:bookmarkStart w:id="848" w:name="_Toc131689970"/>
      <w:bookmarkStart w:id="849" w:name="_Toc131553567"/>
      <w:bookmarkStart w:id="850" w:name="_Toc131554365"/>
      <w:bookmarkStart w:id="851" w:name="_Toc131555179"/>
      <w:bookmarkStart w:id="852" w:name="_Toc131621387"/>
      <w:bookmarkStart w:id="853" w:name="_Toc131689971"/>
      <w:bookmarkStart w:id="854" w:name="_Toc131553568"/>
      <w:bookmarkStart w:id="855" w:name="_Toc131554366"/>
      <w:bookmarkStart w:id="856" w:name="_Toc131555180"/>
      <w:bookmarkStart w:id="857" w:name="_Toc131621388"/>
      <w:bookmarkStart w:id="858" w:name="_Toc131689972"/>
      <w:bookmarkStart w:id="859" w:name="_Toc59631152"/>
      <w:bookmarkStart w:id="860" w:name="_Toc65769279"/>
      <w:bookmarkStart w:id="861" w:name="_Toc65770042"/>
      <w:bookmarkStart w:id="862" w:name="_Toc59631158"/>
      <w:bookmarkStart w:id="863" w:name="_Toc65769285"/>
      <w:bookmarkStart w:id="864" w:name="_Toc65770048"/>
      <w:bookmarkStart w:id="865" w:name="_Toc59631168"/>
      <w:bookmarkStart w:id="866" w:name="_Toc65769295"/>
      <w:bookmarkStart w:id="867" w:name="_Toc65770058"/>
      <w:bookmarkStart w:id="868" w:name="_Toc59631169"/>
      <w:bookmarkStart w:id="869" w:name="_Toc65769296"/>
      <w:bookmarkStart w:id="870" w:name="_Toc65770059"/>
      <w:bookmarkStart w:id="871" w:name="_Toc59631170"/>
      <w:bookmarkStart w:id="872" w:name="_Toc65769297"/>
      <w:bookmarkStart w:id="873" w:name="_Toc65770060"/>
      <w:bookmarkStart w:id="874" w:name="_Toc59631171"/>
      <w:bookmarkStart w:id="875" w:name="_Toc65769298"/>
      <w:bookmarkStart w:id="876" w:name="_Toc65770061"/>
      <w:bookmarkStart w:id="877" w:name="_Toc59631173"/>
      <w:bookmarkStart w:id="878" w:name="_Toc65769300"/>
      <w:bookmarkStart w:id="879" w:name="_Toc65770063"/>
      <w:bookmarkStart w:id="880" w:name="_Toc59631179"/>
      <w:bookmarkStart w:id="881" w:name="_Toc65769306"/>
      <w:bookmarkStart w:id="882" w:name="_Toc65770069"/>
      <w:bookmarkStart w:id="883" w:name="_Toc59631180"/>
      <w:bookmarkStart w:id="884" w:name="_Toc65769307"/>
      <w:bookmarkStart w:id="885" w:name="_Toc65770070"/>
      <w:bookmarkStart w:id="886" w:name="_Toc59631189"/>
      <w:bookmarkStart w:id="887" w:name="_Toc65769316"/>
      <w:bookmarkStart w:id="888" w:name="_Toc65770079"/>
      <w:bookmarkStart w:id="889" w:name="_Toc59631196"/>
      <w:bookmarkStart w:id="890" w:name="_Toc65769323"/>
      <w:bookmarkStart w:id="891" w:name="_Toc65770086"/>
      <w:bookmarkStart w:id="892" w:name="_Toc59631198"/>
      <w:bookmarkStart w:id="893" w:name="_Toc65769325"/>
      <w:bookmarkStart w:id="894" w:name="_Toc65770088"/>
      <w:bookmarkStart w:id="895" w:name="_Toc59631199"/>
      <w:bookmarkStart w:id="896" w:name="_Toc65769326"/>
      <w:bookmarkStart w:id="897" w:name="_Toc65770089"/>
      <w:bookmarkStart w:id="898" w:name="_Toc59631200"/>
      <w:bookmarkStart w:id="899" w:name="_Toc65769327"/>
      <w:bookmarkStart w:id="900" w:name="_Toc65770090"/>
      <w:bookmarkStart w:id="901" w:name="_Toc59631204"/>
      <w:bookmarkStart w:id="902" w:name="_Toc65769331"/>
      <w:bookmarkStart w:id="903" w:name="_Toc65770094"/>
      <w:bookmarkStart w:id="904" w:name="_Toc59631205"/>
      <w:bookmarkStart w:id="905" w:name="_Toc65769332"/>
      <w:bookmarkStart w:id="906" w:name="_Toc65770095"/>
      <w:bookmarkStart w:id="907" w:name="_Toc59631206"/>
      <w:bookmarkStart w:id="908" w:name="_Toc65769333"/>
      <w:bookmarkStart w:id="909" w:name="_Toc65770096"/>
      <w:bookmarkStart w:id="910" w:name="_Toc59631210"/>
      <w:bookmarkStart w:id="911" w:name="_Toc65769337"/>
      <w:bookmarkStart w:id="912" w:name="_Toc65770100"/>
      <w:bookmarkStart w:id="913" w:name="_Toc59631219"/>
      <w:bookmarkStart w:id="914" w:name="_Toc65769346"/>
      <w:bookmarkStart w:id="915" w:name="_Toc65770109"/>
      <w:bookmarkStart w:id="916" w:name="_Toc59631222"/>
      <w:bookmarkStart w:id="917" w:name="_Toc65769349"/>
      <w:bookmarkStart w:id="918" w:name="_Toc65770112"/>
      <w:bookmarkStart w:id="919" w:name="_Toc59631227"/>
      <w:bookmarkStart w:id="920" w:name="_Toc65769354"/>
      <w:bookmarkStart w:id="921" w:name="_Toc65770117"/>
      <w:bookmarkStart w:id="922" w:name="_Toc59631234"/>
      <w:bookmarkStart w:id="923" w:name="_Toc65769361"/>
      <w:bookmarkStart w:id="924" w:name="_Toc65770124"/>
      <w:bookmarkStart w:id="925" w:name="_Toc59631235"/>
      <w:bookmarkStart w:id="926" w:name="_Toc65769362"/>
      <w:bookmarkStart w:id="927" w:name="_Toc65770125"/>
      <w:bookmarkStart w:id="928" w:name="_Toc133577886"/>
      <w:bookmarkStart w:id="929" w:name="_Toc65770127"/>
      <w:bookmarkStart w:id="930" w:name="_Toc14561258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t xml:space="preserve">TOC </w:t>
      </w:r>
      <w:r w:rsidRPr="004F2825">
        <w:t>Estimate</w:t>
      </w:r>
      <w:bookmarkEnd w:id="928"/>
      <w:r w:rsidR="00D81C91">
        <w:t xml:space="preserve"> </w:t>
      </w:r>
      <w:bookmarkEnd w:id="929"/>
      <w:r w:rsidR="00D81C91" w:rsidRPr="00D81C91">
        <w:t>(clause</w:t>
      </w:r>
      <w:r w:rsidR="00754976" w:rsidRPr="00754976">
        <w:rPr>
          <w:rFonts w:ascii="Calibri" w:hAnsi="Calibri" w:cs="Calibri"/>
        </w:rPr>
        <w:t> </w:t>
      </w:r>
      <w:r w:rsidR="00D81C91" w:rsidRPr="00D81C91">
        <w:t>12 of the ITC Development Deed)</w:t>
      </w:r>
      <w:bookmarkEnd w:id="930"/>
    </w:p>
    <w:p w14:paraId="555FF531" w14:textId="68C02ED8" w:rsidR="002B5BB6" w:rsidRDefault="002B5BB6" w:rsidP="004C4B48">
      <w:pPr>
        <w:pStyle w:val="Heading3numbered"/>
      </w:pPr>
      <w:r>
        <w:t xml:space="preserve">Development of </w:t>
      </w:r>
      <w:r w:rsidR="008C2348">
        <w:t xml:space="preserve">the </w:t>
      </w:r>
      <w:r>
        <w:t>TOC Estimate</w:t>
      </w:r>
      <w:r w:rsidR="00D81C91">
        <w:t xml:space="preserve"> </w:t>
      </w:r>
      <w:r w:rsidR="00D81C91" w:rsidRPr="00D81C91">
        <w:t>(clause</w:t>
      </w:r>
      <w:r w:rsidR="00754976" w:rsidRPr="00754976">
        <w:rPr>
          <w:rFonts w:ascii="Calibri" w:hAnsi="Calibri" w:cs="Calibri"/>
        </w:rPr>
        <w:t> </w:t>
      </w:r>
      <w:r w:rsidR="00D81C91" w:rsidRPr="00D81C91">
        <w:t>12.2 of the ITC Development Deed)</w:t>
      </w:r>
    </w:p>
    <w:p w14:paraId="1EB65AC1" w14:textId="6DA2047C" w:rsidR="00116594" w:rsidRDefault="00B57B41" w:rsidP="00BD2343">
      <w:pPr>
        <w:pStyle w:val="NormalIndent"/>
      </w:pPr>
      <w:r w:rsidRPr="781864CB">
        <w:t xml:space="preserve">The Shortlisted Respondent </w:t>
      </w:r>
      <w:r w:rsidR="008A3735">
        <w:t>prepare</w:t>
      </w:r>
      <w:r w:rsidR="00390CD0">
        <w:t>s</w:t>
      </w:r>
      <w:r w:rsidR="008A3735">
        <w:t xml:space="preserve"> and update</w:t>
      </w:r>
      <w:r w:rsidR="00390CD0">
        <w:t>s</w:t>
      </w:r>
      <w:r w:rsidRPr="781864CB">
        <w:t xml:space="preserve"> </w:t>
      </w:r>
      <w:r w:rsidR="008A3735">
        <w:t>the</w:t>
      </w:r>
      <w:r w:rsidRPr="781864CB">
        <w:t xml:space="preserve"> TOC Estimate on an </w:t>
      </w:r>
      <w:r w:rsidR="00390CD0">
        <w:t>o</w:t>
      </w:r>
      <w:r>
        <w:t xml:space="preserve">pen </w:t>
      </w:r>
      <w:r w:rsidR="00390CD0">
        <w:t>b</w:t>
      </w:r>
      <w:r>
        <w:t xml:space="preserve">ook </w:t>
      </w:r>
      <w:r w:rsidR="00390CD0">
        <w:t>b</w:t>
      </w:r>
      <w:r>
        <w:t>asis</w:t>
      </w:r>
      <w:r w:rsidR="008A3735">
        <w:t xml:space="preserve">. </w:t>
      </w:r>
      <w:r w:rsidR="008C2348">
        <w:t>P</w:t>
      </w:r>
      <w:r w:rsidR="00116594">
        <w:t>rior to the submission of the Delivery Phase Offer</w:t>
      </w:r>
      <w:r w:rsidR="008C2348">
        <w:t xml:space="preserve">, the last updated version of the TOC </w:t>
      </w:r>
      <w:r w:rsidR="00F60F4D">
        <w:t>E</w:t>
      </w:r>
      <w:r w:rsidR="008C2348">
        <w:t>stimate</w:t>
      </w:r>
      <w:r w:rsidR="00116594">
        <w:t xml:space="preserve"> </w:t>
      </w:r>
      <w:r w:rsidR="00390CD0">
        <w:t>is</w:t>
      </w:r>
      <w:r w:rsidR="00116594">
        <w:t xml:space="preserve"> the </w:t>
      </w:r>
      <w:r w:rsidR="00E46FFA">
        <w:t>f</w:t>
      </w:r>
      <w:r w:rsidR="00116594">
        <w:t xml:space="preserve">inal TOC Estimate. The Delivery Phase Offer must, among other requirements, be prepared without adjustment to the </w:t>
      </w:r>
      <w:r w:rsidR="00E46FFA">
        <w:t>f</w:t>
      </w:r>
      <w:r w:rsidR="00116594">
        <w:t>inal TOC Estimate (unless otherwise agreed with the Principal).</w:t>
      </w:r>
    </w:p>
    <w:p w14:paraId="09BA6BAB" w14:textId="02954F12" w:rsidR="00875C6C" w:rsidRDefault="00875C6C" w:rsidP="004C4B48">
      <w:pPr>
        <w:pStyle w:val="Heading3numbered"/>
      </w:pPr>
      <w:r>
        <w:t>The TOC Estimate</w:t>
      </w:r>
      <w:r w:rsidR="00D81C91">
        <w:t xml:space="preserve"> </w:t>
      </w:r>
      <w:r w:rsidR="00D81C91" w:rsidRPr="00D81C91">
        <w:t>(section</w:t>
      </w:r>
      <w:r w:rsidR="00754976" w:rsidRPr="00754976">
        <w:rPr>
          <w:rFonts w:ascii="Calibri" w:hAnsi="Calibri" w:cs="Calibri"/>
        </w:rPr>
        <w:t> </w:t>
      </w:r>
      <w:r w:rsidR="00D81C91" w:rsidRPr="00D81C91">
        <w:t xml:space="preserve">1 of </w:t>
      </w:r>
      <w:r w:rsidR="00E01173">
        <w:t>S</w:t>
      </w:r>
      <w:r w:rsidR="00D81C91" w:rsidRPr="00D81C91">
        <w:t>chedule</w:t>
      </w:r>
      <w:r w:rsidR="00754976" w:rsidRPr="00754976">
        <w:rPr>
          <w:rFonts w:ascii="Calibri" w:hAnsi="Calibri" w:cs="Calibri"/>
        </w:rPr>
        <w:t> </w:t>
      </w:r>
      <w:r w:rsidR="00D81C91" w:rsidRPr="00D81C91">
        <w:t>6 of the ITC Development Deed)</w:t>
      </w:r>
    </w:p>
    <w:p w14:paraId="094BA7BB" w14:textId="052102A0" w:rsidR="00116594" w:rsidRPr="00116594" w:rsidRDefault="00116594" w:rsidP="00BD2343">
      <w:pPr>
        <w:pStyle w:val="NormalIndent"/>
        <w:rPr>
          <w:lang w:val="en-GB"/>
        </w:rPr>
      </w:pPr>
      <w:r w:rsidRPr="00116594">
        <w:rPr>
          <w:lang w:val="en-GB"/>
        </w:rPr>
        <w:t>The TOC Estimate is the sum of</w:t>
      </w:r>
      <w:r>
        <w:rPr>
          <w:lang w:val="en-GB"/>
        </w:rPr>
        <w:t xml:space="preserve"> the TOC Components</w:t>
      </w:r>
      <w:r w:rsidR="00E40EAB">
        <w:rPr>
          <w:lang w:val="en-GB"/>
        </w:rPr>
        <w:t>, which are</w:t>
      </w:r>
      <w:r w:rsidRPr="00116594">
        <w:rPr>
          <w:lang w:val="en-GB"/>
        </w:rPr>
        <w:t>:</w:t>
      </w:r>
    </w:p>
    <w:p w14:paraId="366E5FB1" w14:textId="72584B82" w:rsidR="00116594" w:rsidRPr="00A65BF5" w:rsidRDefault="00116594" w:rsidP="000D52B3">
      <w:pPr>
        <w:pStyle w:val="Bulletindent"/>
      </w:pPr>
      <w:r w:rsidRPr="00A65BF5">
        <w:t>Development Phase Services Fee</w:t>
      </w:r>
      <w:r w:rsidR="00875C6C">
        <w:t xml:space="preserve"> (see section </w:t>
      </w:r>
      <w:r w:rsidR="00875C6C">
        <w:fldChar w:fldCharType="begin" w:fldLock="1"/>
      </w:r>
      <w:r w:rsidR="00875C6C">
        <w:instrText xml:space="preserve"> REF _Ref132127796 \r \h </w:instrText>
      </w:r>
      <w:r w:rsidR="00875C6C">
        <w:fldChar w:fldCharType="separate"/>
      </w:r>
      <w:r w:rsidR="00400321">
        <w:t>4.3.1</w:t>
      </w:r>
      <w:r w:rsidR="00875C6C">
        <w:fldChar w:fldCharType="end"/>
      </w:r>
      <w:r w:rsidR="00875C6C">
        <w:t>)</w:t>
      </w:r>
      <w:r w:rsidR="00E40EAB">
        <w:t>;</w:t>
      </w:r>
    </w:p>
    <w:p w14:paraId="4359C9F7" w14:textId="1439C650" w:rsidR="00116594" w:rsidRPr="00A65BF5" w:rsidRDefault="00116594" w:rsidP="000D52B3">
      <w:pPr>
        <w:pStyle w:val="Bulletindent"/>
      </w:pPr>
      <w:r w:rsidRPr="00A65BF5">
        <w:t>Early Delivery Activities Price</w:t>
      </w:r>
      <w:r w:rsidR="00E40EAB">
        <w:t>;</w:t>
      </w:r>
    </w:p>
    <w:p w14:paraId="3A4CD460" w14:textId="0A27C186" w:rsidR="008C2348" w:rsidRPr="00A65BF5" w:rsidRDefault="00116594" w:rsidP="000D52B3">
      <w:pPr>
        <w:pStyle w:val="Bulletindent"/>
      </w:pPr>
      <w:r w:rsidRPr="00A65BF5">
        <w:t>Estimated Delivery Phase Reimbursable Costs</w:t>
      </w:r>
      <w:r w:rsidR="00E40EAB">
        <w:t>;</w:t>
      </w:r>
    </w:p>
    <w:p w14:paraId="674CB512" w14:textId="43889D9C" w:rsidR="002A524B" w:rsidRPr="002A524B" w:rsidRDefault="00116594" w:rsidP="000D52B3">
      <w:pPr>
        <w:pStyle w:val="Bulletindent"/>
      </w:pPr>
      <w:r w:rsidRPr="00A65BF5">
        <w:t xml:space="preserve">Estimated Delivery Phase Risk </w:t>
      </w:r>
      <w:r w:rsidR="0002204A">
        <w:t>and</w:t>
      </w:r>
      <w:r w:rsidR="0002204A" w:rsidRPr="00A65BF5">
        <w:t xml:space="preserve"> </w:t>
      </w:r>
      <w:r w:rsidRPr="00A65BF5">
        <w:t>Contingency Provisions</w:t>
      </w:r>
      <w:r w:rsidR="00E40EAB">
        <w:t>;</w:t>
      </w:r>
      <w:r w:rsidR="0092066B">
        <w:t xml:space="preserve"> and</w:t>
      </w:r>
    </w:p>
    <w:p w14:paraId="1D4C85A6" w14:textId="4E49263C" w:rsidR="00116594" w:rsidRDefault="00116594" w:rsidP="000D52B3">
      <w:pPr>
        <w:pStyle w:val="Bulletindent"/>
        <w:rPr>
          <w:color w:val="auto"/>
          <w:lang w:val="en-GB"/>
        </w:rPr>
      </w:pPr>
      <w:r w:rsidRPr="00A65BF5">
        <w:t xml:space="preserve">Estimated Delivery Phase </w:t>
      </w:r>
      <w:r w:rsidR="008C2348">
        <w:t>COP</w:t>
      </w:r>
      <w:r w:rsidRPr="00A65BF5">
        <w:t>, being an amount equal to the Estimated Delivery</w:t>
      </w:r>
      <w:r w:rsidRPr="00116594">
        <w:rPr>
          <w:color w:val="auto"/>
          <w:lang w:val="en-GB"/>
        </w:rPr>
        <w:t xml:space="preserve"> Phase Reimbursable Costs multiplied by the Delivery Phase </w:t>
      </w:r>
      <w:r w:rsidR="008C2348">
        <w:rPr>
          <w:color w:val="auto"/>
          <w:lang w:val="en-GB"/>
        </w:rPr>
        <w:t>COP</w:t>
      </w:r>
      <w:r w:rsidRPr="00116594">
        <w:rPr>
          <w:color w:val="auto"/>
          <w:lang w:val="en-GB"/>
        </w:rPr>
        <w:t xml:space="preserve"> percentage set out in the Agreed ITC Delivery Phase Contract</w:t>
      </w:r>
      <w:r>
        <w:rPr>
          <w:color w:val="auto"/>
          <w:lang w:val="en-GB"/>
        </w:rPr>
        <w:t>.</w:t>
      </w:r>
    </w:p>
    <w:p w14:paraId="228ADE3B" w14:textId="7030AFD2" w:rsidR="00116594" w:rsidRDefault="00875C6C" w:rsidP="004C4B48">
      <w:pPr>
        <w:pStyle w:val="Heading4numbered"/>
        <w:rPr>
          <w:lang w:val="en-GB"/>
        </w:rPr>
      </w:pPr>
      <w:r>
        <w:rPr>
          <w:lang w:val="en-GB"/>
        </w:rPr>
        <w:t xml:space="preserve">The </w:t>
      </w:r>
      <w:r w:rsidRPr="00875C6C">
        <w:rPr>
          <w:lang w:val="en-GB"/>
        </w:rPr>
        <w:t>Estimated Delivery Phase Reimbursable Costs</w:t>
      </w:r>
    </w:p>
    <w:p w14:paraId="05361379" w14:textId="7C737920" w:rsidR="00875C6C" w:rsidRDefault="0016641C" w:rsidP="00594C81">
      <w:pPr>
        <w:pStyle w:val="NormalIndent"/>
        <w:keepNext/>
        <w:rPr>
          <w:lang w:val="en-GB"/>
        </w:rPr>
      </w:pPr>
      <w:r>
        <w:rPr>
          <w:lang w:val="en-GB"/>
        </w:rPr>
        <w:t>The</w:t>
      </w:r>
      <w:r w:rsidR="008C2348">
        <w:rPr>
          <w:lang w:val="en-GB"/>
        </w:rPr>
        <w:t xml:space="preserve">se </w:t>
      </w:r>
      <w:r>
        <w:rPr>
          <w:lang w:val="en-GB"/>
        </w:rPr>
        <w:t xml:space="preserve">are the </w:t>
      </w:r>
      <w:r w:rsidRPr="0016641C">
        <w:rPr>
          <w:lang w:val="en-GB"/>
        </w:rPr>
        <w:t xml:space="preserve">Shortlisted </w:t>
      </w:r>
      <w:r w:rsidRPr="75BAF648">
        <w:rPr>
          <w:lang w:val="en-GB"/>
        </w:rPr>
        <w:t>Respondent</w:t>
      </w:r>
      <w:r w:rsidR="0092066B" w:rsidRPr="75BAF648">
        <w:rPr>
          <w:lang w:val="en-GB"/>
        </w:rPr>
        <w:t>’</w:t>
      </w:r>
      <w:r w:rsidRPr="75BAF648">
        <w:rPr>
          <w:lang w:val="en-GB"/>
        </w:rPr>
        <w:t>s</w:t>
      </w:r>
      <w:r w:rsidRPr="0016641C">
        <w:rPr>
          <w:lang w:val="en-GB"/>
        </w:rPr>
        <w:t xml:space="preserve"> estimate</w:t>
      </w:r>
      <w:r w:rsidR="00201DEA">
        <w:rPr>
          <w:lang w:val="en-GB"/>
        </w:rPr>
        <w:t>s</w:t>
      </w:r>
      <w:r w:rsidRPr="0016641C">
        <w:rPr>
          <w:lang w:val="en-GB"/>
        </w:rPr>
        <w:t xml:space="preserve"> of the Reimbursable Costs likely to be directly, reasonably and actually incurred in performing the Delivery Phase Activities</w:t>
      </w:r>
      <w:r>
        <w:rPr>
          <w:lang w:val="en-GB"/>
        </w:rPr>
        <w:t>.</w:t>
      </w:r>
    </w:p>
    <w:p w14:paraId="3A89978A" w14:textId="7380F601" w:rsidR="00875C6C" w:rsidRDefault="00875C6C" w:rsidP="004C4B48">
      <w:pPr>
        <w:pStyle w:val="Heading4numbered"/>
        <w:rPr>
          <w:lang w:val="en-GB"/>
        </w:rPr>
      </w:pPr>
      <w:r>
        <w:rPr>
          <w:lang w:val="en-GB"/>
        </w:rPr>
        <w:t xml:space="preserve">The </w:t>
      </w:r>
      <w:r w:rsidRPr="00875C6C">
        <w:rPr>
          <w:lang w:val="en-GB"/>
        </w:rPr>
        <w:t xml:space="preserve">Estimated Delivery Phase Risk </w:t>
      </w:r>
      <w:r w:rsidR="00C30AEC">
        <w:rPr>
          <w:lang w:val="en-GB"/>
        </w:rPr>
        <w:t>and</w:t>
      </w:r>
      <w:r w:rsidRPr="00875C6C">
        <w:rPr>
          <w:lang w:val="en-GB"/>
        </w:rPr>
        <w:t xml:space="preserve"> Contingency Provisions</w:t>
      </w:r>
    </w:p>
    <w:p w14:paraId="322EEE03" w14:textId="4208022D" w:rsidR="00875C6C" w:rsidRDefault="0016641C" w:rsidP="00BD2343">
      <w:pPr>
        <w:pStyle w:val="NormalIndent"/>
        <w:rPr>
          <w:lang w:val="en-GB"/>
        </w:rPr>
      </w:pPr>
      <w:r>
        <w:rPr>
          <w:lang w:val="en-GB"/>
        </w:rPr>
        <w:t>The</w:t>
      </w:r>
      <w:r w:rsidR="008C2348">
        <w:rPr>
          <w:lang w:val="en-GB"/>
        </w:rPr>
        <w:t>se</w:t>
      </w:r>
      <w:r>
        <w:rPr>
          <w:lang w:val="en-GB"/>
        </w:rPr>
        <w:t xml:space="preserve"> are</w:t>
      </w:r>
      <w:r w:rsidRPr="0016641C">
        <w:rPr>
          <w:lang w:val="en-GB"/>
        </w:rPr>
        <w:t xml:space="preserve"> the Shortlisted </w:t>
      </w:r>
      <w:r w:rsidRPr="75BAF648">
        <w:rPr>
          <w:lang w:val="en-GB"/>
        </w:rPr>
        <w:t>Respondent</w:t>
      </w:r>
      <w:r w:rsidR="00201DEA" w:rsidRPr="75BAF648">
        <w:rPr>
          <w:lang w:val="en-GB"/>
        </w:rPr>
        <w:t>’</w:t>
      </w:r>
      <w:r w:rsidRPr="75BAF648">
        <w:rPr>
          <w:lang w:val="en-GB"/>
        </w:rPr>
        <w:t>s</w:t>
      </w:r>
      <w:r w:rsidRPr="0016641C">
        <w:rPr>
          <w:lang w:val="en-GB"/>
        </w:rPr>
        <w:t xml:space="preserve"> estimate</w:t>
      </w:r>
      <w:r w:rsidR="00201DEA">
        <w:rPr>
          <w:lang w:val="en-GB"/>
        </w:rPr>
        <w:t>s</w:t>
      </w:r>
      <w:r w:rsidRPr="0016641C">
        <w:rPr>
          <w:lang w:val="en-GB"/>
        </w:rPr>
        <w:t xml:space="preserve"> of the Risk </w:t>
      </w:r>
      <w:r w:rsidR="00C30AEC">
        <w:rPr>
          <w:lang w:val="en-GB"/>
        </w:rPr>
        <w:t xml:space="preserve">and </w:t>
      </w:r>
      <w:r w:rsidRPr="0016641C">
        <w:rPr>
          <w:lang w:val="en-GB"/>
        </w:rPr>
        <w:t xml:space="preserve">Contingency Provisions </w:t>
      </w:r>
      <w:r>
        <w:rPr>
          <w:lang w:val="en-GB"/>
        </w:rPr>
        <w:t>t</w:t>
      </w:r>
      <w:r w:rsidRPr="0016641C">
        <w:rPr>
          <w:lang w:val="en-GB"/>
        </w:rPr>
        <w:t>hat may arise in performing the Delivery Phase Activities</w:t>
      </w:r>
      <w:r>
        <w:rPr>
          <w:lang w:val="en-GB"/>
        </w:rPr>
        <w:t>.</w:t>
      </w:r>
    </w:p>
    <w:p w14:paraId="4AC29588" w14:textId="4E057CCB" w:rsidR="005F6F89" w:rsidRPr="009739FD" w:rsidRDefault="005F6F89" w:rsidP="004C4B48">
      <w:pPr>
        <w:pStyle w:val="Heading3numbered"/>
        <w:rPr>
          <w:lang w:val="en-GB"/>
        </w:rPr>
      </w:pPr>
      <w:r>
        <w:rPr>
          <w:lang w:val="en-GB"/>
        </w:rPr>
        <w:t xml:space="preserve">Incentive for the Shortlisted Respondent to prepare </w:t>
      </w:r>
      <w:r w:rsidR="00CA74F9">
        <w:rPr>
          <w:lang w:val="en-GB"/>
        </w:rPr>
        <w:t>a</w:t>
      </w:r>
      <w:r>
        <w:rPr>
          <w:lang w:val="en-GB"/>
        </w:rPr>
        <w:t xml:space="preserve"> </w:t>
      </w:r>
      <w:r w:rsidR="00E46FFA" w:rsidRPr="75BAF648">
        <w:rPr>
          <w:lang w:val="en-GB"/>
        </w:rPr>
        <w:t>f</w:t>
      </w:r>
      <w:r w:rsidRPr="75BAF648">
        <w:rPr>
          <w:lang w:val="en-GB"/>
        </w:rPr>
        <w:t>inal</w:t>
      </w:r>
      <w:r>
        <w:rPr>
          <w:lang w:val="en-GB"/>
        </w:rPr>
        <w:t xml:space="preserve"> TOC Estimate </w:t>
      </w:r>
      <w:r w:rsidR="00CA74F9">
        <w:rPr>
          <w:lang w:val="en-GB"/>
        </w:rPr>
        <w:t xml:space="preserve">that is less than the </w:t>
      </w:r>
      <w:r w:rsidR="00CA74F9" w:rsidRPr="75BAF648">
        <w:rPr>
          <w:lang w:val="en-GB"/>
        </w:rPr>
        <w:t>Principal</w:t>
      </w:r>
      <w:r w:rsidR="00E40130" w:rsidRPr="75BAF648">
        <w:rPr>
          <w:lang w:val="en-GB"/>
        </w:rPr>
        <w:t>’</w:t>
      </w:r>
      <w:r w:rsidR="00CA74F9" w:rsidRPr="75BAF648">
        <w:rPr>
          <w:lang w:val="en-GB"/>
        </w:rPr>
        <w:t>s</w:t>
      </w:r>
      <w:r w:rsidR="00CA74F9">
        <w:rPr>
          <w:lang w:val="en-GB"/>
        </w:rPr>
        <w:t xml:space="preserve"> Benchmark</w:t>
      </w:r>
      <w:r w:rsidR="00D81C91">
        <w:rPr>
          <w:lang w:val="en-GB"/>
        </w:rPr>
        <w:t xml:space="preserve"> </w:t>
      </w:r>
      <w:r w:rsidR="00D81C91" w:rsidRPr="00D81C91">
        <w:rPr>
          <w:lang w:val="en-GB"/>
        </w:rPr>
        <w:t>(section</w:t>
      </w:r>
      <w:r w:rsidR="00754976" w:rsidRPr="00754976">
        <w:rPr>
          <w:rFonts w:ascii="Calibri" w:hAnsi="Calibri" w:cs="Calibri"/>
          <w:lang w:val="en-GB"/>
        </w:rPr>
        <w:t> </w:t>
      </w:r>
      <w:r w:rsidR="00D81C91" w:rsidRPr="00D81C91">
        <w:rPr>
          <w:lang w:val="en-GB"/>
        </w:rPr>
        <w:t xml:space="preserve">4.1 of </w:t>
      </w:r>
      <w:r w:rsidR="00E01173">
        <w:rPr>
          <w:lang w:val="en-GB"/>
        </w:rPr>
        <w:t>S</w:t>
      </w:r>
      <w:r w:rsidR="00D81C91" w:rsidRPr="00D81C91">
        <w:rPr>
          <w:lang w:val="en-GB"/>
        </w:rPr>
        <w:t>chedule</w:t>
      </w:r>
      <w:r w:rsidR="00754976" w:rsidRPr="00754976">
        <w:rPr>
          <w:rFonts w:ascii="Calibri" w:hAnsi="Calibri" w:cs="Calibri"/>
          <w:lang w:val="en-GB"/>
        </w:rPr>
        <w:t> </w:t>
      </w:r>
      <w:r w:rsidR="00D81C91" w:rsidRPr="00D81C91">
        <w:rPr>
          <w:lang w:val="en-GB"/>
        </w:rPr>
        <w:t>5 to the ITC Delivery Deed)</w:t>
      </w:r>
    </w:p>
    <w:p w14:paraId="6FFCAB73" w14:textId="334B463B" w:rsidR="00CA74F9" w:rsidRDefault="00CA74F9" w:rsidP="00BD2343">
      <w:pPr>
        <w:pStyle w:val="NormalIndent"/>
      </w:pPr>
      <w:r>
        <w:t>The Principal prepare</w:t>
      </w:r>
      <w:r w:rsidR="00E40130">
        <w:t>s</w:t>
      </w:r>
      <w:r>
        <w:t xml:space="preserve"> the Principal</w:t>
      </w:r>
      <w:r w:rsidR="00E40130">
        <w:t>’</w:t>
      </w:r>
      <w:r>
        <w:t xml:space="preserve">s Benchmark (the benchmark TOC for the Project) during the Development Phase. </w:t>
      </w:r>
      <w:r w:rsidR="00A55468">
        <w:t>See section</w:t>
      </w:r>
      <w:r w:rsidR="00A55468">
        <w:fldChar w:fldCharType="begin" w:fldLock="1"/>
      </w:r>
      <w:r w:rsidR="00A55468">
        <w:instrText xml:space="preserve"> REF _Ref132137480 \r \h </w:instrText>
      </w:r>
      <w:r w:rsidR="004C4B48">
        <w:instrText xml:space="preserve"> \* MERGEFORMAT </w:instrText>
      </w:r>
      <w:r w:rsidR="00A55468">
        <w:fldChar w:fldCharType="separate"/>
      </w:r>
      <w:r w:rsidR="00400321">
        <w:t>4.4.7</w:t>
      </w:r>
      <w:r w:rsidR="00A55468">
        <w:fldChar w:fldCharType="end"/>
      </w:r>
      <w:r w:rsidR="00A55468">
        <w:t xml:space="preserve"> for further details.</w:t>
      </w:r>
    </w:p>
    <w:p w14:paraId="1EA505C0" w14:textId="6C1C7F92" w:rsidR="00B57B41" w:rsidRPr="007A30E7" w:rsidRDefault="41B81C31" w:rsidP="00AA17AF">
      <w:pPr>
        <w:pStyle w:val="NormalIndent"/>
        <w:rPr>
          <w:b/>
          <w:bCs/>
        </w:rPr>
      </w:pPr>
      <w:r>
        <w:t xml:space="preserve">Under a </w:t>
      </w:r>
      <w:r w:rsidR="00C56FAD">
        <w:t>S</w:t>
      </w:r>
      <w:r>
        <w:t>ingle</w:t>
      </w:r>
      <w:r w:rsidR="00AF51C1">
        <w:t xml:space="preserve"> </w:t>
      </w:r>
      <w:r>
        <w:t xml:space="preserve">TOC </w:t>
      </w:r>
      <w:r w:rsidR="00C56FAD">
        <w:t>P</w:t>
      </w:r>
      <w:r>
        <w:t xml:space="preserve">rocess, </w:t>
      </w:r>
      <w:r w:rsidR="00BA4E02">
        <w:t>if the</w:t>
      </w:r>
      <w:r w:rsidR="00CA74F9">
        <w:t xml:space="preserve"> Shortlisted Respondent prepare</w:t>
      </w:r>
      <w:r w:rsidR="00BA4E02">
        <w:t>s</w:t>
      </w:r>
      <w:r w:rsidR="00CA74F9">
        <w:t xml:space="preserve"> a </w:t>
      </w:r>
      <w:r w:rsidR="00E46FFA">
        <w:t>f</w:t>
      </w:r>
      <w:r w:rsidR="00CA74F9">
        <w:t>inal TOC Estimate that is less than the Principal</w:t>
      </w:r>
      <w:r w:rsidR="00C03585">
        <w:t>’</w:t>
      </w:r>
      <w:r w:rsidR="00CA74F9">
        <w:t xml:space="preserve">s Benchmark, </w:t>
      </w:r>
      <w:r w:rsidR="00BA4E02">
        <w:t>they</w:t>
      </w:r>
      <w:r w:rsidR="00CA74F9">
        <w:t xml:space="preserve"> </w:t>
      </w:r>
      <w:r w:rsidR="00C03585">
        <w:t>are</w:t>
      </w:r>
      <w:r w:rsidR="00CA74F9">
        <w:t xml:space="preserve"> entitled to an additional performance percentage amount</w:t>
      </w:r>
      <w:r w:rsidR="00BA4E02">
        <w:t>. This</w:t>
      </w:r>
      <w:r w:rsidR="00CA74F9">
        <w:t xml:space="preserve"> </w:t>
      </w:r>
      <w:r w:rsidR="00BA4E02">
        <w:t>is part of</w:t>
      </w:r>
      <w:r w:rsidR="00CA74F9">
        <w:t xml:space="preserve"> the Performance Reward Potential Pool in accordance with </w:t>
      </w:r>
      <w:r w:rsidR="00E01173">
        <w:t>S</w:t>
      </w:r>
      <w:r w:rsidR="00CA74F9">
        <w:t>chedule</w:t>
      </w:r>
      <w:r w:rsidR="00754976" w:rsidRPr="00754976">
        <w:rPr>
          <w:rFonts w:ascii="Calibri" w:hAnsi="Calibri" w:cs="Calibri"/>
        </w:rPr>
        <w:t> </w:t>
      </w:r>
      <w:r w:rsidR="00CA74F9">
        <w:t>5 of the Agreed ITC Delivery Deed</w:t>
      </w:r>
      <w:r w:rsidR="00B57B41">
        <w:t>.</w:t>
      </w:r>
    </w:p>
    <w:p w14:paraId="3DE18746" w14:textId="12B46FE2" w:rsidR="00875C6C" w:rsidRDefault="00875C6C" w:rsidP="006E0378">
      <w:pPr>
        <w:pStyle w:val="Heading3numbered"/>
      </w:pPr>
      <w:r>
        <w:t xml:space="preserve">Requirements for preparing </w:t>
      </w:r>
      <w:r w:rsidR="00E31698">
        <w:t xml:space="preserve">the </w:t>
      </w:r>
      <w:r>
        <w:t>TOC Estimate</w:t>
      </w:r>
      <w:r w:rsidR="00D81C91">
        <w:t xml:space="preserve"> </w:t>
      </w:r>
      <w:r w:rsidR="00D81C91" w:rsidRPr="00D81C91">
        <w:t>(clause</w:t>
      </w:r>
      <w:r w:rsidR="00754976" w:rsidRPr="00754976">
        <w:rPr>
          <w:rFonts w:ascii="Calibri" w:hAnsi="Calibri" w:cs="Calibri"/>
        </w:rPr>
        <w:t> </w:t>
      </w:r>
      <w:r w:rsidR="00D81C91" w:rsidRPr="00D81C91">
        <w:t>12.2 of the ITC Development Deed)</w:t>
      </w:r>
    </w:p>
    <w:p w14:paraId="330C9586" w14:textId="623636D2" w:rsidR="00790EE6" w:rsidRDefault="00790EE6" w:rsidP="00AA17AF">
      <w:pPr>
        <w:pStyle w:val="NormalIndent"/>
      </w:pPr>
      <w:r>
        <w:t>The Shortlisted Respondent must prepare and update the TOC Estimate:</w:t>
      </w:r>
    </w:p>
    <w:p w14:paraId="04D10376" w14:textId="71093403" w:rsidR="00790EE6" w:rsidRDefault="5B6408C8" w:rsidP="000D52B3">
      <w:pPr>
        <w:pStyle w:val="Bulletindent"/>
      </w:pPr>
      <w:r>
        <w:t xml:space="preserve">in accordance with the </w:t>
      </w:r>
      <w:r w:rsidDel="007756AD">
        <w:t xml:space="preserve">Development Phase Services and Deliverables </w:t>
      </w:r>
      <w:r w:rsidR="00CA74F9" w:rsidDel="007756AD">
        <w:t>Schedule</w:t>
      </w:r>
      <w:r w:rsidR="00E342CF" w:rsidDel="007756AD">
        <w:t xml:space="preserve"> (</w:t>
      </w:r>
      <w:r w:rsidR="00E342CF">
        <w:t>DPSDS</w:t>
      </w:r>
      <w:r w:rsidR="00E342CF" w:rsidDel="007756AD">
        <w:t>)</w:t>
      </w:r>
      <w:r w:rsidR="00CA74F9">
        <w:t xml:space="preserve"> </w:t>
      </w:r>
      <w:r>
        <w:t>and the Delivery Phase Pricing Schedule</w:t>
      </w:r>
      <w:r w:rsidR="00CA74F9">
        <w:t xml:space="preserve"> (</w:t>
      </w:r>
      <w:r>
        <w:t>to be updated on a project</w:t>
      </w:r>
      <w:r w:rsidR="007C277D">
        <w:t>-specific</w:t>
      </w:r>
      <w:r>
        <w:t xml:space="preserve"> basis but includ</w:t>
      </w:r>
      <w:r w:rsidR="000238DB">
        <w:t>ing</w:t>
      </w:r>
      <w:r>
        <w:t>, for example, the production of Design Reports and the continued updating of Programs</w:t>
      </w:r>
      <w:r w:rsidR="00BA4E02">
        <w:t>)</w:t>
      </w:r>
      <w:r w:rsidR="007C2543">
        <w:t>;</w:t>
      </w:r>
    </w:p>
    <w:p w14:paraId="617E67CF" w14:textId="4980EC0F" w:rsidR="00790EE6" w:rsidRDefault="5B6408C8" w:rsidP="000D52B3">
      <w:pPr>
        <w:pStyle w:val="Bulletindent"/>
      </w:pPr>
      <w:r>
        <w:t>on the basis of the PSDR and most recent Design Deliverables</w:t>
      </w:r>
      <w:r w:rsidR="007C2543">
        <w:t>;</w:t>
      </w:r>
    </w:p>
    <w:p w14:paraId="496154E7" w14:textId="08A34E6E" w:rsidR="00790EE6" w:rsidRDefault="5B6408C8" w:rsidP="000D52B3">
      <w:pPr>
        <w:pStyle w:val="Bulletindent"/>
      </w:pPr>
      <w:r>
        <w:t>to reflect the terms of the Agreed ITC Delivery Deed</w:t>
      </w:r>
      <w:r w:rsidR="007C2543">
        <w:t>;</w:t>
      </w:r>
    </w:p>
    <w:p w14:paraId="141FAE3B" w14:textId="645AB166" w:rsidR="00A55468" w:rsidRDefault="5B6408C8" w:rsidP="000D52B3">
      <w:pPr>
        <w:pStyle w:val="Bulletindent"/>
      </w:pPr>
      <w:r>
        <w:t>to be calculated in accordance with</w:t>
      </w:r>
      <w:r w:rsidR="00A55468">
        <w:t>:</w:t>
      </w:r>
    </w:p>
    <w:p w14:paraId="10258752" w14:textId="40C8EEC5" w:rsidR="00A55468" w:rsidRDefault="5B6408C8" w:rsidP="0005402F">
      <w:pPr>
        <w:pStyle w:val="Bulletindent2"/>
      </w:pPr>
      <w:r>
        <w:t>the applicable rates or prices included in the Schedule of Rates</w:t>
      </w:r>
      <w:r w:rsidR="00034BDA">
        <w:t>;</w:t>
      </w:r>
    </w:p>
    <w:p w14:paraId="0D856336" w14:textId="777EDC65" w:rsidR="00EB18C7" w:rsidRDefault="5B6408C8" w:rsidP="0005402F">
      <w:pPr>
        <w:pStyle w:val="Bulletindent2"/>
      </w:pPr>
      <w:r>
        <w:t xml:space="preserve">input prices </w:t>
      </w:r>
      <w:r w:rsidR="006959B5">
        <w:t xml:space="preserve">that </w:t>
      </w:r>
      <w:r>
        <w:t>have been procured following the outcome of a competitive tendering process</w:t>
      </w:r>
      <w:r w:rsidR="006959B5">
        <w:t>; and</w:t>
      </w:r>
    </w:p>
    <w:p w14:paraId="3603008E" w14:textId="08F38751" w:rsidR="00790EE6" w:rsidRDefault="5B6408C8" w:rsidP="0005402F">
      <w:pPr>
        <w:pStyle w:val="Bulletindent2"/>
      </w:pPr>
      <w:r>
        <w:t>appropriate benchmarking data approved by the Principal Representative</w:t>
      </w:r>
      <w:r w:rsidR="006959B5">
        <w:t>;</w:t>
      </w:r>
    </w:p>
    <w:p w14:paraId="78106D85" w14:textId="02CDEAE8" w:rsidR="00277B42" w:rsidRDefault="5B6408C8" w:rsidP="000D52B3">
      <w:pPr>
        <w:pStyle w:val="Bulletindent"/>
      </w:pPr>
      <w:r>
        <w:t xml:space="preserve">on an </w:t>
      </w:r>
      <w:r w:rsidR="00375A8F">
        <w:t>o</w:t>
      </w:r>
      <w:r>
        <w:t xml:space="preserve">pen </w:t>
      </w:r>
      <w:r w:rsidR="00375A8F">
        <w:t>b</w:t>
      </w:r>
      <w:r>
        <w:t xml:space="preserve">ook </w:t>
      </w:r>
      <w:r w:rsidR="00375A8F">
        <w:t>b</w:t>
      </w:r>
      <w:r>
        <w:t>asis</w:t>
      </w:r>
      <w:r w:rsidR="00573D0A">
        <w:t>; and</w:t>
      </w:r>
    </w:p>
    <w:p w14:paraId="2C390AE0" w14:textId="5EF93F23" w:rsidR="00790EE6" w:rsidRDefault="00A55468" w:rsidP="000D52B3">
      <w:pPr>
        <w:pStyle w:val="Bulletindent"/>
      </w:pPr>
      <w:r>
        <w:t xml:space="preserve">so as </w:t>
      </w:r>
      <w:r w:rsidR="00277B42">
        <w:t xml:space="preserve">to ensure that the Estimated Delivery Phase Risk </w:t>
      </w:r>
      <w:r w:rsidR="00573D0A">
        <w:t>and</w:t>
      </w:r>
      <w:r w:rsidR="00277B42">
        <w:t xml:space="preserve"> Contingency Provisions are progressively reduced f</w:t>
      </w:r>
      <w:r>
        <w:t>r</w:t>
      </w:r>
      <w:r w:rsidR="00277B42">
        <w:t>om the amount in prior versions of the TOC Estimate prepared during the Development Phase to the greatest extent practicable</w:t>
      </w:r>
      <w:r w:rsidR="5B6408C8">
        <w:t>.</w:t>
      </w:r>
    </w:p>
    <w:p w14:paraId="11D27475" w14:textId="39F5D568" w:rsidR="00A55468" w:rsidRDefault="00345CCD" w:rsidP="00D7634D">
      <w:pPr>
        <w:pStyle w:val="NormalIndent"/>
      </w:pPr>
      <w:r>
        <w:t>As</w:t>
      </w:r>
      <w:r w:rsidR="00A55468" w:rsidRPr="007A3ADE">
        <w:t xml:space="preserve"> the Shortlisted Respondent</w:t>
      </w:r>
      <w:r>
        <w:t xml:space="preserve"> is required</w:t>
      </w:r>
      <w:r w:rsidR="00A55468" w:rsidRPr="007A3ADE">
        <w:t xml:space="preserve"> to progressively develop and resubmit its TOC Estimate</w:t>
      </w:r>
      <w:r w:rsidR="009F035E">
        <w:t>,</w:t>
      </w:r>
      <w:r w:rsidR="00A55468" w:rsidRPr="007A3ADE">
        <w:t xml:space="preserve"> it is expected that any contingency or risk allowance included in the TOC Estimate </w:t>
      </w:r>
      <w:r>
        <w:t>is</w:t>
      </w:r>
      <w:r w:rsidR="00A55468" w:rsidRPr="007A3ADE">
        <w:t xml:space="preserve"> progressively and materially reduced. Similarly</w:t>
      </w:r>
      <w:r w:rsidR="00A55468">
        <w:t>, the Shortlisted Respondent is required to provide detailed reasons for the changes in subsequent versions of the TOC Estimate. Refer to section</w:t>
      </w:r>
      <w:r w:rsidR="00754976" w:rsidRPr="00754976">
        <w:rPr>
          <w:rFonts w:ascii="Calibri" w:hAnsi="Calibri" w:cs="Calibri"/>
        </w:rPr>
        <w:t> </w:t>
      </w:r>
      <w:r w:rsidR="00A55468">
        <w:rPr>
          <w:color w:val="2B579A"/>
          <w:shd w:val="clear" w:color="auto" w:fill="E6E6E6"/>
        </w:rPr>
        <w:fldChar w:fldCharType="begin" w:fldLock="1"/>
      </w:r>
      <w:r w:rsidR="00A55468">
        <w:instrText xml:space="preserve"> REF _Ref116382348 \r \h </w:instrText>
      </w:r>
      <w:r w:rsidR="004C4B48">
        <w:rPr>
          <w:color w:val="2B579A"/>
          <w:shd w:val="clear" w:color="auto" w:fill="E6E6E6"/>
        </w:rPr>
        <w:instrText xml:space="preserve"> \* MERGEFORMAT </w:instrText>
      </w:r>
      <w:r w:rsidR="00A55468">
        <w:rPr>
          <w:color w:val="2B579A"/>
          <w:shd w:val="clear" w:color="auto" w:fill="E6E6E6"/>
        </w:rPr>
      </w:r>
      <w:r w:rsidR="00A55468">
        <w:rPr>
          <w:color w:val="2B579A"/>
          <w:shd w:val="clear" w:color="auto" w:fill="E6E6E6"/>
        </w:rPr>
        <w:fldChar w:fldCharType="separate"/>
      </w:r>
      <w:r w:rsidR="00400321">
        <w:t>3.5</w:t>
      </w:r>
      <w:r w:rsidR="00A55468">
        <w:rPr>
          <w:color w:val="2B579A"/>
          <w:shd w:val="clear" w:color="auto" w:fill="E6E6E6"/>
        </w:rPr>
        <w:fldChar w:fldCharType="end"/>
      </w:r>
      <w:r w:rsidR="00A55468">
        <w:t xml:space="preserve"> for further guidance on the TOC development process.</w:t>
      </w:r>
    </w:p>
    <w:p w14:paraId="1BAA5DE0" w14:textId="74F0A121" w:rsidR="00875C6C" w:rsidRDefault="00875C6C" w:rsidP="004C4B48">
      <w:pPr>
        <w:pStyle w:val="Heading3numbered"/>
      </w:pPr>
      <w:r>
        <w:t>TOC Estimate warranties</w:t>
      </w:r>
      <w:r w:rsidR="00D81C91">
        <w:t xml:space="preserve"> </w:t>
      </w:r>
      <w:r w:rsidR="00D81C91" w:rsidRPr="00D81C91">
        <w:t>(clause</w:t>
      </w:r>
      <w:r w:rsidR="00754976" w:rsidRPr="00754976">
        <w:rPr>
          <w:rFonts w:ascii="Calibri" w:hAnsi="Calibri" w:cs="Calibri"/>
        </w:rPr>
        <w:t> </w:t>
      </w:r>
      <w:r w:rsidR="00D81C91" w:rsidRPr="00D81C91">
        <w:t>12.3 of the ITC Development Deed)</w:t>
      </w:r>
    </w:p>
    <w:p w14:paraId="1A7B32CB" w14:textId="165460C2" w:rsidR="00A55468" w:rsidRDefault="00790EE6" w:rsidP="00AA17AF">
      <w:pPr>
        <w:pStyle w:val="NormalIndent"/>
      </w:pPr>
      <w:r w:rsidRPr="007A3ADE">
        <w:t xml:space="preserve">The Shortlisted Respondent must ensure that </w:t>
      </w:r>
      <w:r w:rsidRPr="004C4B48">
        <w:t>the</w:t>
      </w:r>
      <w:r w:rsidRPr="007A3ADE">
        <w:t xml:space="preserve"> TOC </w:t>
      </w:r>
      <w:r w:rsidR="00A55468">
        <w:t>Components do not include:</w:t>
      </w:r>
    </w:p>
    <w:p w14:paraId="54B48DC4" w14:textId="77777777" w:rsidR="002A524B" w:rsidRPr="002A524B" w:rsidRDefault="00A55468" w:rsidP="000D52B3">
      <w:pPr>
        <w:pStyle w:val="Bulletindent"/>
      </w:pPr>
      <w:r>
        <w:t>any amount that is or ought to have been included in another TOC Component</w:t>
      </w:r>
    </w:p>
    <w:p w14:paraId="2362EB33" w14:textId="6DD9B9AA" w:rsidR="00790EE6" w:rsidRPr="007A3ADE" w:rsidRDefault="00A55468" w:rsidP="000D52B3">
      <w:pPr>
        <w:pStyle w:val="Bulletindent"/>
      </w:pPr>
      <w:r>
        <w:t>any corporate overhead or profit (</w:t>
      </w:r>
      <w:r w:rsidR="00790EE6" w:rsidRPr="007A3ADE">
        <w:t>other than in accordance with the Delivery Phase Pricing Schedule</w:t>
      </w:r>
      <w:r>
        <w:t>)</w:t>
      </w:r>
      <w:r w:rsidR="00790EE6" w:rsidRPr="007A3ADE">
        <w:t>.</w:t>
      </w:r>
    </w:p>
    <w:p w14:paraId="63864E3D" w14:textId="325E8CBA" w:rsidR="00875C6C" w:rsidRDefault="00875C6C" w:rsidP="004C4B48">
      <w:pPr>
        <w:pStyle w:val="Heading3numbered"/>
      </w:pPr>
      <w:r>
        <w:t>Preparing and updating the TOC Estimate through the Development Phase and Delivery Phase</w:t>
      </w:r>
    </w:p>
    <w:p w14:paraId="086E399F" w14:textId="7AD3B108" w:rsidR="00790EE6" w:rsidRDefault="00FD4196" w:rsidP="00AA17AF">
      <w:pPr>
        <w:pStyle w:val="NormalIndent"/>
      </w:pPr>
      <w:r>
        <w:fldChar w:fldCharType="begin" w:fldLock="1"/>
      </w:r>
      <w:r>
        <w:instrText xml:space="preserve"> REF _Ref143159355 \h </w:instrText>
      </w:r>
      <w:r>
        <w:fldChar w:fldCharType="separate"/>
      </w:r>
      <w:r w:rsidR="00400321">
        <w:t xml:space="preserve">Figure </w:t>
      </w:r>
      <w:r w:rsidR="00400321">
        <w:rPr>
          <w:noProof/>
        </w:rPr>
        <w:t>6</w:t>
      </w:r>
      <w:r>
        <w:fldChar w:fldCharType="end"/>
      </w:r>
      <w:r w:rsidR="00790EE6">
        <w:t xml:space="preserve"> below shows </w:t>
      </w:r>
      <w:r w:rsidR="00790EE6" w:rsidRPr="00FF32FA">
        <w:t>the</w:t>
      </w:r>
      <w:r w:rsidR="00790EE6">
        <w:t xml:space="preserve"> development of the TOC Estimate through the Development Phase and into the Delivery Phase.</w:t>
      </w:r>
    </w:p>
    <w:p w14:paraId="376E4759" w14:textId="6D9AEBC7" w:rsidR="00C30AEC" w:rsidRDefault="00C30AEC" w:rsidP="00BA17E2">
      <w:pPr>
        <w:pStyle w:val="Captionindent"/>
      </w:pPr>
      <w:bookmarkStart w:id="931" w:name="_Ref143159355"/>
      <w:r>
        <w:t xml:space="preserve">Figure </w:t>
      </w:r>
      <w:r>
        <w:fldChar w:fldCharType="begin"/>
      </w:r>
      <w:r>
        <w:instrText>SEQ Figure \* ARABIC</w:instrText>
      </w:r>
      <w:r>
        <w:fldChar w:fldCharType="separate"/>
      </w:r>
      <w:r w:rsidR="00131EE1">
        <w:rPr>
          <w:noProof/>
        </w:rPr>
        <w:t>6</w:t>
      </w:r>
      <w:r>
        <w:fldChar w:fldCharType="end"/>
      </w:r>
      <w:bookmarkEnd w:id="931"/>
      <w:r>
        <w:t xml:space="preserve"> – Development of the TOC Estimate</w:t>
      </w:r>
    </w:p>
    <w:p w14:paraId="03560D53" w14:textId="1A7BA70A" w:rsidR="008B6168" w:rsidRPr="00D7634D" w:rsidRDefault="008B6168" w:rsidP="00D7634D">
      <w:pPr>
        <w:pStyle w:val="NormalIndent"/>
      </w:pPr>
      <w:r>
        <w:rPr>
          <w:noProof/>
        </w:rPr>
        <w:drawing>
          <wp:inline distT="0" distB="0" distL="0" distR="0" wp14:anchorId="14C3FC15" wp14:editId="550B93DE">
            <wp:extent cx="5176800" cy="3503201"/>
            <wp:effectExtent l="0" t="0" r="5080" b="2540"/>
            <wp:docPr id="18" name="Picture 18" descr="Figure illustrates the development of the TOC Estimate through the Development Phase and potential adjustments to the Initial TOC in the Delivery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Figure illustrates the development of the TOC Estimate through the Development Phase and potential adjustments to the Initial TOC in the Delivery Phase."/>
                    <pic:cNvPicPr/>
                  </pic:nvPicPr>
                  <pic:blipFill>
                    <a:blip r:embed="rId57">
                      <a:extLst>
                        <a:ext uri="{96DAC541-7B7A-43D3-8B79-37D633B846F1}">
                          <asvg:svgBlip xmlns:asvg="http://schemas.microsoft.com/office/drawing/2016/SVG/main" r:embed="rId58"/>
                        </a:ext>
                      </a:extLst>
                    </a:blip>
                    <a:stretch>
                      <a:fillRect/>
                    </a:stretch>
                  </pic:blipFill>
                  <pic:spPr>
                    <a:xfrm>
                      <a:off x="0" y="0"/>
                      <a:ext cx="5189080" cy="3511511"/>
                    </a:xfrm>
                    <a:prstGeom prst="rect">
                      <a:avLst/>
                    </a:prstGeom>
                  </pic:spPr>
                </pic:pic>
              </a:graphicData>
            </a:graphic>
          </wp:inline>
        </w:drawing>
      </w:r>
    </w:p>
    <w:p w14:paraId="606164B4" w14:textId="3CA88913" w:rsidR="002B5BB6" w:rsidRDefault="002B5BB6" w:rsidP="00D81C91">
      <w:pPr>
        <w:pStyle w:val="Heading3numbered"/>
      </w:pPr>
      <w:bookmarkStart w:id="932" w:name="_Ref132137480"/>
      <w:r>
        <w:t>Principal</w:t>
      </w:r>
      <w:r w:rsidR="00633251">
        <w:t>’</w:t>
      </w:r>
      <w:r>
        <w:t>s Benchmark</w:t>
      </w:r>
      <w:bookmarkEnd w:id="932"/>
      <w:r w:rsidR="00D81C91">
        <w:t xml:space="preserve"> </w:t>
      </w:r>
      <w:r w:rsidR="00D81C91" w:rsidRPr="00D81C91">
        <w:t>(clause</w:t>
      </w:r>
      <w:r w:rsidR="00754976" w:rsidRPr="00754976">
        <w:rPr>
          <w:rFonts w:ascii="Calibri" w:hAnsi="Calibri" w:cs="Calibri"/>
        </w:rPr>
        <w:t> </w:t>
      </w:r>
      <w:r w:rsidR="00D81C91" w:rsidRPr="00D81C91">
        <w:t>12.1 of the ITC Development Deed)</w:t>
      </w:r>
    </w:p>
    <w:p w14:paraId="0140EDB1" w14:textId="4FFE0F14" w:rsidR="00790EE6" w:rsidRDefault="00790EE6" w:rsidP="00AA17AF">
      <w:pPr>
        <w:pStyle w:val="NormalIndent"/>
      </w:pPr>
      <w:r>
        <w:t>During the Development Phase, the Principal prepare</w:t>
      </w:r>
      <w:r w:rsidR="00C87061">
        <w:t>s</w:t>
      </w:r>
      <w:r>
        <w:t xml:space="preserve"> the Principal</w:t>
      </w:r>
      <w:r w:rsidR="00633251">
        <w:t>’</w:t>
      </w:r>
      <w:r>
        <w:t>s Benchmark, being the Principal</w:t>
      </w:r>
      <w:r w:rsidR="00633251">
        <w:t>’</w:t>
      </w:r>
      <w:r>
        <w:t xml:space="preserve">s </w:t>
      </w:r>
      <w:r w:rsidR="00375A8F">
        <w:rPr>
          <w:rFonts w:hint="eastAsia"/>
        </w:rPr>
        <w:t>B</w:t>
      </w:r>
      <w:r>
        <w:t xml:space="preserve">enchmark TOC for the Project against which Delivery Phase Offers submitted by Shortlisted Respondents </w:t>
      </w:r>
      <w:r w:rsidR="00163018">
        <w:t>are</w:t>
      </w:r>
      <w:r>
        <w:t xml:space="preserve"> assessed (among other criteria). The Principal’s Benchmark </w:t>
      </w:r>
      <w:r w:rsidR="6C6F2BBC">
        <w:t>should</w:t>
      </w:r>
      <w:r w:rsidR="78F1650C">
        <w:t xml:space="preserve"> </w:t>
      </w:r>
      <w:r>
        <w:t xml:space="preserve">be developed </w:t>
      </w:r>
      <w:r w:rsidR="5F993BE3">
        <w:t xml:space="preserve">based on </w:t>
      </w:r>
      <w:r w:rsidR="006E5C4B">
        <w:t xml:space="preserve">the </w:t>
      </w:r>
      <w:r>
        <w:t xml:space="preserve">costing estimates </w:t>
      </w:r>
      <w:r w:rsidR="00B304F0">
        <w:t xml:space="preserve">that </w:t>
      </w:r>
      <w:r>
        <w:t>informed the development of the business case and</w:t>
      </w:r>
      <w:r w:rsidR="65164F06">
        <w:t xml:space="preserve"> </w:t>
      </w:r>
      <w:r w:rsidR="71A60799">
        <w:t>adapt</w:t>
      </w:r>
      <w:r w:rsidR="65164F06">
        <w:t xml:space="preserve">ed to inform the </w:t>
      </w:r>
      <w:r>
        <w:t>RFP.</w:t>
      </w:r>
    </w:p>
    <w:p w14:paraId="32EB5699" w14:textId="506729AE" w:rsidR="00790EE6" w:rsidRDefault="00790EE6" w:rsidP="00AA17AF">
      <w:pPr>
        <w:pStyle w:val="NormalIndent"/>
      </w:pPr>
      <w:r>
        <w:t>The Principal should be careful to avoid optimism bias when developing the Principal</w:t>
      </w:r>
      <w:r w:rsidR="00633251">
        <w:t>’</w:t>
      </w:r>
      <w:r>
        <w:t xml:space="preserve">s Benchmark. Optimism bias refers to a systematic tendency to be overly optimistic about the outcome of planned actions </w:t>
      </w:r>
      <w:r w:rsidR="00E16BF0">
        <w:t xml:space="preserve">a </w:t>
      </w:r>
      <w:r>
        <w:t xml:space="preserve">can result in underestimating the </w:t>
      </w:r>
      <w:r w:rsidR="00277B42">
        <w:t>P</w:t>
      </w:r>
      <w:r>
        <w:t>roject costs. One way to mitigate against optimism bias is to emphasise realistic budgeting, particularly when assessing risks. Refer to section</w:t>
      </w:r>
      <w:r w:rsidR="00754976" w:rsidRPr="00754976">
        <w:rPr>
          <w:rFonts w:ascii="Calibri" w:hAnsi="Calibri" w:cs="Calibri"/>
        </w:rPr>
        <w:t> </w:t>
      </w:r>
      <w:r>
        <w:rPr>
          <w:color w:val="2B579A"/>
          <w:shd w:val="clear" w:color="auto" w:fill="E6E6E6"/>
        </w:rPr>
        <w:fldChar w:fldCharType="begin" w:fldLock="1"/>
      </w:r>
      <w:r>
        <w:instrText xml:space="preserve"> REF _Ref116384228 \r \h </w:instrText>
      </w:r>
      <w:r w:rsidR="004C4B48">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400321">
        <w:t>3.3</w:t>
      </w:r>
      <w:r>
        <w:rPr>
          <w:color w:val="2B579A"/>
          <w:shd w:val="clear" w:color="auto" w:fill="E6E6E6"/>
        </w:rPr>
        <w:fldChar w:fldCharType="end"/>
      </w:r>
      <w:r>
        <w:t xml:space="preserve"> for further guidance on developing the Principal’s Benchmark.</w:t>
      </w:r>
    </w:p>
    <w:p w14:paraId="09660760" w14:textId="1EF4C937" w:rsidR="00790EE6" w:rsidRDefault="00790EE6" w:rsidP="00AA17AF">
      <w:pPr>
        <w:pStyle w:val="NormalIndent"/>
      </w:pPr>
      <w:r>
        <w:t>The Shortlisted Respondent is not entitled to make, nor will the Principal be liable for</w:t>
      </w:r>
      <w:r w:rsidR="0040351C">
        <w:t>,</w:t>
      </w:r>
      <w:r>
        <w:t xml:space="preserve"> any Claim arising out of or in connection with the Principal</w:t>
      </w:r>
      <w:r w:rsidR="00633251">
        <w:t>’</w:t>
      </w:r>
      <w:r>
        <w:t>s Benchmark or the preparation of it.</w:t>
      </w:r>
    </w:p>
    <w:p w14:paraId="4202638E" w14:textId="7F978F29" w:rsidR="002B5BB6" w:rsidRDefault="3322155E" w:rsidP="004C4B48">
      <w:pPr>
        <w:pStyle w:val="Heading4numbered"/>
      </w:pPr>
      <w:r>
        <w:t>Project</w:t>
      </w:r>
      <w:r w:rsidR="00043711">
        <w:t>-specific</w:t>
      </w:r>
      <w:r>
        <w:t xml:space="preserve"> </w:t>
      </w:r>
      <w:r w:rsidR="006E5C4B">
        <w:t>a</w:t>
      </w:r>
      <w:r>
        <w:t>mendments</w:t>
      </w:r>
    </w:p>
    <w:p w14:paraId="622E4107" w14:textId="428938FC" w:rsidR="00790EE6" w:rsidRDefault="00790EE6" w:rsidP="00AA17AF">
      <w:pPr>
        <w:pStyle w:val="NormalIndent"/>
      </w:pPr>
      <w:r>
        <w:t xml:space="preserve">The ITC </w:t>
      </w:r>
      <w:r w:rsidR="00ED6C21">
        <w:t>Development Deed</w:t>
      </w:r>
      <w:r>
        <w:t xml:space="preserve"> contemplates that the Principal may, but is not required to, disclose all or part of the Principal</w:t>
      </w:r>
      <w:r w:rsidR="00633251">
        <w:t>’</w:t>
      </w:r>
      <w:r>
        <w:t>s Benchmark to the Shortlisted Respondent to support negotiations. On a project</w:t>
      </w:r>
      <w:r w:rsidR="007C277D">
        <w:t>-specific</w:t>
      </w:r>
      <w:r>
        <w:t xml:space="preserve"> basis, </w:t>
      </w:r>
      <w:r w:rsidR="00277B42">
        <w:t xml:space="preserve">procuring </w:t>
      </w:r>
      <w:r>
        <w:t>agencies are to consider whether the Principal</w:t>
      </w:r>
      <w:r w:rsidR="00633251">
        <w:t>’</w:t>
      </w:r>
      <w:r>
        <w:t>s Benchmark should remain confidential.</w:t>
      </w:r>
    </w:p>
    <w:p w14:paraId="138F8695" w14:textId="476F3C2F" w:rsidR="00790EE6" w:rsidRDefault="00790EE6" w:rsidP="004C4B48">
      <w:pPr>
        <w:pStyle w:val="Heading2numbered"/>
      </w:pPr>
      <w:bookmarkStart w:id="933" w:name="_Toc131424048"/>
      <w:bookmarkStart w:id="934" w:name="_Toc131424534"/>
      <w:bookmarkStart w:id="935" w:name="_Toc131425122"/>
      <w:bookmarkStart w:id="936" w:name="_Toc131426285"/>
      <w:bookmarkStart w:id="937" w:name="_Toc131430066"/>
      <w:bookmarkStart w:id="938" w:name="_Toc131430785"/>
      <w:bookmarkStart w:id="939" w:name="_Toc131431487"/>
      <w:bookmarkStart w:id="940" w:name="_Toc131489974"/>
      <w:bookmarkStart w:id="941" w:name="_Toc131502782"/>
      <w:bookmarkStart w:id="942" w:name="_Toc131511601"/>
      <w:bookmarkStart w:id="943" w:name="_Toc131523078"/>
      <w:bookmarkStart w:id="944" w:name="_Toc131552800"/>
      <w:bookmarkStart w:id="945" w:name="_Toc131553570"/>
      <w:bookmarkStart w:id="946" w:name="_Toc131554368"/>
      <w:bookmarkStart w:id="947" w:name="_Toc131555182"/>
      <w:bookmarkStart w:id="948" w:name="_Toc131621390"/>
      <w:bookmarkStart w:id="949" w:name="_Toc131689974"/>
      <w:bookmarkStart w:id="950" w:name="_Toc131424049"/>
      <w:bookmarkStart w:id="951" w:name="_Toc131424535"/>
      <w:bookmarkStart w:id="952" w:name="_Toc131425123"/>
      <w:bookmarkStart w:id="953" w:name="_Toc131426286"/>
      <w:bookmarkStart w:id="954" w:name="_Toc131430067"/>
      <w:bookmarkStart w:id="955" w:name="_Toc131430786"/>
      <w:bookmarkStart w:id="956" w:name="_Toc131431488"/>
      <w:bookmarkStart w:id="957" w:name="_Toc131489975"/>
      <w:bookmarkStart w:id="958" w:name="_Toc131502783"/>
      <w:bookmarkStart w:id="959" w:name="_Toc131511602"/>
      <w:bookmarkStart w:id="960" w:name="_Toc131523079"/>
      <w:bookmarkStart w:id="961" w:name="_Toc131552801"/>
      <w:bookmarkStart w:id="962" w:name="_Toc131553571"/>
      <w:bookmarkStart w:id="963" w:name="_Toc131554369"/>
      <w:bookmarkStart w:id="964" w:name="_Toc131555183"/>
      <w:bookmarkStart w:id="965" w:name="_Toc131621391"/>
      <w:bookmarkStart w:id="966" w:name="_Toc131689975"/>
      <w:bookmarkStart w:id="967" w:name="_Toc131555184"/>
      <w:bookmarkStart w:id="968" w:name="_Toc131621392"/>
      <w:bookmarkStart w:id="969" w:name="_Toc131689976"/>
      <w:bookmarkStart w:id="970" w:name="_Toc133577887"/>
      <w:bookmarkStart w:id="971" w:name="_Toc115955471"/>
      <w:bookmarkStart w:id="972" w:name="_Toc14561258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t xml:space="preserve">Process for entry into ITC </w:t>
      </w:r>
      <w:r w:rsidR="002641F7">
        <w:t>D</w:t>
      </w:r>
      <w:r>
        <w:t>elivery Deed</w:t>
      </w:r>
      <w:bookmarkEnd w:id="970"/>
      <w:r w:rsidR="00D81C91">
        <w:t xml:space="preserve"> </w:t>
      </w:r>
      <w:bookmarkEnd w:id="971"/>
      <w:r w:rsidR="00D81C91" w:rsidRPr="00D81C91">
        <w:t>(clause</w:t>
      </w:r>
      <w:r w:rsidR="00754976" w:rsidRPr="00754976">
        <w:rPr>
          <w:rFonts w:ascii="Calibri" w:hAnsi="Calibri" w:cs="Calibri"/>
        </w:rPr>
        <w:t> </w:t>
      </w:r>
      <w:r w:rsidR="00D81C91" w:rsidRPr="00D81C91">
        <w:t>14 of the ITC Development Deed)</w:t>
      </w:r>
      <w:bookmarkEnd w:id="972"/>
    </w:p>
    <w:p w14:paraId="1D5F2A5B" w14:textId="6AFB118B" w:rsidR="00326449" w:rsidRDefault="00326449" w:rsidP="004C4B48">
      <w:pPr>
        <w:pStyle w:val="Heading3numbered"/>
      </w:pPr>
      <w:r>
        <w:t>Form of ITC Delivery Deed</w:t>
      </w:r>
      <w:r w:rsidR="00D81C91">
        <w:t xml:space="preserve"> </w:t>
      </w:r>
      <w:r w:rsidR="00D81C91" w:rsidRPr="00D81C91">
        <w:t>(clause</w:t>
      </w:r>
      <w:r w:rsidR="00754976" w:rsidRPr="00754976">
        <w:rPr>
          <w:rFonts w:ascii="Calibri" w:hAnsi="Calibri" w:cs="Calibri"/>
        </w:rPr>
        <w:t> </w:t>
      </w:r>
      <w:r w:rsidR="00D81C91" w:rsidRPr="00D81C91">
        <w:t>14.1 of the ITC Development Deed)</w:t>
      </w:r>
    </w:p>
    <w:p w14:paraId="1FAA1D4C" w14:textId="36AD8EBE" w:rsidR="00326449" w:rsidRDefault="00790EE6" w:rsidP="00AA17AF">
      <w:pPr>
        <w:pStyle w:val="NormalIndent"/>
      </w:pPr>
      <w:r>
        <w:t xml:space="preserve">Depending on the agreement between the parties, the ITC </w:t>
      </w:r>
      <w:r w:rsidR="00ED6C21">
        <w:t>Development Deed</w:t>
      </w:r>
      <w:r>
        <w:t xml:space="preserve"> </w:t>
      </w:r>
      <w:r w:rsidR="00326449">
        <w:t>allows for</w:t>
      </w:r>
      <w:r>
        <w:t xml:space="preserve"> the parties </w:t>
      </w:r>
      <w:r w:rsidR="00326449">
        <w:t>to either:</w:t>
      </w:r>
    </w:p>
    <w:p w14:paraId="4B941B9F" w14:textId="3F976C17" w:rsidR="002A524B" w:rsidRPr="002A524B" w:rsidRDefault="00790EE6" w:rsidP="000D52B3">
      <w:pPr>
        <w:pStyle w:val="Bulletindent"/>
      </w:pPr>
      <w:r>
        <w:t xml:space="preserve">enter the </w:t>
      </w:r>
      <w:r w:rsidR="00326449">
        <w:t xml:space="preserve">form of </w:t>
      </w:r>
      <w:r>
        <w:t>Agreed ITC Delivery Deed</w:t>
      </w:r>
      <w:r w:rsidR="00766D0B">
        <w:t>,</w:t>
      </w:r>
      <w:r>
        <w:t xml:space="preserve"> </w:t>
      </w:r>
      <w:r w:rsidR="006E5C4B">
        <w:t xml:space="preserve">inserted </w:t>
      </w:r>
      <w:r>
        <w:t>at Annexure</w:t>
      </w:r>
      <w:r w:rsidR="00754976" w:rsidRPr="00754976">
        <w:rPr>
          <w:rFonts w:ascii="Calibri" w:hAnsi="Calibri"/>
        </w:rPr>
        <w:t> </w:t>
      </w:r>
      <w:r>
        <w:t>1</w:t>
      </w:r>
      <w:r w:rsidR="00A82838">
        <w:t xml:space="preserve"> of the ITC </w:t>
      </w:r>
      <w:r w:rsidR="00ED6C21">
        <w:t>Development Deed</w:t>
      </w:r>
      <w:r w:rsidR="00D80813">
        <w:t>; or</w:t>
      </w:r>
    </w:p>
    <w:p w14:paraId="042ACA24" w14:textId="18F35F1A" w:rsidR="00790EE6" w:rsidRDefault="00326449" w:rsidP="000D52B3">
      <w:pPr>
        <w:pStyle w:val="Bulletindent"/>
      </w:pPr>
      <w:r>
        <w:t xml:space="preserve">enter </w:t>
      </w:r>
      <w:r w:rsidR="00790EE6">
        <w:t xml:space="preserve">a negotiated form of </w:t>
      </w:r>
      <w:r>
        <w:t xml:space="preserve">Agreed </w:t>
      </w:r>
      <w:r w:rsidR="00277B42">
        <w:t xml:space="preserve">ITC </w:t>
      </w:r>
      <w:r w:rsidR="00790EE6">
        <w:t>Delivery Deed.</w:t>
      </w:r>
    </w:p>
    <w:p w14:paraId="7899698B" w14:textId="6A18C512" w:rsidR="00790EE6" w:rsidRDefault="00326449" w:rsidP="004C4B48">
      <w:pPr>
        <w:pStyle w:val="Heading4numbered"/>
      </w:pPr>
      <w:r>
        <w:t xml:space="preserve">Annexed form of </w:t>
      </w:r>
      <w:r w:rsidR="00790EE6">
        <w:t>Agreed ITC Delivery Deed</w:t>
      </w:r>
    </w:p>
    <w:p w14:paraId="3072E89E" w14:textId="6E038676" w:rsidR="00790EE6" w:rsidRDefault="00790EE6" w:rsidP="00AA17AF">
      <w:pPr>
        <w:pStyle w:val="NormalIndent"/>
      </w:pPr>
      <w:r>
        <w:t xml:space="preserve">Under this alternative, the parties acknowledge they have agreed the terms of the </w:t>
      </w:r>
      <w:r w:rsidR="00326449">
        <w:t xml:space="preserve">Agreed </w:t>
      </w:r>
      <w:r w:rsidR="00277B42">
        <w:t xml:space="preserve">ITC </w:t>
      </w:r>
      <w:r>
        <w:t xml:space="preserve">Delivery Deed at the time of entering into the ITC </w:t>
      </w:r>
      <w:r w:rsidR="00ED6C21">
        <w:t>Development Deed</w:t>
      </w:r>
      <w:r>
        <w:t xml:space="preserve">. In these circumstances, the </w:t>
      </w:r>
      <w:r w:rsidR="00277B42">
        <w:t xml:space="preserve">ITC </w:t>
      </w:r>
      <w:r>
        <w:t xml:space="preserve">Delivery Deed </w:t>
      </w:r>
      <w:r w:rsidR="005B4039">
        <w:t xml:space="preserve">is </w:t>
      </w:r>
      <w:r>
        <w:t xml:space="preserve">only amended as </w:t>
      </w:r>
      <w:r w:rsidR="006E5C4B">
        <w:t>set out in</w:t>
      </w:r>
      <w:r w:rsidR="00277B42">
        <w:t xml:space="preserve"> clause</w:t>
      </w:r>
      <w:r w:rsidR="00754976" w:rsidRPr="00754976">
        <w:rPr>
          <w:rFonts w:ascii="Calibri" w:hAnsi="Calibri" w:cs="Calibri"/>
        </w:rPr>
        <w:t> </w:t>
      </w:r>
      <w:r w:rsidR="00277B42">
        <w:t xml:space="preserve">14.5(a) of the ITC </w:t>
      </w:r>
      <w:r w:rsidR="00ED6C21">
        <w:t>Development Deed</w:t>
      </w:r>
      <w:r>
        <w:t>.</w:t>
      </w:r>
    </w:p>
    <w:p w14:paraId="4352B743" w14:textId="29DA4BFE" w:rsidR="00790EE6" w:rsidRDefault="00790EE6" w:rsidP="004C4B48">
      <w:pPr>
        <w:pStyle w:val="Heading4numbered"/>
      </w:pPr>
      <w:r>
        <w:t xml:space="preserve">Negotiated form of </w:t>
      </w:r>
      <w:r w:rsidR="00326449">
        <w:t xml:space="preserve">Agreed </w:t>
      </w:r>
      <w:r>
        <w:t>ITC Delivery Deed</w:t>
      </w:r>
    </w:p>
    <w:p w14:paraId="574D5237" w14:textId="5A27FD70" w:rsidR="00790EE6" w:rsidRDefault="5FE7491B" w:rsidP="00AA17AF">
      <w:pPr>
        <w:pStyle w:val="NormalIndent"/>
      </w:pPr>
      <w:r>
        <w:t xml:space="preserve">Under this alternative, the parties commit to </w:t>
      </w:r>
      <w:r w:rsidR="1243472C">
        <w:t>diligently progress negotiations to finalise agreement of the terms of the ITC Delivery Deed</w:t>
      </w:r>
      <w:r w:rsidR="006E5C4B">
        <w:t>.</w:t>
      </w:r>
      <w:r w:rsidR="1243472C">
        <w:t xml:space="preserve"> </w:t>
      </w:r>
      <w:r w:rsidR="006E5C4B">
        <w:t xml:space="preserve">They will </w:t>
      </w:r>
      <w:r w:rsidR="1243472C">
        <w:t xml:space="preserve">seek to </w:t>
      </w:r>
      <w:r w:rsidR="00D15C11">
        <w:t>agree</w:t>
      </w:r>
      <w:r w:rsidR="1243472C">
        <w:t xml:space="preserve"> </w:t>
      </w:r>
      <w:r w:rsidR="00631EEE">
        <w:t>on</w:t>
      </w:r>
      <w:r>
        <w:t xml:space="preserve"> the terms of the </w:t>
      </w:r>
      <w:r w:rsidR="006E5C4B">
        <w:t xml:space="preserve">deed </w:t>
      </w:r>
      <w:r>
        <w:t xml:space="preserve">within 30 days of the commencement of negotiations. </w:t>
      </w:r>
      <w:r w:rsidR="1243472C">
        <w:t xml:space="preserve">If the parties reach </w:t>
      </w:r>
      <w:r>
        <w:t xml:space="preserve">agreement, </w:t>
      </w:r>
      <w:r w:rsidR="1243472C">
        <w:t>those terms</w:t>
      </w:r>
      <w:r>
        <w:t xml:space="preserve"> will become the Agreed ITC Delivery Deed. Except as expressly provided in </w:t>
      </w:r>
      <w:r w:rsidR="55496485">
        <w:t>the</w:t>
      </w:r>
      <w:r>
        <w:t xml:space="preserve"> Development Phase Pricing Schedule, the parties are required to bear their own costs </w:t>
      </w:r>
      <w:r w:rsidR="006E5C4B">
        <w:t xml:space="preserve">arising from </w:t>
      </w:r>
      <w:r>
        <w:t>the negotiation process.</w:t>
      </w:r>
    </w:p>
    <w:p w14:paraId="4C57EFC1" w14:textId="61085A7F" w:rsidR="00790EE6" w:rsidRDefault="00790EE6" w:rsidP="004C4B48">
      <w:pPr>
        <w:pStyle w:val="Heading3numbered"/>
      </w:pPr>
      <w:r>
        <w:t>Development and submission of Delivery Phase Offer</w:t>
      </w:r>
      <w:r w:rsidR="001838CE">
        <w:t xml:space="preserve"> </w:t>
      </w:r>
      <w:r w:rsidR="001838CE" w:rsidRPr="001838CE">
        <w:t>(clauses</w:t>
      </w:r>
      <w:r w:rsidR="00754976" w:rsidRPr="00754976">
        <w:rPr>
          <w:rFonts w:ascii="Calibri" w:hAnsi="Calibri" w:cs="Calibri"/>
        </w:rPr>
        <w:t> </w:t>
      </w:r>
      <w:r w:rsidR="001838CE" w:rsidRPr="001838CE">
        <w:t>14.2 and 14.3 of ITC Development Deed)</w:t>
      </w:r>
    </w:p>
    <w:p w14:paraId="4C2F21A4" w14:textId="5C7B5C36" w:rsidR="009F1E4D" w:rsidRPr="009739FD" w:rsidRDefault="009F1E4D" w:rsidP="004C4B48">
      <w:pPr>
        <w:pStyle w:val="Heading4numbered"/>
      </w:pPr>
      <w:r>
        <w:t>Development</w:t>
      </w:r>
    </w:p>
    <w:p w14:paraId="1BBD7E6C" w14:textId="421A6FD3" w:rsidR="006E5C4B" w:rsidRDefault="00790EE6" w:rsidP="00AA17AF">
      <w:pPr>
        <w:pStyle w:val="NormalIndent"/>
      </w:pPr>
      <w:r>
        <w:t xml:space="preserve">A fundamental part of the process under the ITC </w:t>
      </w:r>
      <w:r w:rsidR="00ED6C21">
        <w:t>Development Deed</w:t>
      </w:r>
      <w:r>
        <w:t xml:space="preserve"> is the requirement for each Shortlisted Respondent to</w:t>
      </w:r>
      <w:r w:rsidR="006E5C4B">
        <w:t xml:space="preserve"> </w:t>
      </w:r>
      <w:r w:rsidR="00326449" w:rsidRPr="001D5673">
        <w:t>progressively develop the Delivery Phase Offer</w:t>
      </w:r>
      <w:r w:rsidR="006E5C4B">
        <w:t xml:space="preserve">. They must also </w:t>
      </w:r>
      <w:r w:rsidR="00326449" w:rsidRPr="001D5673">
        <w:t xml:space="preserve">provide the Principal Representative with </w:t>
      </w:r>
      <w:r w:rsidRPr="001D5673">
        <w:t>successive drafts</w:t>
      </w:r>
      <w:r w:rsidR="00326449" w:rsidRPr="001D5673">
        <w:t xml:space="preserve"> of the Development Phase Deliverables</w:t>
      </w:r>
      <w:r w:rsidR="006E5C4B">
        <w:t>, which</w:t>
      </w:r>
      <w:r w:rsidR="00326449" w:rsidRPr="001D5673">
        <w:t xml:space="preserve"> form</w:t>
      </w:r>
      <w:r w:rsidR="006E5C4B">
        <w:t xml:space="preserve"> </w:t>
      </w:r>
      <w:r w:rsidR="00326449" w:rsidRPr="001D5673">
        <w:t>part of the Delivery Phase Offer</w:t>
      </w:r>
      <w:r w:rsidR="009F1E4D" w:rsidRPr="001D5673">
        <w:t xml:space="preserve"> in accordance with</w:t>
      </w:r>
      <w:r w:rsidR="006E5C4B">
        <w:t>:</w:t>
      </w:r>
    </w:p>
    <w:p w14:paraId="7C2FBB4B" w14:textId="6F9008E7" w:rsidR="006E5C4B" w:rsidRDefault="009F1E4D" w:rsidP="000D52B3">
      <w:pPr>
        <w:pStyle w:val="Bulletindent"/>
      </w:pPr>
      <w:r w:rsidRPr="001D5673">
        <w:t xml:space="preserve">the </w:t>
      </w:r>
      <w:r w:rsidR="00E342CF">
        <w:t>DPSDS</w:t>
      </w:r>
      <w:r w:rsidR="00195235">
        <w:t>;</w:t>
      </w:r>
    </w:p>
    <w:p w14:paraId="7DA74082" w14:textId="3A30C1C2" w:rsidR="006E5C4B" w:rsidRDefault="009F1E4D" w:rsidP="000D52B3">
      <w:pPr>
        <w:pStyle w:val="Bulletindent"/>
      </w:pPr>
      <w:r w:rsidRPr="001D5673">
        <w:t>the Development Phase Program</w:t>
      </w:r>
      <w:r w:rsidR="00195235">
        <w:t>; and</w:t>
      </w:r>
    </w:p>
    <w:p w14:paraId="2A54BD3D" w14:textId="3D7F3FD2" w:rsidR="00326449" w:rsidRPr="001D5673" w:rsidRDefault="009F1E4D" w:rsidP="000D52B3">
      <w:pPr>
        <w:pStyle w:val="Bulletindent"/>
      </w:pPr>
      <w:r w:rsidRPr="001D5673">
        <w:t>the Design Development Program</w:t>
      </w:r>
      <w:r w:rsidR="00790EE6" w:rsidRPr="001D5673">
        <w:t>.</w:t>
      </w:r>
    </w:p>
    <w:p w14:paraId="6495AEE8" w14:textId="4072CF8A" w:rsidR="00790EE6" w:rsidRDefault="00790EE6" w:rsidP="00AA17AF">
      <w:pPr>
        <w:pStyle w:val="NormalIndent"/>
      </w:pPr>
      <w:r>
        <w:t xml:space="preserve">This allows the Principal to have visibility of the progressive development of the offer and minimises the need for lengthy negotiations. </w:t>
      </w:r>
      <w:r w:rsidR="006E5C4B">
        <w:t>A</w:t>
      </w:r>
      <w:r>
        <w:t>s information is exchanged between the parties, contingencies built into the Shortlisted Respondent</w:t>
      </w:r>
      <w:r w:rsidR="00633251">
        <w:t>’</w:t>
      </w:r>
      <w:r>
        <w:t xml:space="preserve">s TOC </w:t>
      </w:r>
      <w:r w:rsidR="006E5C4B">
        <w:t xml:space="preserve">should be </w:t>
      </w:r>
      <w:r>
        <w:t>reduced</w:t>
      </w:r>
      <w:r w:rsidR="00C82BA5">
        <w:t>. This should result</w:t>
      </w:r>
      <w:r>
        <w:t xml:space="preserve"> in the Delivery Phase Offer becoming more favourable towards the Principal.</w:t>
      </w:r>
    </w:p>
    <w:p w14:paraId="5D63D46B" w14:textId="5DF67E12" w:rsidR="00790EE6" w:rsidRDefault="00790EE6" w:rsidP="00AA17AF">
      <w:pPr>
        <w:pStyle w:val="NormalIndent"/>
      </w:pPr>
      <w:r>
        <w:t xml:space="preserve">The Principal is </w:t>
      </w:r>
      <w:r w:rsidR="006E5C4B">
        <w:t xml:space="preserve">given </w:t>
      </w:r>
      <w:r>
        <w:t xml:space="preserve">the opportunity to review and comment on the successive drafts of the Development Phase Deliverables. </w:t>
      </w:r>
      <w:r w:rsidR="00202C0D">
        <w:t>T</w:t>
      </w:r>
      <w:r>
        <w:t>his enables the Shortlisted Respondent to address these comments prior to submission of the Delivery Phase Offer. To assist with this process, the Shortlisted Respondent is required to identify amendments and reasons for the amendments in the subsequent versions of drafts provided to the Principal.</w:t>
      </w:r>
    </w:p>
    <w:p w14:paraId="00D88394" w14:textId="7467824F" w:rsidR="009F1E4D" w:rsidRDefault="009F1E4D" w:rsidP="004C4B48">
      <w:pPr>
        <w:pStyle w:val="Heading4numbered"/>
      </w:pPr>
      <w:r>
        <w:t>Submission</w:t>
      </w:r>
    </w:p>
    <w:p w14:paraId="59D8FA6A" w14:textId="046809E3" w:rsidR="00790EE6" w:rsidRDefault="00790EE6" w:rsidP="00AA17AF">
      <w:pPr>
        <w:pStyle w:val="NormalIndent"/>
      </w:pPr>
      <w:r>
        <w:t xml:space="preserve">The Shortlisted Respondent is required to use its best endeavours to submit the Delivery Phase Offer to the Principal by the Date for Delivery Phase Offer </w:t>
      </w:r>
      <w:r w:rsidR="009F1E4D">
        <w:t>(</w:t>
      </w:r>
      <w:r>
        <w:t>specified in the Contract Particulars</w:t>
      </w:r>
      <w:r w:rsidR="009F1E4D">
        <w:t>)</w:t>
      </w:r>
      <w:r>
        <w:t>. The Delivery Phase Offer must:</w:t>
      </w:r>
    </w:p>
    <w:p w14:paraId="740BA3C6" w14:textId="226455F8" w:rsidR="00790EE6" w:rsidRDefault="00790EE6" w:rsidP="000D52B3">
      <w:pPr>
        <w:pStyle w:val="Bulletindent"/>
      </w:pPr>
      <w:r>
        <w:t xml:space="preserve">be </w:t>
      </w:r>
      <w:r w:rsidR="00C82BA5">
        <w:t xml:space="preserve">a completed </w:t>
      </w:r>
      <w:r>
        <w:t>Delivery Phase Offer Form provided by the Principal</w:t>
      </w:r>
      <w:r w:rsidR="002C7558">
        <w:t>;</w:t>
      </w:r>
    </w:p>
    <w:p w14:paraId="7D96D903" w14:textId="21CE5DFC" w:rsidR="00790EE6" w:rsidRDefault="00790EE6" w:rsidP="000D52B3">
      <w:pPr>
        <w:pStyle w:val="Bulletindent"/>
      </w:pPr>
      <w:r>
        <w:t xml:space="preserve">remain open </w:t>
      </w:r>
      <w:r w:rsidR="00C82BA5">
        <w:t xml:space="preserve">to </w:t>
      </w:r>
      <w:r>
        <w:t xml:space="preserve">and capable of acceptance by the Principal for the Offer Period </w:t>
      </w:r>
      <w:r w:rsidR="009F1E4D">
        <w:t>(</w:t>
      </w:r>
      <w:r>
        <w:t>as set out in the Contract Particulars</w:t>
      </w:r>
      <w:r w:rsidR="009F1E4D">
        <w:t>)</w:t>
      </w:r>
      <w:r w:rsidR="00314617">
        <w:t>;</w:t>
      </w:r>
    </w:p>
    <w:p w14:paraId="5B5F5598" w14:textId="224E5324" w:rsidR="009F1E4D" w:rsidRDefault="00790EE6" w:rsidP="00594C81">
      <w:pPr>
        <w:pStyle w:val="Bulletindent"/>
        <w:keepNext/>
      </w:pPr>
      <w:r>
        <w:t>be prepared</w:t>
      </w:r>
      <w:r w:rsidR="009F1E4D">
        <w:t>:</w:t>
      </w:r>
    </w:p>
    <w:p w14:paraId="1F10527C" w14:textId="2A213B99" w:rsidR="00790EE6" w:rsidRDefault="00790EE6" w:rsidP="0005402F">
      <w:pPr>
        <w:pStyle w:val="Bulletindent2"/>
      </w:pPr>
      <w:r>
        <w:t xml:space="preserve">on an </w:t>
      </w:r>
      <w:r w:rsidR="00314617">
        <w:t>o</w:t>
      </w:r>
      <w:r>
        <w:t xml:space="preserve">pen </w:t>
      </w:r>
      <w:r w:rsidR="00314617">
        <w:t>b</w:t>
      </w:r>
      <w:r>
        <w:t xml:space="preserve">ook </w:t>
      </w:r>
      <w:r w:rsidR="00314617">
        <w:t>b</w:t>
      </w:r>
      <w:r>
        <w:t>asis</w:t>
      </w:r>
      <w:r w:rsidR="00314617">
        <w:t>;</w:t>
      </w:r>
    </w:p>
    <w:p w14:paraId="0E093C38" w14:textId="4ABC1ADA" w:rsidR="009F1E4D" w:rsidRDefault="00C82BA5" w:rsidP="0005402F">
      <w:pPr>
        <w:pStyle w:val="Bulletindent2"/>
      </w:pPr>
      <w:r>
        <w:t>to reflect</w:t>
      </w:r>
      <w:r w:rsidR="00790EE6">
        <w:t xml:space="preserve"> the PSDR</w:t>
      </w:r>
      <w:r w:rsidR="00314617">
        <w:t>; and</w:t>
      </w:r>
    </w:p>
    <w:p w14:paraId="50392567" w14:textId="42A7BE09" w:rsidR="00790EE6" w:rsidRDefault="00790EE6" w:rsidP="0005402F">
      <w:pPr>
        <w:pStyle w:val="Bulletindent2"/>
      </w:pPr>
      <w:r>
        <w:t xml:space="preserve">without adjustment to the Design Deliverables, Delivery Phase Program, </w:t>
      </w:r>
      <w:r w:rsidR="00E46FFA">
        <w:t>f</w:t>
      </w:r>
      <w:r>
        <w:t xml:space="preserve">inal TOC Estimate </w:t>
      </w:r>
      <w:r w:rsidR="00C82BA5">
        <w:t>or any o</w:t>
      </w:r>
      <w:r>
        <w:t>ther Development Phase Deliverables</w:t>
      </w:r>
      <w:r w:rsidR="00277B42">
        <w:t xml:space="preserve"> relevant to the Delivery Phase Activities</w:t>
      </w:r>
      <w:r w:rsidR="00C82BA5">
        <w:t xml:space="preserve"> (unless otherwise agreed with the </w:t>
      </w:r>
      <w:r w:rsidR="00375A8F">
        <w:t>P</w:t>
      </w:r>
      <w:r w:rsidR="00C82BA5">
        <w:t>rincipal)</w:t>
      </w:r>
      <w:r w:rsidR="00314617">
        <w:t>;</w:t>
      </w:r>
    </w:p>
    <w:p w14:paraId="064F3548" w14:textId="5D32D01B" w:rsidR="002A524B" w:rsidRPr="002A524B" w:rsidRDefault="009F1E4D" w:rsidP="000D52B3">
      <w:pPr>
        <w:pStyle w:val="Bulletindent"/>
      </w:pPr>
      <w:r>
        <w:t xml:space="preserve">reflect the terms of the Agreed ITC Delivery Deed and </w:t>
      </w:r>
      <w:r w:rsidR="00790EE6">
        <w:t>not contain any amendments</w:t>
      </w:r>
      <w:r w:rsidR="00314617">
        <w:t>,</w:t>
      </w:r>
      <w:r>
        <w:t xml:space="preserve"> assumptions, conditions or requirements that are inconsistent with the Agreed ITC Delivery Deed,</w:t>
      </w:r>
      <w:r w:rsidR="00790EE6">
        <w:t xml:space="preserve"> other than those </w:t>
      </w:r>
      <w:r>
        <w:t xml:space="preserve">amendments </w:t>
      </w:r>
      <w:r w:rsidR="00E8256E">
        <w:t>set out in</w:t>
      </w:r>
      <w:r w:rsidR="00790EE6">
        <w:t xml:space="preserve"> clause</w:t>
      </w:r>
      <w:r w:rsidR="00754976" w:rsidRPr="00754976">
        <w:rPr>
          <w:rFonts w:ascii="Calibri" w:hAnsi="Calibri"/>
        </w:rPr>
        <w:t> </w:t>
      </w:r>
      <w:r w:rsidR="00277B42">
        <w:t>14.5(a</w:t>
      </w:r>
      <w:r w:rsidR="00C82BA5">
        <w:t>)</w:t>
      </w:r>
      <w:r w:rsidR="001838CE">
        <w:t xml:space="preserve"> </w:t>
      </w:r>
      <w:r w:rsidR="001838CE" w:rsidRPr="001838CE">
        <w:t>of the ITC Development Deed</w:t>
      </w:r>
      <w:r w:rsidR="00AA3394">
        <w:t>; and</w:t>
      </w:r>
    </w:p>
    <w:p w14:paraId="729B4287" w14:textId="488A8CFA" w:rsidR="00790EE6" w:rsidRDefault="00790EE6" w:rsidP="000D52B3">
      <w:pPr>
        <w:pStyle w:val="Bulletindent"/>
      </w:pPr>
      <w:r>
        <w:t>meet any other requirements specified by the Principal.</w:t>
      </w:r>
    </w:p>
    <w:p w14:paraId="49543B50" w14:textId="74D1AE9F" w:rsidR="00790EE6" w:rsidRDefault="00790EE6" w:rsidP="00AA17AF">
      <w:pPr>
        <w:pStyle w:val="NormalIndent"/>
      </w:pPr>
      <w:r>
        <w:t xml:space="preserve">Where requested by the Principal, the Shortlisted Respondent must promptly provide copies of relevant supporting documentation </w:t>
      </w:r>
      <w:r w:rsidR="00E8256E">
        <w:t>for</w:t>
      </w:r>
      <w:r>
        <w:t xml:space="preserve"> the development of the Delivery Phase Offer</w:t>
      </w:r>
      <w:r w:rsidR="00E8256E">
        <w:t>. This may include</w:t>
      </w:r>
      <w:r>
        <w:t xml:space="preserve"> </w:t>
      </w:r>
      <w:r w:rsidR="00E8256E">
        <w:t xml:space="preserve">quotes </w:t>
      </w:r>
      <w:r>
        <w:t xml:space="preserve">and quantities, as well as details of the conduct and outcome of any procurement processes </w:t>
      </w:r>
      <w:r w:rsidR="00E8256E">
        <w:t xml:space="preserve">where </w:t>
      </w:r>
      <w:r>
        <w:t>relevant input prices have been determined.</w:t>
      </w:r>
    </w:p>
    <w:p w14:paraId="22D29E39" w14:textId="403B0F6A" w:rsidR="00790EE6" w:rsidRDefault="00790EE6" w:rsidP="004C4B48">
      <w:pPr>
        <w:pStyle w:val="Heading3numbered"/>
      </w:pPr>
      <w:r>
        <w:t>Principal</w:t>
      </w:r>
      <w:r w:rsidR="00633251">
        <w:t>’</w:t>
      </w:r>
      <w:r>
        <w:t>s consideration</w:t>
      </w:r>
    </w:p>
    <w:p w14:paraId="050CC53B" w14:textId="0B2F2399" w:rsidR="00790EE6" w:rsidRDefault="00790EE6" w:rsidP="00AA17AF">
      <w:pPr>
        <w:pStyle w:val="NormalIndent"/>
      </w:pPr>
      <w:r>
        <w:t>Following submission, the Principal review</w:t>
      </w:r>
      <w:r w:rsidR="002843F7">
        <w:t>s</w:t>
      </w:r>
      <w:r>
        <w:t xml:space="preserve"> and evaluate</w:t>
      </w:r>
      <w:r w:rsidR="002843F7">
        <w:t>s</w:t>
      </w:r>
      <w:r>
        <w:t xml:space="preserve"> the Delivery Phase Offer submitted by the Shortlisted Respondent and any </w:t>
      </w:r>
      <w:r w:rsidR="00375A8F">
        <w:t>o</w:t>
      </w:r>
      <w:r>
        <w:t>ther Shortlisted Respondent against the Evaluation Criteria. The Principal consider</w:t>
      </w:r>
      <w:r w:rsidR="00F6468D">
        <w:t>s</w:t>
      </w:r>
      <w:r>
        <w:t xml:space="preserve"> comments from its independent advis</w:t>
      </w:r>
      <w:r w:rsidR="00E8256E">
        <w:t>e</w:t>
      </w:r>
      <w:r>
        <w:t>rs including reports provided in accordance with clause</w:t>
      </w:r>
      <w:r w:rsidR="00754976" w:rsidRPr="00754976">
        <w:rPr>
          <w:rFonts w:ascii="Calibri" w:hAnsi="Calibri" w:cs="Calibri"/>
        </w:rPr>
        <w:t> </w:t>
      </w:r>
      <w:r w:rsidR="005546C4">
        <w:t>13</w:t>
      </w:r>
      <w:r w:rsidR="001838CE">
        <w:t xml:space="preserve"> </w:t>
      </w:r>
      <w:r w:rsidR="001838CE" w:rsidRPr="001838CE">
        <w:t>of the ITC Development Deed</w:t>
      </w:r>
      <w:r w:rsidR="00E8256E">
        <w:t>. E</w:t>
      </w:r>
      <w:r>
        <w:t xml:space="preserve">xperiences and feedback </w:t>
      </w:r>
      <w:r w:rsidR="00E8256E">
        <w:t xml:space="preserve">from </w:t>
      </w:r>
      <w:r>
        <w:t>the Principal Associates</w:t>
      </w:r>
      <w:r w:rsidR="00E8256E">
        <w:t>’</w:t>
      </w:r>
      <w:r>
        <w:t xml:space="preserve"> dealings with the Shortlisted Respondent and other key stakeholders</w:t>
      </w:r>
      <w:r w:rsidR="00E8256E">
        <w:t xml:space="preserve"> will be considered by the </w:t>
      </w:r>
      <w:r w:rsidR="001F67B5">
        <w:t>P</w:t>
      </w:r>
      <w:r w:rsidR="00E8256E">
        <w:t>rincipal</w:t>
      </w:r>
      <w:r>
        <w:t>.</w:t>
      </w:r>
    </w:p>
    <w:p w14:paraId="1F0ECA0D" w14:textId="5927F40B" w:rsidR="009739FD" w:rsidRPr="00C45262" w:rsidRDefault="00790EE6" w:rsidP="00AA17AF">
      <w:pPr>
        <w:pStyle w:val="NormalIndent"/>
      </w:pPr>
      <w:r>
        <w:t xml:space="preserve">The Shortlisted Respondent is required to </w:t>
      </w:r>
      <w:r w:rsidR="003C144F">
        <w:t xml:space="preserve">honestly and openly </w:t>
      </w:r>
      <w:r>
        <w:t xml:space="preserve">answer any questions </w:t>
      </w:r>
      <w:r w:rsidR="00E8256E">
        <w:t xml:space="preserve">that </w:t>
      </w:r>
      <w:r>
        <w:t xml:space="preserve">the Principal or its independent advisers </w:t>
      </w:r>
      <w:r w:rsidR="003C144F">
        <w:t>may have in connection with the Delivery Phase Offer (including the TOC Estimate)</w:t>
      </w:r>
      <w:r w:rsidR="00E8256E">
        <w:t>. This is</w:t>
      </w:r>
      <w:r>
        <w:t xml:space="preserve"> consistent with their commitments under clause</w:t>
      </w:r>
      <w:r w:rsidR="00754976" w:rsidRPr="00754976">
        <w:rPr>
          <w:rFonts w:ascii="Calibri" w:hAnsi="Calibri" w:cs="Calibri"/>
        </w:rPr>
        <w:t> </w:t>
      </w:r>
      <w:r>
        <w:t xml:space="preserve">3 of the ITC </w:t>
      </w:r>
      <w:r w:rsidR="00ED6C21">
        <w:t>Development Deed</w:t>
      </w:r>
      <w:r>
        <w:t>.</w:t>
      </w:r>
    </w:p>
    <w:p w14:paraId="1725095A" w14:textId="4C384F00" w:rsidR="00790EE6" w:rsidRDefault="00790EE6" w:rsidP="004C4B48">
      <w:pPr>
        <w:pStyle w:val="Heading3numbered"/>
      </w:pPr>
      <w:r>
        <w:t>Principal</w:t>
      </w:r>
      <w:r w:rsidR="00633251">
        <w:t>’</w:t>
      </w:r>
      <w:r>
        <w:t>s decision</w:t>
      </w:r>
      <w:r w:rsidR="001838CE">
        <w:t xml:space="preserve"> </w:t>
      </w:r>
      <w:r w:rsidR="001838CE" w:rsidRPr="001838CE">
        <w:t>(clause</w:t>
      </w:r>
      <w:r w:rsidR="00754976" w:rsidRPr="00754976">
        <w:rPr>
          <w:rFonts w:ascii="Calibri" w:hAnsi="Calibri" w:cs="Calibri"/>
        </w:rPr>
        <w:t> </w:t>
      </w:r>
      <w:r w:rsidR="001838CE" w:rsidRPr="001838CE">
        <w:t>14.4 of the ITC Development Deed)</w:t>
      </w:r>
    </w:p>
    <w:p w14:paraId="02E48AD4" w14:textId="5C06F647" w:rsidR="00790EE6" w:rsidRDefault="00075311" w:rsidP="00AA17AF">
      <w:pPr>
        <w:pStyle w:val="NormalIndent"/>
      </w:pPr>
      <w:r w:rsidRPr="00075311">
        <w:t>Prior to the expiry of the Offer Period, the Principal Representative notif</w:t>
      </w:r>
      <w:r w:rsidR="00936CDE">
        <w:t>ies</w:t>
      </w:r>
      <w:r w:rsidRPr="00075311">
        <w:t xml:space="preserve"> the Shortlisted Respondent</w:t>
      </w:r>
      <w:r>
        <w:t xml:space="preserve"> that </w:t>
      </w:r>
      <w:r w:rsidR="00790EE6">
        <w:t>the Principal:</w:t>
      </w:r>
    </w:p>
    <w:p w14:paraId="14AEA549" w14:textId="37BE1D44" w:rsidR="00790EE6" w:rsidRDefault="00075311" w:rsidP="000D52B3">
      <w:pPr>
        <w:pStyle w:val="Bulletindent"/>
      </w:pPr>
      <w:r>
        <w:t>accepts the Delivery Phase Offer</w:t>
      </w:r>
      <w:r w:rsidR="00E84BE3">
        <w:t>;</w:t>
      </w:r>
    </w:p>
    <w:p w14:paraId="29BE2494" w14:textId="5BB1510A" w:rsidR="002A524B" w:rsidRPr="002A524B" w:rsidRDefault="00075311" w:rsidP="000D52B3">
      <w:pPr>
        <w:pStyle w:val="Bulletindent"/>
      </w:pPr>
      <w:r>
        <w:t>wishes to negotiate the Delivery Phase Offer</w:t>
      </w:r>
      <w:r w:rsidR="00E84BE3">
        <w:t>; or</w:t>
      </w:r>
    </w:p>
    <w:p w14:paraId="4282458E" w14:textId="79A428CC" w:rsidR="00790EE6" w:rsidRPr="006A4A88" w:rsidRDefault="00075311" w:rsidP="000D52B3">
      <w:pPr>
        <w:pStyle w:val="Bulletindent"/>
      </w:pPr>
      <w:r>
        <w:t>rejects the Delivery Phase Offer</w:t>
      </w:r>
      <w:r w:rsidR="00790EE6">
        <w:t>.</w:t>
      </w:r>
    </w:p>
    <w:p w14:paraId="25FFE756" w14:textId="355D831A" w:rsidR="00790EE6" w:rsidRDefault="004D5A2B" w:rsidP="00AA17AF">
      <w:pPr>
        <w:pStyle w:val="NormalIndent"/>
      </w:pPr>
      <w:r>
        <w:fldChar w:fldCharType="begin" w:fldLock="1"/>
      </w:r>
      <w:r>
        <w:instrText xml:space="preserve"> REF _Ref143094171 \h </w:instrText>
      </w:r>
      <w:r>
        <w:fldChar w:fldCharType="separate"/>
      </w:r>
      <w:r w:rsidR="00400321" w:rsidRPr="00D127F2">
        <w:t xml:space="preserve">Figure </w:t>
      </w:r>
      <w:r w:rsidR="00400321">
        <w:rPr>
          <w:noProof/>
        </w:rPr>
        <w:t>7</w:t>
      </w:r>
      <w:r>
        <w:fldChar w:fldCharType="end"/>
      </w:r>
      <w:r>
        <w:t xml:space="preserve"> </w:t>
      </w:r>
      <w:r w:rsidR="00790EE6">
        <w:t>below outlines the process and options available to the Principal, in the scenario where there is more than one Shortlisted Respondent.</w:t>
      </w:r>
    </w:p>
    <w:p w14:paraId="2FF9BD7A" w14:textId="2454C1BF" w:rsidR="00D127F2" w:rsidRPr="00D127F2" w:rsidRDefault="00D127F2" w:rsidP="00BA17E2">
      <w:pPr>
        <w:pStyle w:val="Captionindent"/>
      </w:pPr>
      <w:bookmarkStart w:id="973" w:name="_Ref143094171"/>
      <w:r w:rsidRPr="00D127F2">
        <w:t xml:space="preserve">Figure </w:t>
      </w:r>
      <w:r>
        <w:fldChar w:fldCharType="begin"/>
      </w:r>
      <w:r>
        <w:instrText>SEQ Figure \* ARABIC</w:instrText>
      </w:r>
      <w:r>
        <w:fldChar w:fldCharType="separate"/>
      </w:r>
      <w:r w:rsidR="00131EE1">
        <w:rPr>
          <w:noProof/>
        </w:rPr>
        <w:t>7</w:t>
      </w:r>
      <w:r>
        <w:fldChar w:fldCharType="end"/>
      </w:r>
      <w:bookmarkEnd w:id="973"/>
      <w:r w:rsidRPr="00D127F2">
        <w:t xml:space="preserve"> – Process and options where more than one Shortlisted Respondent</w:t>
      </w:r>
    </w:p>
    <w:p w14:paraId="4236C946" w14:textId="73B6DEE8" w:rsidR="003A4CC3" w:rsidRPr="0071077A" w:rsidRDefault="003A4CC3" w:rsidP="0071077A">
      <w:pPr>
        <w:pStyle w:val="NormalIndent"/>
      </w:pPr>
      <w:r>
        <w:rPr>
          <w:noProof/>
        </w:rPr>
        <w:drawing>
          <wp:inline distT="0" distB="0" distL="0" distR="0" wp14:anchorId="49925D98" wp14:editId="21A113A9">
            <wp:extent cx="5233590" cy="2387760"/>
            <wp:effectExtent l="0" t="0" r="0" b="0"/>
            <wp:docPr id="23" name="Picture 23" descr="Figure displays the process and options available to the Principal, in the scenario where there is more than one Shortlisted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Figure displays the process and options available to the Principal, in the scenario where there is more than one Shortlisted Respondent."/>
                    <pic:cNvPicPr/>
                  </pic:nvPicPr>
                  <pic:blipFill>
                    <a:blip r:embed="rId59">
                      <a:extLst>
                        <a:ext uri="{96DAC541-7B7A-43D3-8B79-37D633B846F1}">
                          <asvg:svgBlip xmlns:asvg="http://schemas.microsoft.com/office/drawing/2016/SVG/main" r:embed="rId60"/>
                        </a:ext>
                      </a:extLst>
                    </a:blip>
                    <a:stretch>
                      <a:fillRect/>
                    </a:stretch>
                  </pic:blipFill>
                  <pic:spPr>
                    <a:xfrm>
                      <a:off x="0" y="0"/>
                      <a:ext cx="5245452" cy="2393172"/>
                    </a:xfrm>
                    <a:prstGeom prst="rect">
                      <a:avLst/>
                    </a:prstGeom>
                  </pic:spPr>
                </pic:pic>
              </a:graphicData>
            </a:graphic>
          </wp:inline>
        </w:drawing>
      </w:r>
    </w:p>
    <w:p w14:paraId="1B74C9EB" w14:textId="0AD7ABD0" w:rsidR="00790EE6" w:rsidRDefault="00075311" w:rsidP="003A4CC3">
      <w:pPr>
        <w:pStyle w:val="Heading4numbered"/>
      </w:pPr>
      <w:r>
        <w:t>Principal accepts the Delivery Phase Offer</w:t>
      </w:r>
    </w:p>
    <w:p w14:paraId="6A72F8E9" w14:textId="30E2B628" w:rsidR="00790EE6" w:rsidRDefault="00790EE6" w:rsidP="00AA17AF">
      <w:pPr>
        <w:pStyle w:val="NormalIndent"/>
      </w:pPr>
      <w:r>
        <w:t>If the Principal accepts the Delivery Phase Offer, the</w:t>
      </w:r>
      <w:r w:rsidR="002E7F58">
        <w:t>y</w:t>
      </w:r>
      <w:r>
        <w:t xml:space="preserve"> prepare the ITC Delivery Deed for execution by the Successful Respondent</w:t>
      </w:r>
      <w:r w:rsidR="00075311">
        <w:t xml:space="preserve"> </w:t>
      </w:r>
      <w:r w:rsidR="000B24CA">
        <w:t>u</w:t>
      </w:r>
      <w:r w:rsidR="00075311">
        <w:t>sing the Agreed ITC Delivery Deed</w:t>
      </w:r>
      <w:r w:rsidR="000B24CA">
        <w:t>,</w:t>
      </w:r>
      <w:r w:rsidR="00075311">
        <w:t xml:space="preserve"> which </w:t>
      </w:r>
      <w:r w:rsidR="000B24CA">
        <w:t xml:space="preserve">is </w:t>
      </w:r>
      <w:r>
        <w:t>only amended:</w:t>
      </w:r>
    </w:p>
    <w:p w14:paraId="57C3F9DB" w14:textId="0472E152" w:rsidR="00790EE6" w:rsidRDefault="00790EE6" w:rsidP="000D52B3">
      <w:pPr>
        <w:pStyle w:val="Bulletindent"/>
      </w:pPr>
      <w:r>
        <w:t xml:space="preserve">on the basis of any conditions of the Delivery Phase Offer </w:t>
      </w:r>
      <w:r w:rsidR="000B24CA">
        <w:t xml:space="preserve">that </w:t>
      </w:r>
      <w:r>
        <w:t>have been accepted by the Principal</w:t>
      </w:r>
      <w:r w:rsidR="000B24CA">
        <w:t>;</w:t>
      </w:r>
    </w:p>
    <w:p w14:paraId="14552007" w14:textId="2DAC2601" w:rsidR="00790EE6" w:rsidRDefault="00790EE6" w:rsidP="000D52B3">
      <w:pPr>
        <w:pStyle w:val="Bulletindent"/>
      </w:pPr>
      <w:r>
        <w:t xml:space="preserve">to address matters identified </w:t>
      </w:r>
      <w:r w:rsidR="00075311">
        <w:t xml:space="preserve">in the ITC </w:t>
      </w:r>
      <w:r w:rsidR="00ED6C21">
        <w:t>Development Deed</w:t>
      </w:r>
      <w:r w:rsidR="00075311">
        <w:t xml:space="preserve"> </w:t>
      </w:r>
      <w:r>
        <w:t>as being subject to finalisation</w:t>
      </w:r>
      <w:r w:rsidR="009767D5">
        <w:t>;</w:t>
      </w:r>
    </w:p>
    <w:p w14:paraId="2296C77A" w14:textId="12F51E00" w:rsidR="002A524B" w:rsidRPr="002A524B" w:rsidRDefault="00790EE6" w:rsidP="000D52B3">
      <w:pPr>
        <w:pStyle w:val="Bulletindent"/>
      </w:pPr>
      <w:r>
        <w:t>to correct a drafting error</w:t>
      </w:r>
      <w:r w:rsidR="009767D5">
        <w:t>; or</w:t>
      </w:r>
    </w:p>
    <w:p w14:paraId="28503982" w14:textId="47B9163C" w:rsidR="00790EE6" w:rsidRDefault="00790EE6" w:rsidP="000D52B3">
      <w:pPr>
        <w:pStyle w:val="Bulletindent"/>
      </w:pPr>
      <w:r>
        <w:t>as otherwise agreed.</w:t>
      </w:r>
    </w:p>
    <w:p w14:paraId="28BAFC95" w14:textId="463AB086" w:rsidR="00790EE6" w:rsidRPr="009970D7" w:rsidRDefault="5FE7491B" w:rsidP="00AA17AF">
      <w:pPr>
        <w:pStyle w:val="NormalIndent"/>
      </w:pPr>
      <w:r>
        <w:t xml:space="preserve">The Successful Respondent must then execute the ITC Delivery Deed within 10 </w:t>
      </w:r>
      <w:r w:rsidR="4A69DFA8">
        <w:t>B</w:t>
      </w:r>
      <w:r>
        <w:t xml:space="preserve">usiness </w:t>
      </w:r>
      <w:r w:rsidR="4A69DFA8">
        <w:t>D</w:t>
      </w:r>
      <w:r>
        <w:t xml:space="preserve">ays of receipt. </w:t>
      </w:r>
      <w:r w:rsidR="005723C7">
        <w:t>On the date that</w:t>
      </w:r>
      <w:r w:rsidR="231D116F">
        <w:t xml:space="preserve"> the ITC Delivery Deed</w:t>
      </w:r>
      <w:r w:rsidR="005723C7">
        <w:t xml:space="preserve"> is executed</w:t>
      </w:r>
      <w:r w:rsidR="231D116F">
        <w:t xml:space="preserve"> by the Principal and the </w:t>
      </w:r>
      <w:r w:rsidR="001838CE">
        <w:t xml:space="preserve">Successful </w:t>
      </w:r>
      <w:r w:rsidR="231D116F">
        <w:t>Respondent</w:t>
      </w:r>
      <w:r w:rsidR="005723C7">
        <w:t>, the ITC Development Deed terminate</w:t>
      </w:r>
      <w:r w:rsidR="0084659B">
        <w:t>s</w:t>
      </w:r>
      <w:r w:rsidR="005723C7">
        <w:t xml:space="preserve"> in accordance with clause</w:t>
      </w:r>
      <w:r w:rsidR="00754976" w:rsidRPr="00754976">
        <w:rPr>
          <w:rFonts w:ascii="Calibri" w:hAnsi="Calibri" w:cs="Calibri"/>
        </w:rPr>
        <w:t> </w:t>
      </w:r>
      <w:r w:rsidR="005723C7">
        <w:t>25.1(a)</w:t>
      </w:r>
      <w:r>
        <w:t>.</w:t>
      </w:r>
    </w:p>
    <w:p w14:paraId="2E8FB796" w14:textId="737E1A4D" w:rsidR="00790EE6" w:rsidRDefault="00075311" w:rsidP="004C4B48">
      <w:pPr>
        <w:pStyle w:val="Heading4numbered"/>
      </w:pPr>
      <w:r>
        <w:t>Principal wishes to negotiat</w:t>
      </w:r>
      <w:r w:rsidR="002E7F58">
        <w:t>e</w:t>
      </w:r>
      <w:r>
        <w:t xml:space="preserve"> the Delivery Phase Offer</w:t>
      </w:r>
    </w:p>
    <w:p w14:paraId="5A82B81A" w14:textId="26EE34BD" w:rsidR="00790EE6" w:rsidRDefault="00790EE6" w:rsidP="00AA17AF">
      <w:pPr>
        <w:pStyle w:val="NormalIndent"/>
      </w:pPr>
      <w:r>
        <w:t>If the Shortlisted Respondent is notifie</w:t>
      </w:r>
      <w:r w:rsidRPr="004C4B48">
        <w:t xml:space="preserve">d by the Principal Representative that the Principal wishes to negotiate the Delivery Phase Offer, the Shortlisted Respondent must undertake genuine and good faith negotiations </w:t>
      </w:r>
      <w:r w:rsidR="00A84D61" w:rsidRPr="004C4B48">
        <w:t>with the Principal</w:t>
      </w:r>
      <w:r w:rsidR="002E7F58">
        <w:t>. These negotiations should aim to</w:t>
      </w:r>
      <w:r w:rsidR="009B3735">
        <w:t xml:space="preserve"> agree on </w:t>
      </w:r>
      <w:r w:rsidRPr="004C4B48">
        <w:t>the adjustment (if any) required to the proposed TOC</w:t>
      </w:r>
      <w:r w:rsidR="002E7F58">
        <w:t xml:space="preserve"> o</w:t>
      </w:r>
      <w:r w:rsidR="00D121A6">
        <w:t>r</w:t>
      </w:r>
      <w:r w:rsidR="002E7F58">
        <w:t xml:space="preserve"> incorporate</w:t>
      </w:r>
      <w:r w:rsidRPr="004C4B48">
        <w:t xml:space="preserve"> other changes to the Delivery Phase Offer proposed by the Principal.</w:t>
      </w:r>
    </w:p>
    <w:p w14:paraId="63DDA9A4" w14:textId="4CD56B5D" w:rsidR="00790EE6" w:rsidRPr="009970D7" w:rsidRDefault="00790EE6" w:rsidP="00AA17AF">
      <w:pPr>
        <w:pStyle w:val="NormalIndent"/>
      </w:pPr>
      <w:r>
        <w:t>The Shortlisted Respondent must resubmit the Delivery Phase Offer, adjusted to reflect the outcome of these negotiations</w:t>
      </w:r>
      <w:r w:rsidR="002E7F58">
        <w:t>,</w:t>
      </w:r>
      <w:r>
        <w:t xml:space="preserve"> as soon as reasonably practicable. The Offer Period </w:t>
      </w:r>
      <w:r w:rsidR="00896D40">
        <w:t>is</w:t>
      </w:r>
      <w:r>
        <w:t xml:space="preserve"> extended as agreed by the parties and the Principal again make</w:t>
      </w:r>
      <w:r w:rsidR="00896D40">
        <w:t>s</w:t>
      </w:r>
      <w:r>
        <w:t xml:space="preserve"> a determination as to whether the Delivery Phase Offer is accepted pursuant to clause</w:t>
      </w:r>
      <w:r w:rsidR="00754976" w:rsidRPr="00754976">
        <w:rPr>
          <w:rFonts w:ascii="Calibri" w:hAnsi="Calibri" w:cs="Calibri"/>
        </w:rPr>
        <w:t> </w:t>
      </w:r>
      <w:r w:rsidR="00135CF6">
        <w:t>14.4(a)</w:t>
      </w:r>
      <w:r w:rsidR="001838CE">
        <w:t xml:space="preserve"> </w:t>
      </w:r>
      <w:r w:rsidR="001838CE" w:rsidRPr="001838CE">
        <w:t>of the ITC Development Deed</w:t>
      </w:r>
      <w:r>
        <w:t>.</w:t>
      </w:r>
    </w:p>
    <w:p w14:paraId="49C1DD82" w14:textId="240A9971" w:rsidR="00790EE6" w:rsidRPr="001675D3" w:rsidRDefault="00075311" w:rsidP="004C4B48">
      <w:pPr>
        <w:pStyle w:val="Heading4numbered"/>
      </w:pPr>
      <w:r>
        <w:t>Principal rejects the Delivery Phase Offer</w:t>
      </w:r>
    </w:p>
    <w:p w14:paraId="0DA94DB4" w14:textId="1FEFBFA5" w:rsidR="00790EE6" w:rsidRDefault="00790EE6" w:rsidP="00AA17AF">
      <w:pPr>
        <w:pStyle w:val="NormalIndent"/>
      </w:pPr>
      <w:r>
        <w:t xml:space="preserve">If </w:t>
      </w:r>
      <w:r w:rsidR="00F44F13" w:rsidRPr="00F44F13">
        <w:t>the Shortlisted Respondent is notified by the Principal Representative that the Principal</w:t>
      </w:r>
      <w:r w:rsidR="00F44F13">
        <w:t xml:space="preserve"> rejects the Delivery Phase Offer</w:t>
      </w:r>
      <w:r w:rsidRPr="00D1784F">
        <w:t>, the</w:t>
      </w:r>
      <w:r w:rsidR="009B02B0">
        <w:t xml:space="preserve"> </w:t>
      </w:r>
      <w:r w:rsidRPr="00D1784F">
        <w:t>Shortliste</w:t>
      </w:r>
      <w:r>
        <w:t xml:space="preserve">d Respondent is </w:t>
      </w:r>
      <w:r w:rsidR="00731E80">
        <w:t xml:space="preserve">then </w:t>
      </w:r>
      <w:r>
        <w:t xml:space="preserve">required to, </w:t>
      </w:r>
      <w:r w:rsidR="0022162A">
        <w:t>(</w:t>
      </w:r>
      <w:r>
        <w:t>among other things</w:t>
      </w:r>
      <w:r w:rsidR="0022162A">
        <w:t>)</w:t>
      </w:r>
      <w:r>
        <w:t>:</w:t>
      </w:r>
    </w:p>
    <w:p w14:paraId="3316A7AA" w14:textId="316887BE" w:rsidR="00790EE6" w:rsidRDefault="00790EE6" w:rsidP="000D52B3">
      <w:pPr>
        <w:pStyle w:val="Bulletindent"/>
      </w:pPr>
      <w:r>
        <w:t>cease performing the Development Phase Services</w:t>
      </w:r>
      <w:r w:rsidR="002E0F59">
        <w:t>;</w:t>
      </w:r>
    </w:p>
    <w:p w14:paraId="072B0438" w14:textId="4FAD0AF1" w:rsidR="00790EE6" w:rsidRDefault="00790EE6" w:rsidP="000D52B3">
      <w:pPr>
        <w:pStyle w:val="Bulletindent"/>
      </w:pPr>
      <w:r>
        <w:t xml:space="preserve">promptly vacate and make good </w:t>
      </w:r>
      <w:r w:rsidR="00F44F13">
        <w:t>(</w:t>
      </w:r>
      <w:r>
        <w:t>as reasonably required by the Principal</w:t>
      </w:r>
      <w:r w:rsidR="00F44F13">
        <w:t>) or otherwise make safe the Site</w:t>
      </w:r>
      <w:r w:rsidR="002E0F59">
        <w:t>;</w:t>
      </w:r>
    </w:p>
    <w:p w14:paraId="6016242D" w14:textId="3A4F2F4D" w:rsidR="002A524B" w:rsidRPr="002A524B" w:rsidRDefault="00790EE6" w:rsidP="000D52B3">
      <w:pPr>
        <w:pStyle w:val="Bulletindent"/>
      </w:pPr>
      <w:r>
        <w:t>immediately deliver to the Principal all Deliverables</w:t>
      </w:r>
      <w:r w:rsidR="00C951F4">
        <w:t xml:space="preserve">, </w:t>
      </w:r>
      <w:r w:rsidR="00DA4225">
        <w:t>S</w:t>
      </w:r>
      <w:r w:rsidR="00C951F4">
        <w:t>ubcontracts entered into</w:t>
      </w:r>
      <w:r w:rsidR="00F44F13">
        <w:t xml:space="preserve"> with any Subcontractors</w:t>
      </w:r>
      <w:r w:rsidR="00C951F4">
        <w:t xml:space="preserve"> and warranties given by any </w:t>
      </w:r>
      <w:r w:rsidR="00A37F1A">
        <w:t>S</w:t>
      </w:r>
      <w:r w:rsidR="00C951F4">
        <w:t>ubcontractor</w:t>
      </w:r>
      <w:r w:rsidR="002E0F59">
        <w:t>; and</w:t>
      </w:r>
    </w:p>
    <w:p w14:paraId="74556DCD" w14:textId="4B4CE5BB" w:rsidR="00790EE6" w:rsidRDefault="00790EE6" w:rsidP="000D52B3">
      <w:pPr>
        <w:pStyle w:val="Bulletindent"/>
      </w:pPr>
      <w:r>
        <w:t xml:space="preserve">novate any </w:t>
      </w:r>
      <w:r w:rsidR="00DA4225">
        <w:t>S</w:t>
      </w:r>
      <w:r>
        <w:t>ubcontracts required by the Principal.</w:t>
      </w:r>
    </w:p>
    <w:p w14:paraId="5988A4E2" w14:textId="73305271" w:rsidR="005723C7" w:rsidRDefault="005723C7" w:rsidP="00AA17AF">
      <w:pPr>
        <w:pStyle w:val="NormalIndent"/>
      </w:pPr>
      <w:r>
        <w:t>Where the Principal has not issued an Early Delivery Activities Direction, the ITC Development Deed terminate</w:t>
      </w:r>
      <w:r w:rsidR="00DE4B08">
        <w:t>s</w:t>
      </w:r>
      <w:r>
        <w:t xml:space="preserve"> under clause</w:t>
      </w:r>
      <w:r w:rsidR="00754976" w:rsidRPr="00754976">
        <w:rPr>
          <w:rFonts w:ascii="Calibri" w:hAnsi="Calibri" w:cs="Calibri"/>
        </w:rPr>
        <w:t> </w:t>
      </w:r>
      <w:r>
        <w:t>25.1(b) on the date of the rejection notice.</w:t>
      </w:r>
    </w:p>
    <w:p w14:paraId="322BE61E" w14:textId="1FD7BBCE" w:rsidR="005723C7" w:rsidRDefault="005723C7" w:rsidP="00AA17AF">
      <w:pPr>
        <w:pStyle w:val="NormalIndent"/>
      </w:pPr>
      <w:r>
        <w:t>Where the Principal has issued an Early Delivery Activities Direction, the Principal may terminate the ITC Development Deed under clause</w:t>
      </w:r>
      <w:r w:rsidR="00754976" w:rsidRPr="00754976">
        <w:rPr>
          <w:rFonts w:ascii="Calibri" w:hAnsi="Calibri" w:cs="Calibri"/>
        </w:rPr>
        <w:t> </w:t>
      </w:r>
      <w:r>
        <w:t>25.2 with 10 Business Days</w:t>
      </w:r>
      <w:r w:rsidR="00471E05">
        <w:t>’</w:t>
      </w:r>
      <w:r>
        <w:t xml:space="preserve"> notice.</w:t>
      </w:r>
    </w:p>
    <w:p w14:paraId="0C623BCD" w14:textId="6D473D7B" w:rsidR="00790EE6" w:rsidRDefault="004D5A2B" w:rsidP="00AA17AF">
      <w:pPr>
        <w:pStyle w:val="NormalIndent"/>
      </w:pPr>
      <w:r>
        <w:fldChar w:fldCharType="begin" w:fldLock="1"/>
      </w:r>
      <w:r>
        <w:instrText xml:space="preserve"> REF _Ref143094221 \h </w:instrText>
      </w:r>
      <w:r>
        <w:fldChar w:fldCharType="separate"/>
      </w:r>
      <w:r w:rsidR="00400321">
        <w:t xml:space="preserve">Figure </w:t>
      </w:r>
      <w:r w:rsidR="00400321">
        <w:rPr>
          <w:noProof/>
        </w:rPr>
        <w:t>8</w:t>
      </w:r>
      <w:r>
        <w:fldChar w:fldCharType="end"/>
      </w:r>
      <w:r w:rsidR="005A4099">
        <w:t xml:space="preserve"> </w:t>
      </w:r>
      <w:r w:rsidR="00790EE6">
        <w:t>below outlines the process by which the Shortlisted Respondent can enter the ITC Delivery Deed following the submission of its Delivery Phase Offer.</w:t>
      </w:r>
    </w:p>
    <w:p w14:paraId="67B3C1AB" w14:textId="19AB3844" w:rsidR="004D5A2B" w:rsidRPr="004D5A2B" w:rsidRDefault="004D5A2B" w:rsidP="00BA17E2">
      <w:pPr>
        <w:pStyle w:val="Captionindent"/>
      </w:pPr>
      <w:bookmarkStart w:id="974" w:name="_Ref143094221"/>
      <w:r>
        <w:t xml:space="preserve">Figure </w:t>
      </w:r>
      <w:r>
        <w:fldChar w:fldCharType="begin"/>
      </w:r>
      <w:r>
        <w:instrText>SEQ Figure \* ARABIC</w:instrText>
      </w:r>
      <w:r>
        <w:fldChar w:fldCharType="separate"/>
      </w:r>
      <w:r w:rsidR="00131EE1">
        <w:rPr>
          <w:noProof/>
        </w:rPr>
        <w:t>8</w:t>
      </w:r>
      <w:r>
        <w:fldChar w:fldCharType="end"/>
      </w:r>
      <w:bookmarkEnd w:id="974"/>
      <w:r w:rsidRPr="004D5A2B">
        <w:rPr>
          <w:color w:val="3A3467"/>
        </w:rPr>
        <w:t xml:space="preserve"> </w:t>
      </w:r>
      <w:r>
        <w:rPr>
          <w:color w:val="3A3467"/>
        </w:rPr>
        <w:t xml:space="preserve">– </w:t>
      </w:r>
      <w:r w:rsidRPr="004D5A2B">
        <w:t>Entry into the ITC Delivery Deed</w:t>
      </w:r>
    </w:p>
    <w:p w14:paraId="429C7D1A" w14:textId="10BBBEC0" w:rsidR="005D55C1" w:rsidRPr="0071077A" w:rsidRDefault="005D55C1" w:rsidP="0071077A">
      <w:pPr>
        <w:pStyle w:val="NormalIndent"/>
      </w:pPr>
      <w:r>
        <w:rPr>
          <w:noProof/>
        </w:rPr>
        <w:drawing>
          <wp:inline distT="0" distB="0" distL="0" distR="0" wp14:anchorId="0D917C02" wp14:editId="351C4846">
            <wp:extent cx="5256000" cy="2559287"/>
            <wp:effectExtent l="0" t="0" r="1905" b="0"/>
            <wp:docPr id="19" name="Picture 19" descr="Figure illustrates the process by which the Shortlisted Respondent can enter the ITC Delivery Deed following the submission of its Delivery Phase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Figure illustrates the process by which the Shortlisted Respondent can enter the ITC Delivery Deed following the submission of its Delivery Phase Offer."/>
                    <pic:cNvPicPr/>
                  </pic:nvPicPr>
                  <pic:blipFill>
                    <a:blip r:embed="rId61">
                      <a:extLst>
                        <a:ext uri="{96DAC541-7B7A-43D3-8B79-37D633B846F1}">
                          <asvg:svgBlip xmlns:asvg="http://schemas.microsoft.com/office/drawing/2016/SVG/main" r:embed="rId62"/>
                        </a:ext>
                      </a:extLst>
                    </a:blip>
                    <a:stretch>
                      <a:fillRect/>
                    </a:stretch>
                  </pic:blipFill>
                  <pic:spPr>
                    <a:xfrm>
                      <a:off x="0" y="0"/>
                      <a:ext cx="5280782" cy="2571354"/>
                    </a:xfrm>
                    <a:prstGeom prst="rect">
                      <a:avLst/>
                    </a:prstGeom>
                  </pic:spPr>
                </pic:pic>
              </a:graphicData>
            </a:graphic>
          </wp:inline>
        </w:drawing>
      </w:r>
    </w:p>
    <w:p w14:paraId="21C553F2" w14:textId="71342A15" w:rsidR="00790EE6" w:rsidRDefault="00790EE6" w:rsidP="004C4B48">
      <w:pPr>
        <w:pStyle w:val="Heading2numbered"/>
      </w:pPr>
      <w:bookmarkStart w:id="975" w:name="_Toc133577888"/>
      <w:bookmarkStart w:id="976" w:name="_Toc115955472"/>
      <w:bookmarkStart w:id="977" w:name="_Toc145612583"/>
      <w:r>
        <w:t>Time</w:t>
      </w:r>
      <w:bookmarkEnd w:id="975"/>
      <w:r w:rsidR="001838CE">
        <w:t xml:space="preserve"> </w:t>
      </w:r>
      <w:bookmarkEnd w:id="976"/>
      <w:r w:rsidR="001838CE" w:rsidRPr="001838CE">
        <w:t>(clause</w:t>
      </w:r>
      <w:r w:rsidR="00754976" w:rsidRPr="00754976">
        <w:rPr>
          <w:rFonts w:ascii="Calibri" w:hAnsi="Calibri" w:cs="Calibri"/>
        </w:rPr>
        <w:t> </w:t>
      </w:r>
      <w:r w:rsidR="001838CE" w:rsidRPr="001838CE">
        <w:t>15 of the ITC Development Deed)</w:t>
      </w:r>
      <w:bookmarkEnd w:id="977"/>
    </w:p>
    <w:p w14:paraId="2A323EC3" w14:textId="3F7E2CAC" w:rsidR="00790EE6" w:rsidRDefault="00790EE6" w:rsidP="0071077A">
      <w:pPr>
        <w:pStyle w:val="NormalIndent"/>
        <w:keepNext/>
      </w:pPr>
      <w:r>
        <w:t>The Shortlisted Respondent is required to use its best endeavours to submit the Delivery Phase Offer by the Date for Delivery Phase Offer</w:t>
      </w:r>
      <w:r w:rsidR="00731E80">
        <w:t xml:space="preserve">. They </w:t>
      </w:r>
      <w:r>
        <w:t>must not depart from the Development Phase Program and the Design Development Program without the Principal</w:t>
      </w:r>
      <w:r w:rsidR="00633251">
        <w:t>’</w:t>
      </w:r>
      <w:r>
        <w:t>s written approval.</w:t>
      </w:r>
    </w:p>
    <w:p w14:paraId="649E7C21" w14:textId="25299533" w:rsidR="00790EE6" w:rsidRPr="002C041A" w:rsidRDefault="00790EE6" w:rsidP="00AA17AF">
      <w:pPr>
        <w:pStyle w:val="NormalIndent"/>
      </w:pPr>
      <w:r>
        <w:t>The Principal</w:t>
      </w:r>
      <w:r w:rsidR="00A37F1A">
        <w:t xml:space="preserve"> Representative</w:t>
      </w:r>
      <w:r>
        <w:t xml:space="preserve"> </w:t>
      </w:r>
      <w:r w:rsidR="00A37F1A">
        <w:t xml:space="preserve">may </w:t>
      </w:r>
      <w:r>
        <w:t xml:space="preserve">instruct the Shortlisted </w:t>
      </w:r>
      <w:r w:rsidRPr="004C4B48">
        <w:t>Respondent</w:t>
      </w:r>
      <w:r>
        <w:t xml:space="preserve"> to suspend or</w:t>
      </w:r>
      <w:r w:rsidR="00A37F1A">
        <w:t>, after a suspension has been instructed,</w:t>
      </w:r>
      <w:r>
        <w:t xml:space="preserve"> recommence carrying out </w:t>
      </w:r>
      <w:r w:rsidR="00A37F1A">
        <w:t xml:space="preserve">all or any part of the </w:t>
      </w:r>
      <w:r>
        <w:t>Development Phase Services. Where such a suspension is instructed</w:t>
      </w:r>
      <w:r w:rsidR="00731E80">
        <w:t>,</w:t>
      </w:r>
      <w:r w:rsidR="00A37F1A">
        <w:t xml:space="preserve"> other than as a </w:t>
      </w:r>
      <w:r>
        <w:t xml:space="preserve">result </w:t>
      </w:r>
      <w:r w:rsidR="00A37F1A">
        <w:t xml:space="preserve">of </w:t>
      </w:r>
      <w:r>
        <w:t>a Shortlisted Respondent Act or Omission, the Shortlisted Respondent</w:t>
      </w:r>
      <w:r w:rsidR="005E580A">
        <w:t xml:space="preserve"> </w:t>
      </w:r>
      <w:r>
        <w:t>must take reasonable steps to mitigate the costs incurred</w:t>
      </w:r>
      <w:r w:rsidR="00A37F1A">
        <w:t xml:space="preserve"> as a result of the suspensio</w:t>
      </w:r>
      <w:r w:rsidR="00731E80">
        <w:t>n. P</w:t>
      </w:r>
      <w:r w:rsidR="00A37F1A">
        <w:t xml:space="preserve">rovided it does so, </w:t>
      </w:r>
      <w:r w:rsidR="00731E80">
        <w:t xml:space="preserve">it </w:t>
      </w:r>
      <w:r>
        <w:t>will b</w:t>
      </w:r>
      <w:r w:rsidRPr="005A4099">
        <w:t>e entitled to payment of the Development Phase Services Fee for the period of suspension</w:t>
      </w:r>
      <w:r>
        <w:t>.</w:t>
      </w:r>
    </w:p>
    <w:p w14:paraId="2D14DB84" w14:textId="0A1A760A" w:rsidR="00790EE6" w:rsidRPr="009C65D5" w:rsidRDefault="37C58126" w:rsidP="004C4B48">
      <w:pPr>
        <w:pStyle w:val="Heading2numbered"/>
      </w:pPr>
      <w:bookmarkStart w:id="978" w:name="_Toc131621395"/>
      <w:bookmarkStart w:id="979" w:name="_Toc131689979"/>
      <w:bookmarkStart w:id="980" w:name="_Toc131621396"/>
      <w:bookmarkStart w:id="981" w:name="_Toc131689980"/>
      <w:bookmarkStart w:id="982" w:name="_Toc131621397"/>
      <w:bookmarkStart w:id="983" w:name="_Toc131689981"/>
      <w:bookmarkStart w:id="984" w:name="_Toc131621398"/>
      <w:bookmarkStart w:id="985" w:name="_Toc131689982"/>
      <w:bookmarkStart w:id="986" w:name="_Toc131621399"/>
      <w:bookmarkStart w:id="987" w:name="_Toc131689983"/>
      <w:bookmarkStart w:id="988" w:name="_Toc131621400"/>
      <w:bookmarkStart w:id="989" w:name="_Toc131689984"/>
      <w:bookmarkStart w:id="990" w:name="_Toc131621401"/>
      <w:bookmarkStart w:id="991" w:name="_Toc131689985"/>
      <w:bookmarkStart w:id="992" w:name="_Toc131621402"/>
      <w:bookmarkStart w:id="993" w:name="_Toc131689986"/>
      <w:bookmarkStart w:id="994" w:name="_Toc131621403"/>
      <w:bookmarkStart w:id="995" w:name="_Toc131689987"/>
      <w:bookmarkStart w:id="996" w:name="_Toc131621404"/>
      <w:bookmarkStart w:id="997" w:name="_Toc131689988"/>
      <w:bookmarkStart w:id="998" w:name="_Toc131621405"/>
      <w:bookmarkStart w:id="999" w:name="_Toc131689989"/>
      <w:bookmarkStart w:id="1000" w:name="_Toc131621406"/>
      <w:bookmarkStart w:id="1001" w:name="_Toc131689990"/>
      <w:bookmarkStart w:id="1002" w:name="_Toc131621407"/>
      <w:bookmarkStart w:id="1003" w:name="_Toc131689991"/>
      <w:bookmarkStart w:id="1004" w:name="_Toc131621408"/>
      <w:bookmarkStart w:id="1005" w:name="_Toc131689992"/>
      <w:bookmarkStart w:id="1006" w:name="_Toc131621409"/>
      <w:bookmarkStart w:id="1007" w:name="_Toc131689993"/>
      <w:bookmarkStart w:id="1008" w:name="_Toc131621410"/>
      <w:bookmarkStart w:id="1009" w:name="_Toc131689994"/>
      <w:bookmarkStart w:id="1010" w:name="_Toc131621411"/>
      <w:bookmarkStart w:id="1011" w:name="_Toc131689995"/>
      <w:bookmarkStart w:id="1012" w:name="_Toc131621412"/>
      <w:bookmarkStart w:id="1013" w:name="_Toc131689996"/>
      <w:bookmarkStart w:id="1014" w:name="_Toc131621413"/>
      <w:bookmarkStart w:id="1015" w:name="_Toc131689997"/>
      <w:bookmarkStart w:id="1016" w:name="_Toc131621414"/>
      <w:bookmarkStart w:id="1017" w:name="_Toc131689998"/>
      <w:bookmarkStart w:id="1018" w:name="_Toc131621415"/>
      <w:bookmarkStart w:id="1019" w:name="_Toc131689999"/>
      <w:bookmarkStart w:id="1020" w:name="_Toc131621416"/>
      <w:bookmarkStart w:id="1021" w:name="_Toc131690000"/>
      <w:bookmarkStart w:id="1022" w:name="_Toc131621417"/>
      <w:bookmarkStart w:id="1023" w:name="_Toc131690001"/>
      <w:bookmarkStart w:id="1024" w:name="_Toc131621418"/>
      <w:bookmarkStart w:id="1025" w:name="_Toc131690002"/>
      <w:bookmarkStart w:id="1026" w:name="_Toc131621419"/>
      <w:bookmarkStart w:id="1027" w:name="_Toc131690003"/>
      <w:bookmarkStart w:id="1028" w:name="_Toc131621420"/>
      <w:bookmarkStart w:id="1029" w:name="_Toc131690004"/>
      <w:bookmarkStart w:id="1030" w:name="_Toc131621421"/>
      <w:bookmarkStart w:id="1031" w:name="_Toc131690005"/>
      <w:bookmarkStart w:id="1032" w:name="_Toc131621422"/>
      <w:bookmarkStart w:id="1033" w:name="_Toc131690006"/>
      <w:bookmarkStart w:id="1034" w:name="_Toc133577889"/>
      <w:bookmarkStart w:id="1035" w:name="_Toc145612584"/>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t>Indemnities</w:t>
      </w:r>
      <w:bookmarkEnd w:id="1034"/>
      <w:r w:rsidR="0E211D07">
        <w:t xml:space="preserve"> (clause</w:t>
      </w:r>
      <w:r w:rsidR="7865FA55" w:rsidRPr="2C5D2C8B">
        <w:rPr>
          <w:rFonts w:ascii="Calibri" w:hAnsi="Calibri" w:cs="Calibri"/>
        </w:rPr>
        <w:t> </w:t>
      </w:r>
      <w:r w:rsidR="0E211D07">
        <w:t>19.1 of the ITC Development Deed)</w:t>
      </w:r>
      <w:bookmarkEnd w:id="1035"/>
    </w:p>
    <w:p w14:paraId="143633B8" w14:textId="77777777" w:rsidR="00790EE6" w:rsidRDefault="00790EE6" w:rsidP="004C4B48">
      <w:pPr>
        <w:pStyle w:val="Heading3numbered"/>
      </w:pPr>
      <w:r>
        <w:t>General principle</w:t>
      </w:r>
    </w:p>
    <w:p w14:paraId="7E6AC85F" w14:textId="08BD5039" w:rsidR="00790EE6" w:rsidRPr="009C65D5" w:rsidRDefault="37C58126" w:rsidP="00AA17AF">
      <w:pPr>
        <w:pStyle w:val="NormalIndent"/>
      </w:pPr>
      <w:r>
        <w:t xml:space="preserve">The ITC </w:t>
      </w:r>
      <w:r w:rsidR="16647881">
        <w:t>Development Deed</w:t>
      </w:r>
      <w:r>
        <w:t xml:space="preserve"> requires the Shortlisted Respondent to provide indemnities</w:t>
      </w:r>
      <w:r w:rsidR="272C8B52">
        <w:t xml:space="preserve"> to the Principal and the Principal Associates</w:t>
      </w:r>
      <w:r>
        <w:t xml:space="preserve"> for property damage and personal injury or death </w:t>
      </w:r>
      <w:r w:rsidR="63FFC392">
        <w:t>arising out of or as a consequence of the performance of the Development Phase Services</w:t>
      </w:r>
      <w:r w:rsidR="54CE3E5E">
        <w:t xml:space="preserve"> by the </w:t>
      </w:r>
      <w:r w:rsidR="00157E68">
        <w:t>S</w:t>
      </w:r>
      <w:r w:rsidR="54CE3E5E">
        <w:t xml:space="preserve">hortlisted </w:t>
      </w:r>
      <w:r w:rsidR="00157E68">
        <w:t>R</w:t>
      </w:r>
      <w:r w:rsidR="54CE3E5E">
        <w:t>espondent</w:t>
      </w:r>
      <w:r>
        <w:t>.</w:t>
      </w:r>
    </w:p>
    <w:p w14:paraId="6195DCFF" w14:textId="3CBE4B41" w:rsidR="00790EE6" w:rsidRDefault="37C58126" w:rsidP="00AA17AF">
      <w:pPr>
        <w:pStyle w:val="NormalIndent"/>
      </w:pPr>
      <w:r>
        <w:t>The Shortlisted Respondent</w:t>
      </w:r>
      <w:r w:rsidR="629BCFA6">
        <w:t>’</w:t>
      </w:r>
      <w:r>
        <w:t xml:space="preserve">s liability to indemnify will be reduced </w:t>
      </w:r>
      <w:r w:rsidR="63FFC392">
        <w:t xml:space="preserve">proportionally </w:t>
      </w:r>
      <w:r>
        <w:t xml:space="preserve">to the extent that the </w:t>
      </w:r>
      <w:r w:rsidR="24FF7747">
        <w:t>L</w:t>
      </w:r>
      <w:r>
        <w:t>iability is caused or contributed to by</w:t>
      </w:r>
      <w:r w:rsidR="63FFC392">
        <w:t xml:space="preserve"> any act or omission of the Principal or any of the Principal Associates.</w:t>
      </w:r>
    </w:p>
    <w:p w14:paraId="13570AEF" w14:textId="078036CD" w:rsidR="00790EE6" w:rsidRDefault="00790EE6" w:rsidP="004C4B48">
      <w:pPr>
        <w:pStyle w:val="Heading3numbered"/>
      </w:pPr>
      <w:r>
        <w:t>Project</w:t>
      </w:r>
      <w:r w:rsidR="00043711">
        <w:t>-</w:t>
      </w:r>
      <w:r>
        <w:t>specific amendments</w:t>
      </w:r>
    </w:p>
    <w:p w14:paraId="0D4B281A" w14:textId="1C9FB3F6" w:rsidR="00790EE6" w:rsidRDefault="138D5990" w:rsidP="00AA17AF">
      <w:pPr>
        <w:pStyle w:val="NormalIndent"/>
      </w:pPr>
      <w:r>
        <w:t>Procuring</w:t>
      </w:r>
      <w:r w:rsidR="37C58126">
        <w:t xml:space="preserve"> agencies may consider who</w:t>
      </w:r>
      <w:r w:rsidR="165C176C">
        <w:t>,</w:t>
      </w:r>
      <w:r w:rsidR="37C58126">
        <w:t xml:space="preserve"> in addition to the Principal</w:t>
      </w:r>
      <w:r w:rsidR="165C176C">
        <w:t>,</w:t>
      </w:r>
      <w:r w:rsidR="37C58126">
        <w:t xml:space="preserve"> should be indemnified</w:t>
      </w:r>
      <w:r w:rsidR="54AAD757">
        <w:t xml:space="preserve">. This consideration should account for </w:t>
      </w:r>
      <w:r w:rsidR="37C58126">
        <w:t xml:space="preserve">the number of Principal Associates involved in the Project and the arrangements that the Principal may have in respect of the Principal Associates. </w:t>
      </w:r>
      <w:r w:rsidR="54AAD757">
        <w:t>O</w:t>
      </w:r>
      <w:r w:rsidR="37C58126">
        <w:t>n a project</w:t>
      </w:r>
      <w:r w:rsidR="0C9053DD">
        <w:t>-specific</w:t>
      </w:r>
      <w:r w:rsidR="37C58126">
        <w:t xml:space="preserve"> basis</w:t>
      </w:r>
      <w:r w:rsidR="54AAD757">
        <w:t>,</w:t>
      </w:r>
      <w:r w:rsidR="37C58126">
        <w:t xml:space="preserve"> the </w:t>
      </w:r>
      <w:r w:rsidR="569C0849">
        <w:t>L</w:t>
      </w:r>
      <w:r w:rsidR="37C58126">
        <w:t xml:space="preserve">iability of the Shortlisted Respondent </w:t>
      </w:r>
      <w:r w:rsidR="54AAD757">
        <w:t xml:space="preserve">could be limited </w:t>
      </w:r>
      <w:r w:rsidR="37C58126">
        <w:t xml:space="preserve">in respect of economic loss that may be suffered by those Principal Associates </w:t>
      </w:r>
      <w:r w:rsidR="54AAD757">
        <w:t>through</w:t>
      </w:r>
      <w:r w:rsidR="37C58126">
        <w:t xml:space="preserve"> carve outs to the Indirect or Consequential Loss exclusion for the Shortlisted Respondent.</w:t>
      </w:r>
    </w:p>
    <w:p w14:paraId="636020DE" w14:textId="41DD23DB" w:rsidR="00A82838" w:rsidRPr="00CB12DF" w:rsidRDefault="5C8AAB6F" w:rsidP="004C4B48">
      <w:pPr>
        <w:pStyle w:val="Heading2numbered"/>
      </w:pPr>
      <w:bookmarkStart w:id="1036" w:name="_Toc133577890"/>
      <w:bookmarkStart w:id="1037" w:name="_Toc145612585"/>
      <w:r>
        <w:t>Limitation</w:t>
      </w:r>
      <w:r w:rsidR="0E211D07">
        <w:t xml:space="preserve"> and exclusion</w:t>
      </w:r>
      <w:r>
        <w:t xml:space="preserve"> of Liability</w:t>
      </w:r>
      <w:bookmarkEnd w:id="1036"/>
      <w:r w:rsidR="0E211D07">
        <w:t xml:space="preserve"> (clauses</w:t>
      </w:r>
      <w:r w:rsidR="7865FA55" w:rsidRPr="2C5D2C8B">
        <w:rPr>
          <w:rFonts w:ascii="Calibri" w:hAnsi="Calibri" w:cs="Calibri"/>
        </w:rPr>
        <w:t> </w:t>
      </w:r>
      <w:r w:rsidR="0E211D07">
        <w:t>19.3, 19.4 and 19.5 of the ITC Development Deed)</w:t>
      </w:r>
      <w:bookmarkEnd w:id="1037"/>
    </w:p>
    <w:p w14:paraId="174E268B" w14:textId="491AE4C0" w:rsidR="00790EE6" w:rsidRPr="009C65D5" w:rsidRDefault="37C58126" w:rsidP="004C4B48">
      <w:pPr>
        <w:pStyle w:val="Heading3numbered"/>
      </w:pPr>
      <w:r>
        <w:t>Shortlisted Respondent</w:t>
      </w:r>
      <w:r w:rsidR="629BCFA6">
        <w:t>’</w:t>
      </w:r>
      <w:r>
        <w:t>s limitation of Liability</w:t>
      </w:r>
      <w:r w:rsidR="0E211D07">
        <w:t xml:space="preserve"> (clauses</w:t>
      </w:r>
      <w:r w:rsidR="7865FA55" w:rsidRPr="2C5D2C8B">
        <w:rPr>
          <w:rFonts w:ascii="Calibri" w:hAnsi="Calibri" w:cs="Calibri"/>
        </w:rPr>
        <w:t> </w:t>
      </w:r>
      <w:r w:rsidR="0E211D07">
        <w:t>19.3 and 19.4 of the ITC Development Deed)</w:t>
      </w:r>
    </w:p>
    <w:p w14:paraId="2C2965B5" w14:textId="028D0BB2" w:rsidR="00790EE6" w:rsidRDefault="00790EE6" w:rsidP="004774E4">
      <w:pPr>
        <w:pStyle w:val="NormalIndent"/>
        <w:keepNext/>
      </w:pPr>
      <w:r>
        <w:t>The Shortlisted Respondent</w:t>
      </w:r>
      <w:r w:rsidR="00633251">
        <w:t>’</w:t>
      </w:r>
      <w:r>
        <w:t xml:space="preserve">s liability under the ITC </w:t>
      </w:r>
      <w:r w:rsidR="00ED6C21">
        <w:t>Development Deed</w:t>
      </w:r>
      <w:r>
        <w:t xml:space="preserve"> is capped at the amount specified in the Contract Particulars.</w:t>
      </w:r>
    </w:p>
    <w:p w14:paraId="4B2FA7F8" w14:textId="3F5AFA6A" w:rsidR="00790EE6" w:rsidRDefault="00790EE6" w:rsidP="00AA17AF">
      <w:pPr>
        <w:pStyle w:val="NormalIndent"/>
      </w:pPr>
      <w:r>
        <w:t>However, the limitation on the Shortlisted Respondent</w:t>
      </w:r>
      <w:r w:rsidR="00633251">
        <w:t>’</w:t>
      </w:r>
      <w:r>
        <w:t>s liability does not apply to</w:t>
      </w:r>
      <w:r w:rsidR="00F762F7">
        <w:t xml:space="preserve"> (</w:t>
      </w:r>
      <w:r>
        <w:t>among other things</w:t>
      </w:r>
      <w:r w:rsidR="00F762F7">
        <w:t>)</w:t>
      </w:r>
      <w:r>
        <w:t>:</w:t>
      </w:r>
    </w:p>
    <w:p w14:paraId="7E4BBF6A" w14:textId="42E13360" w:rsidR="00790EE6" w:rsidRDefault="37C58126" w:rsidP="000D52B3">
      <w:pPr>
        <w:pStyle w:val="Bulletindent"/>
      </w:pPr>
      <w:r>
        <w:t>personal injury, death</w:t>
      </w:r>
      <w:r w:rsidR="613E729B">
        <w:t xml:space="preserve"> or</w:t>
      </w:r>
      <w:r>
        <w:t xml:space="preserve"> loss of or damage to any property</w:t>
      </w:r>
      <w:r w:rsidR="0927E088">
        <w:t>;</w:t>
      </w:r>
    </w:p>
    <w:p w14:paraId="5B6CEEE1" w14:textId="3292D303" w:rsidR="00650290" w:rsidRDefault="37C58126" w:rsidP="000D52B3">
      <w:pPr>
        <w:pStyle w:val="Bulletindent"/>
      </w:pPr>
      <w:r>
        <w:t>any criminal act, fraud or Wilful Misconduct</w:t>
      </w:r>
      <w:r w:rsidR="63FFC392">
        <w:t xml:space="preserve"> on the part of the Shortlisted Respondent or any Shortlisted Respondent Associate</w:t>
      </w:r>
      <w:r w:rsidR="0927E088">
        <w:t>;</w:t>
      </w:r>
    </w:p>
    <w:p w14:paraId="50492792" w14:textId="7526AF96" w:rsidR="002A524B" w:rsidRPr="002A524B" w:rsidRDefault="63FFC392" w:rsidP="000D52B3">
      <w:pPr>
        <w:pStyle w:val="Bulletindent"/>
      </w:pPr>
      <w:r>
        <w:t xml:space="preserve">any </w:t>
      </w:r>
      <w:r w:rsidR="569C0849">
        <w:t>L</w:t>
      </w:r>
      <w:r>
        <w:t>iability that cannot be excluded at Law</w:t>
      </w:r>
      <w:r w:rsidR="6E3B044D">
        <w:t>; or</w:t>
      </w:r>
    </w:p>
    <w:p w14:paraId="533B599F" w14:textId="0AAE002B" w:rsidR="00790EE6" w:rsidRDefault="00790EE6" w:rsidP="000D52B3">
      <w:pPr>
        <w:pStyle w:val="Bulletindent"/>
      </w:pPr>
      <w:r>
        <w:t>abandoning the Development Phase Services.</w:t>
      </w:r>
    </w:p>
    <w:p w14:paraId="26EA0A9F" w14:textId="03568521" w:rsidR="00790EE6" w:rsidRDefault="0E211D07" w:rsidP="004C4B48">
      <w:pPr>
        <w:pStyle w:val="Heading3numbered"/>
      </w:pPr>
      <w:r>
        <w:t>Exclusion of Liability for Indirect or Consequential Loss (clause</w:t>
      </w:r>
      <w:r w:rsidR="7865FA55" w:rsidRPr="2C5D2C8B">
        <w:rPr>
          <w:rFonts w:ascii="Calibri" w:hAnsi="Calibri" w:cs="Calibri"/>
        </w:rPr>
        <w:t> </w:t>
      </w:r>
      <w:r>
        <w:t>19.5 of the ITC Development Deed)</w:t>
      </w:r>
    </w:p>
    <w:p w14:paraId="7BA631C7" w14:textId="06BF14CA" w:rsidR="00790EE6" w:rsidRDefault="00790EE6" w:rsidP="004C4B48">
      <w:pPr>
        <w:pStyle w:val="Heading4numbered"/>
      </w:pPr>
      <w:r>
        <w:t xml:space="preserve">General </w:t>
      </w:r>
      <w:r w:rsidR="00AA7C9B">
        <w:t>p</w:t>
      </w:r>
      <w:r>
        <w:t>rinciple</w:t>
      </w:r>
    </w:p>
    <w:p w14:paraId="31D08C17" w14:textId="24283856" w:rsidR="00790EE6" w:rsidRDefault="00790EE6" w:rsidP="00AA17AF">
      <w:pPr>
        <w:pStyle w:val="NormalIndent"/>
      </w:pPr>
      <w:r w:rsidRPr="009C65D5">
        <w:t xml:space="preserve">The </w:t>
      </w:r>
      <w:r>
        <w:t xml:space="preserve">ITC </w:t>
      </w:r>
      <w:r w:rsidR="00ED6C21">
        <w:t>Development Deed</w:t>
      </w:r>
      <w:r w:rsidRPr="009C65D5">
        <w:t xml:space="preserve"> provide</w:t>
      </w:r>
      <w:r w:rsidR="000C5020">
        <w:t>s</w:t>
      </w:r>
      <w:r w:rsidRPr="009C65D5">
        <w:t xml:space="preserve"> that </w:t>
      </w:r>
      <w:r>
        <w:t xml:space="preserve">neither </w:t>
      </w:r>
      <w:r w:rsidRPr="009C65D5">
        <w:t xml:space="preserve">the </w:t>
      </w:r>
      <w:r>
        <w:t>Principal nor the Shortlisted Respondent</w:t>
      </w:r>
      <w:r w:rsidRPr="009C65D5">
        <w:t xml:space="preserve"> </w:t>
      </w:r>
      <w:r>
        <w:t xml:space="preserve">is liable for </w:t>
      </w:r>
      <w:r w:rsidRPr="009C65D5">
        <w:t xml:space="preserve">Indirect or Consequential Loss incurred or suffered by </w:t>
      </w:r>
      <w:r w:rsidR="00150A41">
        <w:t xml:space="preserve">the </w:t>
      </w:r>
      <w:r>
        <w:t>Shortlisted Respondent</w:t>
      </w:r>
      <w:r w:rsidRPr="009C65D5">
        <w:t xml:space="preserve"> or the </w:t>
      </w:r>
      <w:r>
        <w:t>Principal</w:t>
      </w:r>
      <w:r w:rsidRPr="009C65D5">
        <w:t xml:space="preserve"> respectively</w:t>
      </w:r>
      <w:r>
        <w:t>,</w:t>
      </w:r>
      <w:r w:rsidRPr="009C65D5">
        <w:t xml:space="preserve"> except in limited circumstances</w:t>
      </w:r>
      <w:r>
        <w:t>.</w:t>
      </w:r>
    </w:p>
    <w:p w14:paraId="289B1E4E" w14:textId="31AB908B" w:rsidR="00790EE6" w:rsidRDefault="37C58126" w:rsidP="00AA17AF">
      <w:pPr>
        <w:pStyle w:val="NormalIndent"/>
      </w:pPr>
      <w:r>
        <w:t xml:space="preserve">These carve outs to the exclusion of Indirect or Consequential Loss </w:t>
      </w:r>
      <w:r w:rsidR="2F7424AB">
        <w:t xml:space="preserve">are </w:t>
      </w:r>
      <w:r>
        <w:t xml:space="preserve">typically passed through to Subcontractors and </w:t>
      </w:r>
      <w:r w:rsidR="3C20E325">
        <w:t xml:space="preserve">are </w:t>
      </w:r>
      <w:r>
        <w:t xml:space="preserve">accordingly subject to the liability caps in their </w:t>
      </w:r>
      <w:r w:rsidR="2A4BDA08">
        <w:t>S</w:t>
      </w:r>
      <w:r>
        <w:t>ubcontracts.</w:t>
      </w:r>
    </w:p>
    <w:p w14:paraId="61E668E8" w14:textId="7BA081CB" w:rsidR="00790EE6" w:rsidRDefault="00790EE6" w:rsidP="004C4B48">
      <w:pPr>
        <w:pStyle w:val="Heading4numbered"/>
      </w:pPr>
      <w:r>
        <w:t>Principal Liability</w:t>
      </w:r>
    </w:p>
    <w:p w14:paraId="5F536C90" w14:textId="77666DA6" w:rsidR="00790EE6" w:rsidRDefault="37C58126" w:rsidP="00AA17AF">
      <w:pPr>
        <w:pStyle w:val="NormalIndent"/>
      </w:pPr>
      <w:r>
        <w:t xml:space="preserve">The Principal and any Principal Associate </w:t>
      </w:r>
      <w:r w:rsidR="3C20E325">
        <w:t>is</w:t>
      </w:r>
      <w:r>
        <w:t xml:space="preserve"> liable to the Shortlisted Respondent for Indirect or Consequential Loss in relation to:</w:t>
      </w:r>
    </w:p>
    <w:p w14:paraId="4B0A1A8F" w14:textId="2AB6D893" w:rsidR="009D1496" w:rsidRDefault="5AF9C94E" w:rsidP="000D52B3">
      <w:pPr>
        <w:pStyle w:val="Bulletindent"/>
      </w:pPr>
      <w:r>
        <w:t xml:space="preserve">Liability </w:t>
      </w:r>
      <w:r w:rsidR="40DC7B91">
        <w:t xml:space="preserve">that </w:t>
      </w:r>
      <w:r>
        <w:t>cannot be limited at Law</w:t>
      </w:r>
      <w:r w:rsidR="40DC7B91">
        <w:t>;</w:t>
      </w:r>
    </w:p>
    <w:p w14:paraId="1E78B9D0" w14:textId="1988E6E6" w:rsidR="00790EE6" w:rsidRPr="009C65D5" w:rsidRDefault="37C58126" w:rsidP="000D52B3">
      <w:pPr>
        <w:pStyle w:val="Bulletindent"/>
      </w:pPr>
      <w:r>
        <w:t xml:space="preserve">Liability arising from any criminal act, fraud or Wilful Misconduct </w:t>
      </w:r>
      <w:r w:rsidR="5AF9C94E">
        <w:t xml:space="preserve">on the part of the Principal or Principal Associate </w:t>
      </w:r>
      <w:r>
        <w:t xml:space="preserve">– on the basis that this type of conduct is so serious that the </w:t>
      </w:r>
      <w:r w:rsidR="1C1D70F9">
        <w:t>Liability</w:t>
      </w:r>
      <w:r>
        <w:t xml:space="preserve"> that flows from it should not be limited</w:t>
      </w:r>
      <w:r w:rsidR="40DC7B91">
        <w:t>;</w:t>
      </w:r>
    </w:p>
    <w:p w14:paraId="6969E8A6" w14:textId="0019141B" w:rsidR="002A524B" w:rsidRPr="002A524B" w:rsidRDefault="37C58126" w:rsidP="000D52B3">
      <w:pPr>
        <w:pStyle w:val="Bulletindent"/>
      </w:pPr>
      <w:r>
        <w:t>Liability arising from any loss of or damage to third party property or injury, illness or death of any person – on the basis that the party responsible for the loss should be expected to cover this loss</w:t>
      </w:r>
      <w:r w:rsidR="68E1D13A">
        <w:t>,</w:t>
      </w:r>
      <w:r>
        <w:t xml:space="preserve"> and it is typically insured</w:t>
      </w:r>
      <w:r w:rsidR="68E1D13A">
        <w:t>; and</w:t>
      </w:r>
    </w:p>
    <w:p w14:paraId="187D30D0" w14:textId="267ECC22" w:rsidR="00790EE6" w:rsidRDefault="009D1496" w:rsidP="00400321">
      <w:pPr>
        <w:pStyle w:val="Bulletindent"/>
        <w:ind w:right="296"/>
      </w:pPr>
      <w:r>
        <w:t xml:space="preserve">any amounts payable and calculated in accordance with the ITC </w:t>
      </w:r>
      <w:r w:rsidR="00ED6C21">
        <w:t>Development Deed</w:t>
      </w:r>
      <w:r w:rsidR="00790EE6">
        <w:t>.</w:t>
      </w:r>
    </w:p>
    <w:p w14:paraId="15C663A5" w14:textId="5015EC07" w:rsidR="00790EE6" w:rsidRDefault="00790EE6" w:rsidP="004C4B48">
      <w:pPr>
        <w:pStyle w:val="Heading4numbered"/>
      </w:pPr>
      <w:r>
        <w:t>Shortlisted Respondent Liability</w:t>
      </w:r>
    </w:p>
    <w:p w14:paraId="76E980BD" w14:textId="39596671" w:rsidR="00790EE6" w:rsidRDefault="5AF9C94E" w:rsidP="00AA17AF">
      <w:pPr>
        <w:pStyle w:val="NormalIndent"/>
      </w:pPr>
      <w:r>
        <w:t>T</w:t>
      </w:r>
      <w:r w:rsidR="37C58126">
        <w:t xml:space="preserve">he Shortlisted Respondent and any Shortlisted Respondent Associate </w:t>
      </w:r>
      <w:r w:rsidR="68E1D13A">
        <w:t>is</w:t>
      </w:r>
      <w:r w:rsidR="37C58126">
        <w:t xml:space="preserve"> liable to the Principal for Indirect or Consequential Loss in relation to:</w:t>
      </w:r>
    </w:p>
    <w:p w14:paraId="2D87F892" w14:textId="559E8B22" w:rsidR="009D1496" w:rsidRDefault="5AF9C94E" w:rsidP="000D52B3">
      <w:pPr>
        <w:pStyle w:val="Bulletindent"/>
      </w:pPr>
      <w:r>
        <w:t xml:space="preserve">Liability </w:t>
      </w:r>
      <w:r w:rsidR="68E1D13A">
        <w:t xml:space="preserve">that </w:t>
      </w:r>
      <w:r>
        <w:t>cannot be limited at Law</w:t>
      </w:r>
      <w:r w:rsidR="68E1D13A">
        <w:t>;</w:t>
      </w:r>
    </w:p>
    <w:p w14:paraId="76FCBDA8" w14:textId="1AC6FDAE" w:rsidR="00790EE6" w:rsidRDefault="37C58126" w:rsidP="000D52B3">
      <w:pPr>
        <w:pStyle w:val="Bulletindent"/>
      </w:pPr>
      <w:r>
        <w:t>Liability for which the Shortlisted Respondent can recover under any Insurance or in accordance with an indemnity</w:t>
      </w:r>
      <w:r w:rsidR="46448ACF">
        <w:t>;</w:t>
      </w:r>
    </w:p>
    <w:p w14:paraId="42B32476" w14:textId="64AC183E" w:rsidR="009D1496" w:rsidRDefault="5AF9C94E" w:rsidP="000D52B3">
      <w:pPr>
        <w:pStyle w:val="Bulletindent"/>
      </w:pPr>
      <w:r>
        <w:t xml:space="preserve">Liability in connection </w:t>
      </w:r>
      <w:r w:rsidR="46448ACF">
        <w:t xml:space="preserve">with </w:t>
      </w:r>
      <w:r>
        <w:t>any criminal act, fraud or Wilful Misconduct on the part of the Shortlisted Respondent or any Shortlisted Respondent Associate</w:t>
      </w:r>
      <w:r w:rsidR="46448ACF">
        <w:t>;</w:t>
      </w:r>
    </w:p>
    <w:p w14:paraId="65E20CED" w14:textId="5FDBDEC2" w:rsidR="009D1496" w:rsidRDefault="5AF9C94E" w:rsidP="000D52B3">
      <w:pPr>
        <w:pStyle w:val="Bulletindent"/>
      </w:pPr>
      <w:r>
        <w:t>Liability in connection with any loss of or damage to third party property or any injury to, illness</w:t>
      </w:r>
      <w:r w:rsidR="35904D00">
        <w:t xml:space="preserve"> of</w:t>
      </w:r>
      <w:r>
        <w:t xml:space="preserve"> or death of any person</w:t>
      </w:r>
      <w:r w:rsidR="6F8164B1">
        <w:t>;</w:t>
      </w:r>
    </w:p>
    <w:p w14:paraId="6C776E4F" w14:textId="33DBE99E" w:rsidR="009D1496" w:rsidRDefault="5AF9C94E" w:rsidP="000D52B3">
      <w:pPr>
        <w:pStyle w:val="Bulletindent"/>
      </w:pPr>
      <w:r>
        <w:t xml:space="preserve">Liability expressly imposed on the Shortlisted Respondent under the ITC </w:t>
      </w:r>
      <w:r w:rsidR="16647881">
        <w:t>Development Deed</w:t>
      </w:r>
      <w:r>
        <w:t xml:space="preserve"> to pay the Principal any amounts payable under and calculated in accordance with the ITC </w:t>
      </w:r>
      <w:r w:rsidR="16647881">
        <w:t>Development Deed</w:t>
      </w:r>
      <w:r w:rsidR="35904D00">
        <w:t>;</w:t>
      </w:r>
    </w:p>
    <w:p w14:paraId="77F0CB08" w14:textId="2531C37C" w:rsidR="002A524B" w:rsidRPr="002A524B" w:rsidRDefault="37C58126" w:rsidP="000D52B3">
      <w:pPr>
        <w:pStyle w:val="Bulletindent"/>
      </w:pPr>
      <w:r>
        <w:t xml:space="preserve">any amount payable under and calculated in accordance with the ITC </w:t>
      </w:r>
      <w:r w:rsidR="16647881">
        <w:t>Development Deed</w:t>
      </w:r>
      <w:r w:rsidR="35904D00">
        <w:t>; and</w:t>
      </w:r>
    </w:p>
    <w:p w14:paraId="260F366A" w14:textId="07D0FFC5" w:rsidR="00790EE6" w:rsidRPr="00CB12DF" w:rsidRDefault="00790EE6" w:rsidP="000D52B3">
      <w:pPr>
        <w:pStyle w:val="Bulletindent"/>
      </w:pPr>
      <w:r>
        <w:t>Liability in connection with the abandonment of the Development Phase Services by the Shortlisted Respondent or any Shortlisted Respondent Associate.</w:t>
      </w:r>
    </w:p>
    <w:p w14:paraId="30A73868" w14:textId="1667DAF7" w:rsidR="00790EE6" w:rsidRDefault="00790EE6" w:rsidP="004C4B48">
      <w:pPr>
        <w:pStyle w:val="Heading4numbered"/>
      </w:pPr>
      <w:r>
        <w:t>Project</w:t>
      </w:r>
      <w:r w:rsidR="00043711">
        <w:t>-</w:t>
      </w:r>
      <w:r>
        <w:t>specific amendments</w:t>
      </w:r>
    </w:p>
    <w:p w14:paraId="1A2BB497" w14:textId="13CD07A3" w:rsidR="00790EE6" w:rsidRDefault="37C58126" w:rsidP="00AA17AF">
      <w:pPr>
        <w:pStyle w:val="NormalIndent"/>
      </w:pPr>
      <w:r>
        <w:t>The list of exceptions to the exclusion for Indirect or Consequential Loss may include additional project</w:t>
      </w:r>
      <w:r w:rsidR="257551F3">
        <w:t>-</w:t>
      </w:r>
      <w:r>
        <w:t>specific items to reflect relevant project</w:t>
      </w:r>
      <w:r w:rsidR="257551F3">
        <w:t>-</w:t>
      </w:r>
      <w:r>
        <w:t xml:space="preserve">specific payments or liabilities, </w:t>
      </w:r>
      <w:r w:rsidR="74DF2104">
        <w:t xml:space="preserve">such as </w:t>
      </w:r>
      <w:r>
        <w:t xml:space="preserve">where there are known </w:t>
      </w:r>
      <w:r w:rsidR="437814BB">
        <w:t>l</w:t>
      </w:r>
      <w:r>
        <w:t xml:space="preserve">iabilities that the Principal has to third parties for loss of revenue that either need to be covered by the Shortlisted Respondent or </w:t>
      </w:r>
      <w:r w:rsidR="619F3733">
        <w:t xml:space="preserve">are </w:t>
      </w:r>
      <w:r>
        <w:t>subject to a different regime. However, the circumstances for project</w:t>
      </w:r>
      <w:r w:rsidR="257551F3">
        <w:t>-</w:t>
      </w:r>
      <w:r>
        <w:t>specific amendment should be limited</w:t>
      </w:r>
      <w:r w:rsidR="52380779">
        <w:t>,</w:t>
      </w:r>
      <w:r>
        <w:t xml:space="preserve"> given the insolvency risk it creates for the Shortlisted Respondent.</w:t>
      </w:r>
    </w:p>
    <w:p w14:paraId="54A50CEF" w14:textId="1AAECAB6" w:rsidR="00A82838" w:rsidRDefault="5C8AAB6F" w:rsidP="001838CE">
      <w:pPr>
        <w:pStyle w:val="Heading2numbered"/>
      </w:pPr>
      <w:bookmarkStart w:id="1038" w:name="_Toc133577891"/>
      <w:bookmarkStart w:id="1039" w:name="_Toc145612586"/>
      <w:r>
        <w:t>Insurance</w:t>
      </w:r>
      <w:bookmarkEnd w:id="1038"/>
      <w:r w:rsidR="0E211D07">
        <w:t xml:space="preserve"> (clause</w:t>
      </w:r>
      <w:r w:rsidR="7865FA55" w:rsidRPr="2C5D2C8B">
        <w:rPr>
          <w:rFonts w:ascii="Calibri" w:hAnsi="Calibri" w:cs="Calibri"/>
        </w:rPr>
        <w:t> </w:t>
      </w:r>
      <w:r w:rsidR="0E211D07">
        <w:t>18 of the ITC Development Deed)</w:t>
      </w:r>
      <w:bookmarkEnd w:id="1039"/>
    </w:p>
    <w:p w14:paraId="5AEE18A5" w14:textId="5DF060E3" w:rsidR="00A82838" w:rsidRDefault="5C8AAB6F" w:rsidP="00AA17AF">
      <w:pPr>
        <w:pStyle w:val="NormalIndent"/>
      </w:pPr>
      <w:r>
        <w:t xml:space="preserve">The Shortlisted Respondent is required to effect public liability insurance, professional indemnity insurance and workers compensation insurance </w:t>
      </w:r>
      <w:r w:rsidR="0EC69744">
        <w:t>on or before</w:t>
      </w:r>
      <w:r>
        <w:t xml:space="preserve"> the Contract Date. Before commencing any on</w:t>
      </w:r>
      <w:r w:rsidR="7EA3C41C">
        <w:t>s</w:t>
      </w:r>
      <w:r>
        <w:t>ite activities, the Shortlisted Respondent must obtain motor vehicle insurance.</w:t>
      </w:r>
    </w:p>
    <w:p w14:paraId="7B345A63" w14:textId="77777777" w:rsidR="00A82838" w:rsidRDefault="00A82838" w:rsidP="004C4B48">
      <w:pPr>
        <w:pStyle w:val="Heading3numbered"/>
      </w:pPr>
      <w:r>
        <w:t>General principle</w:t>
      </w:r>
    </w:p>
    <w:p w14:paraId="7262EDEA" w14:textId="62D7B292" w:rsidR="00A82838" w:rsidRDefault="5C8AAB6F" w:rsidP="00AA17AF">
      <w:pPr>
        <w:pStyle w:val="NormalIndent"/>
      </w:pPr>
      <w:r>
        <w:t>These insurance requirements</w:t>
      </w:r>
      <w:r w:rsidR="74DF2104">
        <w:t xml:space="preserve"> </w:t>
      </w:r>
      <w:r>
        <w:t xml:space="preserve">represent the minimum degree of cover </w:t>
      </w:r>
      <w:r w:rsidR="0619D422">
        <w:t xml:space="preserve">that </w:t>
      </w:r>
      <w:r>
        <w:t>the Principal expects the Shortlisted Respondent to maintain as part of its risk management strategy. The terms of the Insurance must</w:t>
      </w:r>
      <w:r w:rsidR="74DF2104">
        <w:t xml:space="preserve"> </w:t>
      </w:r>
      <w:r>
        <w:t xml:space="preserve">be for amounts no less than </w:t>
      </w:r>
      <w:r w:rsidR="0619D422">
        <w:t xml:space="preserve">those </w:t>
      </w:r>
      <w:r>
        <w:t xml:space="preserve">specified in the ITC </w:t>
      </w:r>
      <w:r w:rsidR="16647881">
        <w:t>Development Deed</w:t>
      </w:r>
      <w:r w:rsidR="74DF2104">
        <w:t xml:space="preserve">, if applicable. They must also </w:t>
      </w:r>
      <w:r>
        <w:t>be effected with an authorised insurer with a prescribed minimum credit rating.</w:t>
      </w:r>
    </w:p>
    <w:p w14:paraId="584E1BD3" w14:textId="4D612E01" w:rsidR="00A82838" w:rsidRDefault="00A82838" w:rsidP="004C4B48">
      <w:pPr>
        <w:pStyle w:val="Heading3numbered"/>
      </w:pPr>
      <w:r>
        <w:t>Project</w:t>
      </w:r>
      <w:r w:rsidR="00043711">
        <w:t>-</w:t>
      </w:r>
      <w:r>
        <w:t>specific amendments</w:t>
      </w:r>
    </w:p>
    <w:p w14:paraId="478E4432" w14:textId="0F50C10F" w:rsidR="00A82838" w:rsidRDefault="00A82838" w:rsidP="00AA17AF">
      <w:pPr>
        <w:pStyle w:val="NormalIndent"/>
      </w:pPr>
      <w:r>
        <w:t>The Insurance requirements and structure must be considered on a project</w:t>
      </w:r>
      <w:r w:rsidR="00043711">
        <w:t>-specific</w:t>
      </w:r>
      <w:r>
        <w:t xml:space="preserve"> basis. Subject to the nature and complexity of the Project and any customised solutions presented by Shortlisted Respondents, project</w:t>
      </w:r>
      <w:r w:rsidR="00043711">
        <w:t>-specific</w:t>
      </w:r>
      <w:r>
        <w:t xml:space="preserve"> considerations may include:</w:t>
      </w:r>
    </w:p>
    <w:p w14:paraId="37DB0423" w14:textId="1078D3A8" w:rsidR="00A82838" w:rsidRDefault="5C8AAB6F" w:rsidP="000D52B3">
      <w:pPr>
        <w:pStyle w:val="Bulletindent"/>
      </w:pPr>
      <w:r>
        <w:t xml:space="preserve">the use of group policies of the </w:t>
      </w:r>
      <w:r w:rsidR="138D5990">
        <w:t>Significant</w:t>
      </w:r>
      <w:r>
        <w:t xml:space="preserve"> Subcontractors</w:t>
      </w:r>
      <w:r w:rsidR="11F69C9A">
        <w:t>;</w:t>
      </w:r>
    </w:p>
    <w:p w14:paraId="4ECC06AB" w14:textId="4A888D2C" w:rsidR="002A524B" w:rsidRPr="002A524B" w:rsidRDefault="5C8AAB6F" w:rsidP="000D52B3">
      <w:pPr>
        <w:pStyle w:val="Bulletindent"/>
      </w:pPr>
      <w:r>
        <w:t>other project</w:t>
      </w:r>
      <w:r w:rsidR="257551F3">
        <w:t>-specific</w:t>
      </w:r>
      <w:r>
        <w:t xml:space="preserve"> insurances </w:t>
      </w:r>
      <w:r w:rsidR="11F69C9A">
        <w:t xml:space="preserve">that </w:t>
      </w:r>
      <w:r>
        <w:t xml:space="preserve">may be required by the Principal (such as </w:t>
      </w:r>
      <w:r w:rsidR="35A1A85D">
        <w:t>P</w:t>
      </w:r>
      <w:r>
        <w:t xml:space="preserve">ollution </w:t>
      </w:r>
      <w:r w:rsidR="35A1A85D">
        <w:t>I</w:t>
      </w:r>
      <w:r>
        <w:t>nsurance)</w:t>
      </w:r>
      <w:r w:rsidR="11F69C9A">
        <w:t>; and</w:t>
      </w:r>
    </w:p>
    <w:p w14:paraId="278B4824" w14:textId="66041DB2" w:rsidR="00A82838" w:rsidRPr="000178FC" w:rsidRDefault="5C8AAB6F" w:rsidP="000D52B3">
      <w:pPr>
        <w:pStyle w:val="Bulletindent"/>
      </w:pPr>
      <w:r>
        <w:t>whether the Principal is better placed to procure certain insurances</w:t>
      </w:r>
      <w:r w:rsidR="11F69C9A">
        <w:t>,</w:t>
      </w:r>
      <w:r>
        <w:t xml:space="preserve"> and this represents VfM to the </w:t>
      </w:r>
      <w:r w:rsidR="3E681ABB">
        <w:t>S</w:t>
      </w:r>
      <w:r>
        <w:t>tate.</w:t>
      </w:r>
    </w:p>
    <w:p w14:paraId="19BBD149" w14:textId="670364B9" w:rsidR="00790EE6" w:rsidRDefault="37C58126" w:rsidP="004C4B48">
      <w:pPr>
        <w:pStyle w:val="Heading2numbered"/>
      </w:pPr>
      <w:bookmarkStart w:id="1040" w:name="_Toc131621426"/>
      <w:bookmarkStart w:id="1041" w:name="_Toc131684475"/>
      <w:bookmarkStart w:id="1042" w:name="_Toc131690010"/>
      <w:bookmarkStart w:id="1043" w:name="_Toc131928994"/>
      <w:bookmarkStart w:id="1044" w:name="_Toc132106116"/>
      <w:bookmarkStart w:id="1045" w:name="_Toc132106229"/>
      <w:bookmarkStart w:id="1046" w:name="_Toc132181148"/>
      <w:bookmarkStart w:id="1047" w:name="_Toc132181259"/>
      <w:bookmarkStart w:id="1048" w:name="_Toc133577892"/>
      <w:bookmarkStart w:id="1049" w:name="_Toc115955476"/>
      <w:bookmarkStart w:id="1050" w:name="_Toc145612587"/>
      <w:bookmarkEnd w:id="1040"/>
      <w:bookmarkEnd w:id="1041"/>
      <w:bookmarkEnd w:id="1042"/>
      <w:bookmarkEnd w:id="1043"/>
      <w:bookmarkEnd w:id="1044"/>
      <w:bookmarkEnd w:id="1045"/>
      <w:bookmarkEnd w:id="1046"/>
      <w:bookmarkEnd w:id="1047"/>
      <w:r>
        <w:t>Intellectual Property</w:t>
      </w:r>
      <w:bookmarkEnd w:id="1048"/>
      <w:r w:rsidR="1906465E">
        <w:t xml:space="preserve"> and the Delivery Phase Offer (clauses</w:t>
      </w:r>
      <w:r w:rsidR="7865FA55" w:rsidRPr="2C5D2C8B">
        <w:rPr>
          <w:rFonts w:ascii="Calibri" w:hAnsi="Calibri" w:cs="Calibri"/>
        </w:rPr>
        <w:t> </w:t>
      </w:r>
      <w:r w:rsidR="1906465E">
        <w:t>14 and 20 of the ITC Development Deed)</w:t>
      </w:r>
      <w:bookmarkEnd w:id="1049"/>
      <w:bookmarkEnd w:id="1050"/>
    </w:p>
    <w:p w14:paraId="55589B7C" w14:textId="7B0E7374" w:rsidR="00790EE6" w:rsidRDefault="00790EE6" w:rsidP="004C4B48">
      <w:pPr>
        <w:pStyle w:val="Heading3numbered"/>
      </w:pPr>
      <w:bookmarkStart w:id="1051" w:name="_Ref132187326"/>
      <w:r>
        <w:t>General principle</w:t>
      </w:r>
      <w:bookmarkEnd w:id="1051"/>
      <w:r w:rsidR="00503E16">
        <w:t xml:space="preserve"> </w:t>
      </w:r>
      <w:r w:rsidR="00503E16" w:rsidRPr="00503E16">
        <w:t>(clause 20 of the ITC Development Deed)</w:t>
      </w:r>
    </w:p>
    <w:p w14:paraId="4351C634" w14:textId="4A471720" w:rsidR="00790EE6" w:rsidRDefault="37C58126" w:rsidP="00AA17AF">
      <w:pPr>
        <w:pStyle w:val="NormalIndent"/>
      </w:pPr>
      <w:r>
        <w:t xml:space="preserve">The Principal must be able to use and enjoy any </w:t>
      </w:r>
      <w:r w:rsidR="74DF2104">
        <w:t>IP</w:t>
      </w:r>
      <w:r>
        <w:t xml:space="preserve"> Rights and Moral Rights in connection with the Deliverables and the </w:t>
      </w:r>
      <w:r w:rsidR="5AF9C94E">
        <w:t xml:space="preserve">Early </w:t>
      </w:r>
      <w:r>
        <w:t xml:space="preserve">Works, whether during the Development Phase or after termination of the ITC </w:t>
      </w:r>
      <w:r w:rsidR="16647881">
        <w:t>Development Deed</w:t>
      </w:r>
      <w:r>
        <w:t>.</w:t>
      </w:r>
    </w:p>
    <w:p w14:paraId="332D90C8" w14:textId="24D72C7E" w:rsidR="00790EE6" w:rsidRDefault="00790EE6" w:rsidP="00AA17AF">
      <w:pPr>
        <w:pStyle w:val="NormalIndent"/>
      </w:pPr>
      <w:r>
        <w:t xml:space="preserve">The Shortlisted Respondent is responsible for the costs of </w:t>
      </w:r>
      <w:r w:rsidR="002446E2">
        <w:t>IP</w:t>
      </w:r>
      <w:r>
        <w:t xml:space="preserve"> Rights and Moral Rights required for the Development Phase Activities (including costs resulting from infringements, other than in respect of any </w:t>
      </w:r>
      <w:r w:rsidR="008D3BD2">
        <w:t>IP</w:t>
      </w:r>
      <w:r>
        <w:t xml:space="preserve"> Rights contributed by the Principal to the Project).</w:t>
      </w:r>
    </w:p>
    <w:p w14:paraId="174F0F8B" w14:textId="41630F37" w:rsidR="00790EE6" w:rsidRDefault="37C58126" w:rsidP="00AA17AF">
      <w:pPr>
        <w:pStyle w:val="NormalIndent"/>
      </w:pPr>
      <w:r>
        <w:t xml:space="preserve">The Shortlisted Respondent must indemnify each Indemnified IP Person from and against any Claim or Liability arising in connection with any breach of representation, warranty or obligation relating to </w:t>
      </w:r>
      <w:r w:rsidR="74DF2104">
        <w:t>IP</w:t>
      </w:r>
      <w:r>
        <w:t xml:space="preserve"> Rights. These indemnities are set out in clause</w:t>
      </w:r>
      <w:r w:rsidR="7865FA55" w:rsidRPr="2C5D2C8B">
        <w:rPr>
          <w:rFonts w:ascii="Calibri" w:hAnsi="Calibri" w:cs="Calibri"/>
        </w:rPr>
        <w:t> </w:t>
      </w:r>
      <w:r>
        <w:t>2</w:t>
      </w:r>
      <w:r w:rsidR="5AF9C94E">
        <w:t>0</w:t>
      </w:r>
      <w:r>
        <w:t xml:space="preserve">.2(b) of the ITC </w:t>
      </w:r>
      <w:r w:rsidR="16647881">
        <w:t>Development Deed</w:t>
      </w:r>
      <w:r>
        <w:t>.</w:t>
      </w:r>
    </w:p>
    <w:p w14:paraId="4F140C0E" w14:textId="1E9990F1" w:rsidR="00790EE6" w:rsidRDefault="37C58126" w:rsidP="004C4B48">
      <w:pPr>
        <w:pStyle w:val="Heading4numbered"/>
      </w:pPr>
      <w:r>
        <w:t xml:space="preserve">Licensed </w:t>
      </w:r>
      <w:r w:rsidR="571BD648">
        <w:t>IP</w:t>
      </w:r>
    </w:p>
    <w:p w14:paraId="4F1F56A4" w14:textId="25A492E5" w:rsidR="00790EE6" w:rsidRDefault="37C58126" w:rsidP="00AA17AF">
      <w:pPr>
        <w:pStyle w:val="NormalIndent"/>
      </w:pPr>
      <w:r>
        <w:t xml:space="preserve">The ITC </w:t>
      </w:r>
      <w:r w:rsidR="16647881">
        <w:t>Development Deed</w:t>
      </w:r>
      <w:r>
        <w:t xml:space="preserve"> </w:t>
      </w:r>
      <w:r w:rsidR="6AB79360">
        <w:t xml:space="preserve">allows </w:t>
      </w:r>
      <w:r>
        <w:t xml:space="preserve">the Shortlisted Respondent to grant the Principal a broad licence over </w:t>
      </w:r>
      <w:r w:rsidR="6AB79360">
        <w:t>IP</w:t>
      </w:r>
      <w:r>
        <w:t xml:space="preserve"> Rights in the Deliverables, rather than </w:t>
      </w:r>
      <w:r w:rsidR="7E442B2A">
        <w:t>ownership</w:t>
      </w:r>
      <w:r>
        <w:t xml:space="preserve"> by the Principal. This includes, in respect of Background IP Rights and Third Party IP Rights, granting or procuring the grant of a licence from the relevant third party to the Principal.</w:t>
      </w:r>
    </w:p>
    <w:p w14:paraId="004BBE74" w14:textId="31249069" w:rsidR="00790EE6" w:rsidRDefault="00790EE6" w:rsidP="004C4B48">
      <w:pPr>
        <w:pStyle w:val="Heading4numbered"/>
      </w:pPr>
      <w:r>
        <w:t>Moral Rights</w:t>
      </w:r>
    </w:p>
    <w:p w14:paraId="74D618B1" w14:textId="47627878" w:rsidR="00790EE6" w:rsidRDefault="37C58126" w:rsidP="00AA17AF">
      <w:pPr>
        <w:pStyle w:val="NormalIndent"/>
      </w:pPr>
      <w:r>
        <w:t xml:space="preserve">In addition to obtaining all relevant </w:t>
      </w:r>
      <w:r w:rsidR="6AB79360">
        <w:t>IP</w:t>
      </w:r>
      <w:r>
        <w:t xml:space="preserve"> Rights, the Shortlisted Respondent </w:t>
      </w:r>
      <w:r w:rsidR="032FA3F7">
        <w:t>is</w:t>
      </w:r>
      <w:r>
        <w:t xml:space="preserve"> required to obtain, for the benefit of the Principal, the consent of the authors of all copyrighted works </w:t>
      </w:r>
      <w:r w:rsidR="6AB79360">
        <w:t xml:space="preserve">used in </w:t>
      </w:r>
      <w:r>
        <w:t>the Project.</w:t>
      </w:r>
    </w:p>
    <w:p w14:paraId="547E331D" w14:textId="77777777" w:rsidR="00790EE6" w:rsidRDefault="00790EE6" w:rsidP="004C4B48">
      <w:pPr>
        <w:pStyle w:val="Heading4numbered"/>
      </w:pPr>
      <w:r>
        <w:t>Principal IP</w:t>
      </w:r>
    </w:p>
    <w:p w14:paraId="087BCEA8" w14:textId="4988B60F" w:rsidR="00790EE6" w:rsidRDefault="37C58126" w:rsidP="00AA17AF">
      <w:pPr>
        <w:pStyle w:val="NormalIndent"/>
      </w:pPr>
      <w:r>
        <w:t>The Principal provide</w:t>
      </w:r>
      <w:r w:rsidR="1C9EB06A">
        <w:t>s</w:t>
      </w:r>
      <w:r>
        <w:t xml:space="preserve"> a licence to the Contractor in respect of those </w:t>
      </w:r>
      <w:r w:rsidR="6AB79360">
        <w:t>IP</w:t>
      </w:r>
      <w:r>
        <w:t xml:space="preserve"> Rights contributed by the Principal or a Principal Associate to the Project </w:t>
      </w:r>
      <w:r w:rsidR="1C9EB06A">
        <w:t xml:space="preserve">that </w:t>
      </w:r>
      <w:r>
        <w:t>the Contractor is either required or entitled to use for the Project.</w:t>
      </w:r>
    </w:p>
    <w:p w14:paraId="104D848F" w14:textId="5A15DB1C" w:rsidR="00A82838" w:rsidRDefault="5C8AAB6F" w:rsidP="004C4B48">
      <w:pPr>
        <w:pStyle w:val="Heading3numbered"/>
      </w:pPr>
      <w:r>
        <w:t xml:space="preserve">Ownership </w:t>
      </w:r>
      <w:r w:rsidR="328F1795">
        <w:t xml:space="preserve">and use </w:t>
      </w:r>
      <w:r>
        <w:t xml:space="preserve">of Delivery Phase Offer and </w:t>
      </w:r>
      <w:r w:rsidR="7AF3737C">
        <w:t>IP</w:t>
      </w:r>
      <w:r w:rsidR="1906465E">
        <w:t xml:space="preserve"> (clauses</w:t>
      </w:r>
      <w:r w:rsidR="7865FA55" w:rsidRPr="2C5D2C8B">
        <w:rPr>
          <w:rFonts w:ascii="Calibri" w:hAnsi="Calibri" w:cs="Calibri"/>
        </w:rPr>
        <w:t> </w:t>
      </w:r>
      <w:r w:rsidR="1906465E">
        <w:t>14.6 and 14.7 of the ITC Development Deed)</w:t>
      </w:r>
    </w:p>
    <w:p w14:paraId="489AC784" w14:textId="3473E067" w:rsidR="0097111E" w:rsidRDefault="0097111E" w:rsidP="004C4B48">
      <w:pPr>
        <w:pStyle w:val="Heading4numbered"/>
      </w:pPr>
      <w:r>
        <w:t>Ownership</w:t>
      </w:r>
    </w:p>
    <w:p w14:paraId="7DD10C67" w14:textId="07B4D37D" w:rsidR="0078439F" w:rsidRDefault="5C8AAB6F" w:rsidP="00AA17AF">
      <w:pPr>
        <w:pStyle w:val="NormalIndent"/>
      </w:pPr>
      <w:r>
        <w:t>Subject to clause</w:t>
      </w:r>
      <w:r w:rsidR="7865FA55" w:rsidRPr="2C5D2C8B">
        <w:rPr>
          <w:rFonts w:ascii="Calibri" w:hAnsi="Calibri" w:cs="Calibri"/>
        </w:rPr>
        <w:t> </w:t>
      </w:r>
      <w:r>
        <w:t>20</w:t>
      </w:r>
      <w:r w:rsidR="1906465E">
        <w:t xml:space="preserve"> of the ITC Development Deed</w:t>
      </w:r>
      <w:r w:rsidR="328F1795">
        <w:t xml:space="preserve"> (see section</w:t>
      </w:r>
      <w:r w:rsidR="7865FA55" w:rsidRPr="2C5D2C8B">
        <w:rPr>
          <w:rFonts w:ascii="Calibri" w:hAnsi="Calibri" w:cs="Calibri"/>
        </w:rPr>
        <w:t> </w:t>
      </w:r>
      <w:r w:rsidR="00A82838">
        <w:fldChar w:fldCharType="begin" w:fldLock="1"/>
      </w:r>
      <w:r w:rsidR="00A82838">
        <w:instrText xml:space="preserve"> REF _Ref132187326 \r \h  \* MERGEFORMAT </w:instrText>
      </w:r>
      <w:r w:rsidR="00A82838">
        <w:fldChar w:fldCharType="separate"/>
      </w:r>
      <w:r w:rsidR="00400321">
        <w:t>4.10.1</w:t>
      </w:r>
      <w:r w:rsidR="00A82838">
        <w:fldChar w:fldCharType="end"/>
      </w:r>
      <w:r w:rsidR="328F1795">
        <w:t>)</w:t>
      </w:r>
      <w:r>
        <w:t xml:space="preserve">, ownership of the Delivery Phase Offer and all documentation and information comprising the Delivery Phase Offer </w:t>
      </w:r>
      <w:r w:rsidR="2685F9E0">
        <w:t xml:space="preserve">or prepared for the purposes of the Delivery Phase Offer (defined as </w:t>
      </w:r>
      <w:r w:rsidR="373F54C7">
        <w:t>‘</w:t>
      </w:r>
      <w:r w:rsidR="2685F9E0">
        <w:t>Information</w:t>
      </w:r>
      <w:r w:rsidR="373F54C7">
        <w:t>’</w:t>
      </w:r>
      <w:r w:rsidR="2685F9E0">
        <w:t xml:space="preserve">) </w:t>
      </w:r>
      <w:r>
        <w:t>immediately vests in the Principal upon its creatio</w:t>
      </w:r>
      <w:r w:rsidR="6AB79360">
        <w:t>n. T</w:t>
      </w:r>
      <w:r w:rsidR="2685F9E0">
        <w:t>he</w:t>
      </w:r>
      <w:r>
        <w:t xml:space="preserve"> Shortlisted Respondent has no right to</w:t>
      </w:r>
      <w:r w:rsidR="2685F9E0">
        <w:t>:</w:t>
      </w:r>
    </w:p>
    <w:p w14:paraId="5518E89D" w14:textId="09A81E5C" w:rsidR="0097111E" w:rsidRDefault="5C8AAB6F" w:rsidP="000D52B3">
      <w:pPr>
        <w:pStyle w:val="Bulletindent"/>
      </w:pPr>
      <w:r>
        <w:t xml:space="preserve">use any part of the Delivery Phase Offer or Information without the </w:t>
      </w:r>
      <w:r w:rsidR="053B48D0">
        <w:t>P</w:t>
      </w:r>
      <w:r>
        <w:t>rincipal</w:t>
      </w:r>
      <w:r w:rsidR="629BCFA6">
        <w:t>’</w:t>
      </w:r>
      <w:r>
        <w:t>s written approva</w:t>
      </w:r>
      <w:r w:rsidR="6AB79360">
        <w:t>l</w:t>
      </w:r>
      <w:r w:rsidR="053B48D0">
        <w:t>;</w:t>
      </w:r>
    </w:p>
    <w:p w14:paraId="0C861AFF" w14:textId="6FE64332" w:rsidR="002A524B" w:rsidRPr="002A524B" w:rsidRDefault="328F1795" w:rsidP="000D52B3">
      <w:pPr>
        <w:pStyle w:val="Bulletindent"/>
      </w:pPr>
      <w:r>
        <w:t>disclose any part of the Delivery Phase Offer or Information without the Principal</w:t>
      </w:r>
      <w:r w:rsidR="629BCFA6">
        <w:t>’</w:t>
      </w:r>
      <w:r>
        <w:t xml:space="preserve">s prior written approval </w:t>
      </w:r>
      <w:r w:rsidR="5C8AAB6F">
        <w:t>(except as permitted under the Shortlisted Respondent</w:t>
      </w:r>
      <w:r w:rsidR="629BCFA6">
        <w:t>’</w:t>
      </w:r>
      <w:r w:rsidR="5C8AAB6F">
        <w:t>s Confidential Information disclosure obligations</w:t>
      </w:r>
      <w:r w:rsidR="6AB79360">
        <w:t>)</w:t>
      </w:r>
      <w:r w:rsidR="3CD6BCF8">
        <w:t>; or</w:t>
      </w:r>
    </w:p>
    <w:p w14:paraId="61B3D982" w14:textId="17E02207" w:rsidR="0097111E" w:rsidRDefault="0097111E" w:rsidP="000D52B3">
      <w:pPr>
        <w:pStyle w:val="Bulletindent"/>
      </w:pPr>
      <w:r>
        <w:t>request the return of any part of the Delivery Phase Offer or Information.</w:t>
      </w:r>
    </w:p>
    <w:p w14:paraId="70ED493B" w14:textId="73A2B9CA" w:rsidR="0097111E" w:rsidRDefault="0097111E" w:rsidP="004C4B48">
      <w:pPr>
        <w:pStyle w:val="Heading4numbered"/>
      </w:pPr>
      <w:r>
        <w:t>Use</w:t>
      </w:r>
    </w:p>
    <w:p w14:paraId="5380AF4A" w14:textId="0E0A5C8E" w:rsidR="0097111E" w:rsidRDefault="5C8AAB6F" w:rsidP="00AA17AF">
      <w:pPr>
        <w:pStyle w:val="NormalIndent"/>
      </w:pPr>
      <w:r>
        <w:t>The Principal is entitled to use any information or documentation from the Shortlisted Respondent</w:t>
      </w:r>
      <w:r w:rsidR="629BCFA6">
        <w:t>’</w:t>
      </w:r>
      <w:r>
        <w:t>s Delivery Phase Offer</w:t>
      </w:r>
      <w:r w:rsidR="3CD6BCF8">
        <w:t>,</w:t>
      </w:r>
      <w:r>
        <w:t xml:space="preserve"> </w:t>
      </w:r>
      <w:r w:rsidR="003440CF">
        <w:rPr>
          <w:color w:val="auto"/>
          <w:spacing w:val="2"/>
        </w:rPr>
        <w:t>regardless of whether the Shortlisted Respondent is selected as the Successful Respondent or the Principal executes the ITC Delivery Deed.</w:t>
      </w:r>
    </w:p>
    <w:p w14:paraId="7C5A4B49" w14:textId="30876FD1" w:rsidR="0097111E" w:rsidRDefault="00475DD6" w:rsidP="00AA17AF">
      <w:pPr>
        <w:pStyle w:val="NormalIndent"/>
      </w:pPr>
      <w:r>
        <w:rPr>
          <w:color w:val="auto"/>
          <w:spacing w:val="2"/>
        </w:rPr>
        <w:t>If the Shortlisted Respondent is not selected,</w:t>
      </w:r>
      <w:r w:rsidR="00A82838">
        <w:t xml:space="preserve"> the Principal releases the Shortlisted Respondent from any Loss or Claims in connection with this use except those arising</w:t>
      </w:r>
      <w:r w:rsidR="0097111E">
        <w:t xml:space="preserve"> out of or</w:t>
      </w:r>
      <w:r w:rsidR="00A82838">
        <w:t xml:space="preserve"> in connection with</w:t>
      </w:r>
      <w:r w:rsidR="0097111E">
        <w:t>:</w:t>
      </w:r>
    </w:p>
    <w:p w14:paraId="2B524B57" w14:textId="7475BD46" w:rsidR="0097111E" w:rsidRDefault="328F1795" w:rsidP="000D52B3">
      <w:pPr>
        <w:pStyle w:val="Bulletindent"/>
      </w:pPr>
      <w:r>
        <w:t xml:space="preserve">any breach by the Shortlisted Respondent, or any of its </w:t>
      </w:r>
      <w:r w:rsidR="579955C5">
        <w:t>A</w:t>
      </w:r>
      <w:r>
        <w:t xml:space="preserve">ssociates, of any </w:t>
      </w:r>
      <w:r w:rsidR="4D6303E1">
        <w:t>IP</w:t>
      </w:r>
      <w:r>
        <w:t xml:space="preserve"> </w:t>
      </w:r>
      <w:r w:rsidR="292D4230">
        <w:t>R</w:t>
      </w:r>
      <w:r>
        <w:t>ights of any third party</w:t>
      </w:r>
      <w:r w:rsidR="0AAB8528">
        <w:t>;</w:t>
      </w:r>
    </w:p>
    <w:p w14:paraId="1AF28E29" w14:textId="6A0D80F3" w:rsidR="002A524B" w:rsidRPr="002A524B" w:rsidRDefault="328F1795" w:rsidP="000D52B3">
      <w:pPr>
        <w:pStyle w:val="Bulletindent"/>
      </w:pPr>
      <w:r>
        <w:t>any fraud, unlawful conduct or wilful default by the Shortlisted Respondent or any of its Associates</w:t>
      </w:r>
      <w:r w:rsidR="71396B48">
        <w:t>;</w:t>
      </w:r>
      <w:r w:rsidR="0AAB8528">
        <w:t xml:space="preserve"> and</w:t>
      </w:r>
    </w:p>
    <w:p w14:paraId="2861C066" w14:textId="6D596E8A" w:rsidR="00A82838" w:rsidRDefault="0097111E" w:rsidP="000D52B3">
      <w:pPr>
        <w:pStyle w:val="Bulletindent"/>
      </w:pPr>
      <w:r>
        <w:t xml:space="preserve">any breach of the ITC </w:t>
      </w:r>
      <w:r w:rsidR="00ED6C21">
        <w:t>Development Deed</w:t>
      </w:r>
      <w:r>
        <w:t>, the terms of the Invitation for EOI or the RFP by any Member of the Shortlisted Respondent or any of its Associates.</w:t>
      </w:r>
    </w:p>
    <w:p w14:paraId="403D4A81" w14:textId="3BFD0040" w:rsidR="00790EE6" w:rsidRDefault="37C58126" w:rsidP="007253CE">
      <w:pPr>
        <w:pStyle w:val="Heading2numbered"/>
        <w:pageBreakBefore/>
      </w:pPr>
      <w:bookmarkStart w:id="1052" w:name="_Toc131553579"/>
      <w:bookmarkStart w:id="1053" w:name="_Toc131554378"/>
      <w:bookmarkStart w:id="1054" w:name="_Toc131555191"/>
      <w:bookmarkStart w:id="1055" w:name="_Toc131621428"/>
      <w:bookmarkStart w:id="1056" w:name="_Toc131690012"/>
      <w:bookmarkStart w:id="1057" w:name="_Toc131553580"/>
      <w:bookmarkStart w:id="1058" w:name="_Toc131554379"/>
      <w:bookmarkStart w:id="1059" w:name="_Toc131555192"/>
      <w:bookmarkStart w:id="1060" w:name="_Toc131621429"/>
      <w:bookmarkStart w:id="1061" w:name="_Toc131690013"/>
      <w:bookmarkStart w:id="1062" w:name="_Toc131553581"/>
      <w:bookmarkStart w:id="1063" w:name="_Toc131554380"/>
      <w:bookmarkStart w:id="1064" w:name="_Toc131555193"/>
      <w:bookmarkStart w:id="1065" w:name="_Toc131621430"/>
      <w:bookmarkStart w:id="1066" w:name="_Toc131690014"/>
      <w:bookmarkStart w:id="1067" w:name="_Toc131553582"/>
      <w:bookmarkStart w:id="1068" w:name="_Toc131554381"/>
      <w:bookmarkStart w:id="1069" w:name="_Toc131555194"/>
      <w:bookmarkStart w:id="1070" w:name="_Toc131621431"/>
      <w:bookmarkStart w:id="1071" w:name="_Toc131690015"/>
      <w:bookmarkStart w:id="1072" w:name="_Toc131553583"/>
      <w:bookmarkStart w:id="1073" w:name="_Toc131554382"/>
      <w:bookmarkStart w:id="1074" w:name="_Toc131555195"/>
      <w:bookmarkStart w:id="1075" w:name="_Toc131621432"/>
      <w:bookmarkStart w:id="1076" w:name="_Toc131690016"/>
      <w:bookmarkStart w:id="1077" w:name="_Toc131553584"/>
      <w:bookmarkStart w:id="1078" w:name="_Toc131554383"/>
      <w:bookmarkStart w:id="1079" w:name="_Toc131555196"/>
      <w:bookmarkStart w:id="1080" w:name="_Toc131621433"/>
      <w:bookmarkStart w:id="1081" w:name="_Toc131690017"/>
      <w:bookmarkStart w:id="1082" w:name="_Toc131553585"/>
      <w:bookmarkStart w:id="1083" w:name="_Toc131554384"/>
      <w:bookmarkStart w:id="1084" w:name="_Toc131555197"/>
      <w:bookmarkStart w:id="1085" w:name="_Toc131621434"/>
      <w:bookmarkStart w:id="1086" w:name="_Toc131690018"/>
      <w:bookmarkStart w:id="1087" w:name="_Toc131553586"/>
      <w:bookmarkStart w:id="1088" w:name="_Toc131554385"/>
      <w:bookmarkStart w:id="1089" w:name="_Toc131555198"/>
      <w:bookmarkStart w:id="1090" w:name="_Toc131621435"/>
      <w:bookmarkStart w:id="1091" w:name="_Toc131690019"/>
      <w:bookmarkStart w:id="1092" w:name="_Toc131553587"/>
      <w:bookmarkStart w:id="1093" w:name="_Toc131554386"/>
      <w:bookmarkStart w:id="1094" w:name="_Toc131555199"/>
      <w:bookmarkStart w:id="1095" w:name="_Toc131621436"/>
      <w:bookmarkStart w:id="1096" w:name="_Toc131690020"/>
      <w:bookmarkStart w:id="1097" w:name="_Toc131553588"/>
      <w:bookmarkStart w:id="1098" w:name="_Toc131554387"/>
      <w:bookmarkStart w:id="1099" w:name="_Toc131555200"/>
      <w:bookmarkStart w:id="1100" w:name="_Toc131621437"/>
      <w:bookmarkStart w:id="1101" w:name="_Toc131690021"/>
      <w:bookmarkStart w:id="1102" w:name="_Toc131553589"/>
      <w:bookmarkStart w:id="1103" w:name="_Toc131554388"/>
      <w:bookmarkStart w:id="1104" w:name="_Toc131555201"/>
      <w:bookmarkStart w:id="1105" w:name="_Toc131621438"/>
      <w:bookmarkStart w:id="1106" w:name="_Toc131690022"/>
      <w:bookmarkStart w:id="1107" w:name="_Toc131553590"/>
      <w:bookmarkStart w:id="1108" w:name="_Toc131554389"/>
      <w:bookmarkStart w:id="1109" w:name="_Toc131555202"/>
      <w:bookmarkStart w:id="1110" w:name="_Toc131621439"/>
      <w:bookmarkStart w:id="1111" w:name="_Toc131690023"/>
      <w:bookmarkStart w:id="1112" w:name="_Toc131553591"/>
      <w:bookmarkStart w:id="1113" w:name="_Toc131554390"/>
      <w:bookmarkStart w:id="1114" w:name="_Toc131555203"/>
      <w:bookmarkStart w:id="1115" w:name="_Toc131621440"/>
      <w:bookmarkStart w:id="1116" w:name="_Toc131690024"/>
      <w:bookmarkStart w:id="1117" w:name="_Toc131553592"/>
      <w:bookmarkStart w:id="1118" w:name="_Toc131554391"/>
      <w:bookmarkStart w:id="1119" w:name="_Toc131555204"/>
      <w:bookmarkStart w:id="1120" w:name="_Toc131621441"/>
      <w:bookmarkStart w:id="1121" w:name="_Toc131690025"/>
      <w:bookmarkStart w:id="1122" w:name="_Toc131621442"/>
      <w:bookmarkStart w:id="1123" w:name="_Toc131690026"/>
      <w:bookmarkStart w:id="1124" w:name="_Toc131621443"/>
      <w:bookmarkStart w:id="1125" w:name="_Toc131690027"/>
      <w:bookmarkStart w:id="1126" w:name="_Toc131621444"/>
      <w:bookmarkStart w:id="1127" w:name="_Toc131690028"/>
      <w:bookmarkStart w:id="1128" w:name="_Toc131621445"/>
      <w:bookmarkStart w:id="1129" w:name="_Toc131690029"/>
      <w:bookmarkStart w:id="1130" w:name="_Toc131621446"/>
      <w:bookmarkStart w:id="1131" w:name="_Toc131690030"/>
      <w:bookmarkStart w:id="1132" w:name="_Toc131621447"/>
      <w:bookmarkStart w:id="1133" w:name="_Toc131690031"/>
      <w:bookmarkStart w:id="1134" w:name="_Toc131621448"/>
      <w:bookmarkStart w:id="1135" w:name="_Toc131690032"/>
      <w:bookmarkStart w:id="1136" w:name="_Toc131621449"/>
      <w:bookmarkStart w:id="1137" w:name="_Toc131690033"/>
      <w:bookmarkStart w:id="1138" w:name="_Toc133577893"/>
      <w:bookmarkStart w:id="1139" w:name="_Toc115955479"/>
      <w:bookmarkStart w:id="1140" w:name="_Toc145612588"/>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t>Termination</w:t>
      </w:r>
      <w:bookmarkEnd w:id="1138"/>
      <w:bookmarkEnd w:id="1139"/>
      <w:r w:rsidR="1906465E">
        <w:t xml:space="preserve"> (clause</w:t>
      </w:r>
      <w:r w:rsidR="7865FA55" w:rsidRPr="2C5D2C8B">
        <w:rPr>
          <w:rFonts w:ascii="Calibri" w:hAnsi="Calibri" w:cs="Calibri"/>
        </w:rPr>
        <w:t> </w:t>
      </w:r>
      <w:r w:rsidR="1906465E">
        <w:t>25 of the ITC Development Deed)</w:t>
      </w:r>
      <w:bookmarkEnd w:id="1140"/>
    </w:p>
    <w:p w14:paraId="0A600145" w14:textId="3F946D6A" w:rsidR="00790EE6" w:rsidRDefault="00790EE6" w:rsidP="00AA17AF">
      <w:pPr>
        <w:pStyle w:val="NormalIndent"/>
      </w:pPr>
      <w:r>
        <w:t xml:space="preserve">The ITC </w:t>
      </w:r>
      <w:r w:rsidR="00ED6C21">
        <w:t>Development Deed</w:t>
      </w:r>
      <w:r>
        <w:t xml:space="preserve"> can be terminated </w:t>
      </w:r>
      <w:r w:rsidR="00736D27">
        <w:t>in the following scenarios:</w:t>
      </w:r>
    </w:p>
    <w:tbl>
      <w:tblPr>
        <w:tblStyle w:val="DTFtexttableindent"/>
        <w:tblW w:w="8226" w:type="dxa"/>
        <w:tblLook w:val="04A0" w:firstRow="1" w:lastRow="0" w:firstColumn="1" w:lastColumn="0" w:noHBand="0" w:noVBand="1"/>
      </w:tblPr>
      <w:tblGrid>
        <w:gridCol w:w="2736"/>
        <w:gridCol w:w="3420"/>
        <w:gridCol w:w="2070"/>
      </w:tblGrid>
      <w:tr w:rsidR="005723C7" w14:paraId="00544E6D" w14:textId="77777777" w:rsidTr="00594C81">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2736" w:type="dxa"/>
          </w:tcPr>
          <w:p w14:paraId="1E1B91B8" w14:textId="495AB48D" w:rsidR="005723C7" w:rsidRPr="006B3713" w:rsidRDefault="0F95FC11" w:rsidP="00A230FA">
            <w:pPr>
              <w:pStyle w:val="Tableheader"/>
            </w:pPr>
            <w:r>
              <w:t>Event</w:t>
            </w:r>
          </w:p>
        </w:tc>
        <w:tc>
          <w:tcPr>
            <w:tcW w:w="3420" w:type="dxa"/>
          </w:tcPr>
          <w:p w14:paraId="22B203A8" w14:textId="77777777" w:rsidR="005723C7" w:rsidRPr="006B3713" w:rsidRDefault="005723C7" w:rsidP="00A230FA">
            <w:pPr>
              <w:pStyle w:val="Tableheader"/>
              <w:cnfStyle w:val="100000000000" w:firstRow="1" w:lastRow="0" w:firstColumn="0" w:lastColumn="0" w:oddVBand="0" w:evenVBand="0" w:oddHBand="0" w:evenHBand="0" w:firstRowFirstColumn="0" w:firstRowLastColumn="0" w:lastRowFirstColumn="0" w:lastRowLastColumn="0"/>
            </w:pPr>
            <w:r w:rsidRPr="006B3713">
              <w:t>Trigger</w:t>
            </w:r>
          </w:p>
        </w:tc>
        <w:tc>
          <w:tcPr>
            <w:tcW w:w="2070" w:type="dxa"/>
          </w:tcPr>
          <w:p w14:paraId="22430645" w14:textId="14DE0B43" w:rsidR="005723C7" w:rsidRPr="006B3713" w:rsidRDefault="0F95FC11" w:rsidP="00A230FA">
            <w:pPr>
              <w:pStyle w:val="Tableheader"/>
              <w:cnfStyle w:val="100000000000" w:firstRow="1" w:lastRow="0" w:firstColumn="0" w:lastColumn="0" w:oddVBand="0" w:evenVBand="0" w:oddHBand="0" w:evenHBand="0" w:firstRowFirstColumn="0" w:firstRowLastColumn="0" w:lastRowFirstColumn="0" w:lastRowLastColumn="0"/>
            </w:pPr>
            <w:r>
              <w:t>Termination occurs</w:t>
            </w:r>
            <w:r w:rsidR="17809007">
              <w:t>:</w:t>
            </w:r>
          </w:p>
        </w:tc>
      </w:tr>
      <w:tr w:rsidR="005723C7" w14:paraId="3853F418" w14:textId="77777777" w:rsidTr="00594C81">
        <w:trPr>
          <w:trHeight w:val="689"/>
        </w:trPr>
        <w:tc>
          <w:tcPr>
            <w:cnfStyle w:val="001000000000" w:firstRow="0" w:lastRow="0" w:firstColumn="1" w:lastColumn="0" w:oddVBand="0" w:evenVBand="0" w:oddHBand="0" w:evenHBand="0" w:firstRowFirstColumn="0" w:firstRowLastColumn="0" w:lastRowFirstColumn="0" w:lastRowLastColumn="0"/>
            <w:tcW w:w="2736" w:type="dxa"/>
          </w:tcPr>
          <w:p w14:paraId="3D515868" w14:textId="3849BED4" w:rsidR="005723C7" w:rsidRPr="007253CE" w:rsidRDefault="0F95FC11" w:rsidP="2C5D2C8B">
            <w:pPr>
              <w:pStyle w:val="Tabletext"/>
              <w:rPr>
                <w:rFonts w:asciiTheme="majorHAnsi" w:hAnsiTheme="majorHAnsi"/>
              </w:rPr>
            </w:pPr>
            <w:r w:rsidRPr="2C5D2C8B">
              <w:rPr>
                <w:rFonts w:asciiTheme="majorHAnsi" w:hAnsiTheme="majorHAnsi"/>
              </w:rPr>
              <w:t>Termination upon selection of Successful Respondent (clause</w:t>
            </w:r>
            <w:r w:rsidR="7865FA55" w:rsidRPr="2C5D2C8B">
              <w:rPr>
                <w:rFonts w:ascii="Calibri" w:hAnsi="Calibri" w:cs="Calibri"/>
              </w:rPr>
              <w:t> </w:t>
            </w:r>
            <w:r w:rsidRPr="2C5D2C8B">
              <w:rPr>
                <w:rFonts w:asciiTheme="majorHAnsi" w:hAnsiTheme="majorHAnsi"/>
              </w:rPr>
              <w:t>25.1(a) of the ITC Development Deed)</w:t>
            </w:r>
          </w:p>
        </w:tc>
        <w:tc>
          <w:tcPr>
            <w:tcW w:w="3420" w:type="dxa"/>
          </w:tcPr>
          <w:p w14:paraId="74B95915" w14:textId="77777777" w:rsidR="005723C7" w:rsidRPr="007253CE" w:rsidRDefault="005723C7" w:rsidP="007253CE">
            <w:pPr>
              <w:pStyle w:val="Tabletext"/>
              <w:cnfStyle w:val="000000000000" w:firstRow="0" w:lastRow="0" w:firstColumn="0" w:lastColumn="0" w:oddVBand="0" w:evenVBand="0" w:oddHBand="0" w:evenHBand="0" w:firstRowFirstColumn="0" w:firstRowLastColumn="0" w:lastRowFirstColumn="0" w:lastRowLastColumn="0"/>
            </w:pPr>
            <w:r w:rsidRPr="007253CE">
              <w:t>The Shortlisted Respondent is selected as the Successful Respondent.</w:t>
            </w:r>
          </w:p>
        </w:tc>
        <w:tc>
          <w:tcPr>
            <w:tcW w:w="2070" w:type="dxa"/>
          </w:tcPr>
          <w:p w14:paraId="059B77EA" w14:textId="442B2D94" w:rsidR="005723C7" w:rsidRPr="007253CE" w:rsidRDefault="17809007" w:rsidP="007253CE">
            <w:pPr>
              <w:pStyle w:val="Tabletext"/>
              <w:cnfStyle w:val="000000000000" w:firstRow="0" w:lastRow="0" w:firstColumn="0" w:lastColumn="0" w:oddVBand="0" w:evenVBand="0" w:oddHBand="0" w:evenHBand="0" w:firstRowFirstColumn="0" w:firstRowLastColumn="0" w:lastRowFirstColumn="0" w:lastRowLastColumn="0"/>
            </w:pPr>
            <w:r>
              <w:t>o</w:t>
            </w:r>
            <w:r w:rsidR="0F95FC11">
              <w:t>n the date the ITC Delivery Deed is executed.</w:t>
            </w:r>
          </w:p>
        </w:tc>
      </w:tr>
      <w:tr w:rsidR="005723C7" w14:paraId="46B2E6D8" w14:textId="77777777" w:rsidTr="00594C81">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36" w:type="dxa"/>
          </w:tcPr>
          <w:p w14:paraId="07C81D61" w14:textId="7A0D040B" w:rsidR="005723C7" w:rsidRPr="007253CE" w:rsidRDefault="0F95FC11" w:rsidP="2C5D2C8B">
            <w:pPr>
              <w:pStyle w:val="Tabletext"/>
              <w:rPr>
                <w:rFonts w:asciiTheme="majorHAnsi" w:hAnsiTheme="majorHAnsi"/>
              </w:rPr>
            </w:pPr>
            <w:r w:rsidRPr="2C5D2C8B">
              <w:rPr>
                <w:rFonts w:asciiTheme="majorHAnsi" w:hAnsiTheme="majorHAnsi"/>
              </w:rPr>
              <w:t>Termination upon rejection of Delivery Phase Offer (clause</w:t>
            </w:r>
            <w:r w:rsidR="7865FA55" w:rsidRPr="2C5D2C8B">
              <w:rPr>
                <w:rFonts w:ascii="Calibri" w:hAnsi="Calibri" w:cs="Calibri"/>
              </w:rPr>
              <w:t> </w:t>
            </w:r>
            <w:r w:rsidRPr="2C5D2C8B">
              <w:rPr>
                <w:rFonts w:asciiTheme="majorHAnsi" w:hAnsiTheme="majorHAnsi"/>
              </w:rPr>
              <w:t>25.1(b) of the ITC Development Deed)</w:t>
            </w:r>
          </w:p>
        </w:tc>
        <w:tc>
          <w:tcPr>
            <w:tcW w:w="3420" w:type="dxa"/>
          </w:tcPr>
          <w:p w14:paraId="231BD1DB" w14:textId="061A0EA3" w:rsidR="005723C7" w:rsidRPr="007253CE" w:rsidRDefault="0F95FC11" w:rsidP="007253CE">
            <w:pPr>
              <w:pStyle w:val="Tabletext"/>
              <w:cnfStyle w:val="000000010000" w:firstRow="0" w:lastRow="0" w:firstColumn="0" w:lastColumn="0" w:oddVBand="0" w:evenVBand="0" w:oddHBand="0" w:evenHBand="1" w:firstRowFirstColumn="0" w:firstRowLastColumn="0" w:lastRowFirstColumn="0" w:lastRowLastColumn="0"/>
            </w:pPr>
            <w:r>
              <w:t xml:space="preserve">The Shortlisted Respondent’s Delivery Phase Offer </w:t>
            </w:r>
            <w:r w:rsidR="7B854D02">
              <w:t>is</w:t>
            </w:r>
            <w:r>
              <w:t xml:space="preserve"> rejected and the Principal’s Representative has not issued an Early Delivery Activities Direction.</w:t>
            </w:r>
          </w:p>
        </w:tc>
        <w:tc>
          <w:tcPr>
            <w:tcW w:w="2070" w:type="dxa"/>
          </w:tcPr>
          <w:p w14:paraId="7D4E7A33" w14:textId="2C15FD79" w:rsidR="005723C7" w:rsidRPr="007253CE" w:rsidRDefault="17809007" w:rsidP="007253CE">
            <w:pPr>
              <w:pStyle w:val="Tabletext"/>
              <w:cnfStyle w:val="000000010000" w:firstRow="0" w:lastRow="0" w:firstColumn="0" w:lastColumn="0" w:oddVBand="0" w:evenVBand="0" w:oddHBand="0" w:evenHBand="1" w:firstRowFirstColumn="0" w:firstRowLastColumn="0" w:lastRowFirstColumn="0" w:lastRowLastColumn="0"/>
            </w:pPr>
            <w:r>
              <w:t>o</w:t>
            </w:r>
            <w:r w:rsidR="0F95FC11">
              <w:t>n the date of the rejection notice.</w:t>
            </w:r>
          </w:p>
        </w:tc>
      </w:tr>
      <w:tr w:rsidR="005723C7" w14:paraId="1CAEF058" w14:textId="77777777" w:rsidTr="00594C81">
        <w:trPr>
          <w:trHeight w:val="678"/>
        </w:trPr>
        <w:tc>
          <w:tcPr>
            <w:cnfStyle w:val="001000000000" w:firstRow="0" w:lastRow="0" w:firstColumn="1" w:lastColumn="0" w:oddVBand="0" w:evenVBand="0" w:oddHBand="0" w:evenHBand="0" w:firstRowFirstColumn="0" w:firstRowLastColumn="0" w:lastRowFirstColumn="0" w:lastRowLastColumn="0"/>
            <w:tcW w:w="2736" w:type="dxa"/>
          </w:tcPr>
          <w:p w14:paraId="584ED119" w14:textId="4CDCE1A4" w:rsidR="005723C7" w:rsidRPr="007253CE" w:rsidRDefault="0F95FC11" w:rsidP="2C5D2C8B">
            <w:pPr>
              <w:pStyle w:val="Tabletext"/>
              <w:rPr>
                <w:rFonts w:asciiTheme="majorHAnsi" w:hAnsiTheme="majorHAnsi"/>
              </w:rPr>
            </w:pPr>
            <w:r w:rsidRPr="2C5D2C8B">
              <w:rPr>
                <w:rFonts w:asciiTheme="majorHAnsi" w:hAnsiTheme="majorHAnsi"/>
              </w:rPr>
              <w:t>Termination for convenience (clause</w:t>
            </w:r>
            <w:r w:rsidR="7865FA55" w:rsidRPr="2C5D2C8B">
              <w:rPr>
                <w:rFonts w:ascii="Calibri" w:hAnsi="Calibri" w:cs="Calibri"/>
              </w:rPr>
              <w:t> </w:t>
            </w:r>
            <w:r w:rsidRPr="2C5D2C8B">
              <w:rPr>
                <w:rFonts w:asciiTheme="majorHAnsi" w:hAnsiTheme="majorHAnsi"/>
              </w:rPr>
              <w:t>25.2 of the ITC Development Deed)</w:t>
            </w:r>
          </w:p>
        </w:tc>
        <w:tc>
          <w:tcPr>
            <w:tcW w:w="3420" w:type="dxa"/>
          </w:tcPr>
          <w:p w14:paraId="62B883BF" w14:textId="77777777" w:rsidR="005723C7" w:rsidRPr="007253CE" w:rsidRDefault="005723C7" w:rsidP="007253CE">
            <w:pPr>
              <w:pStyle w:val="Tabletext"/>
              <w:cnfStyle w:val="000000000000" w:firstRow="0" w:lastRow="0" w:firstColumn="0" w:lastColumn="0" w:oddVBand="0" w:evenVBand="0" w:oddHBand="0" w:evenHBand="0" w:firstRowFirstColumn="0" w:firstRowLastColumn="0" w:lastRowFirstColumn="0" w:lastRowLastColumn="0"/>
            </w:pPr>
            <w:r w:rsidRPr="007253CE">
              <w:t>The Principal may, at any time, unilaterally elect to terminate the ITC Development Deed for convenience.</w:t>
            </w:r>
          </w:p>
        </w:tc>
        <w:tc>
          <w:tcPr>
            <w:tcW w:w="2070" w:type="dxa"/>
          </w:tcPr>
          <w:p w14:paraId="5BA32428" w14:textId="12753102" w:rsidR="005723C7" w:rsidRPr="007253CE" w:rsidRDefault="17809007" w:rsidP="007253CE">
            <w:pPr>
              <w:pStyle w:val="Tabletext"/>
              <w:cnfStyle w:val="000000000000" w:firstRow="0" w:lastRow="0" w:firstColumn="0" w:lastColumn="0" w:oddVBand="0" w:evenVBand="0" w:oddHBand="0" w:evenHBand="0" w:firstRowFirstColumn="0" w:firstRowLastColumn="0" w:lastRowFirstColumn="0" w:lastRowLastColumn="0"/>
            </w:pPr>
            <w:r>
              <w:t>u</w:t>
            </w:r>
            <w:r w:rsidR="0F95FC11">
              <w:t xml:space="preserve">pon 10 </w:t>
            </w:r>
            <w:r w:rsidR="7D6BACF2">
              <w:t>B</w:t>
            </w:r>
            <w:r w:rsidR="0F95FC11">
              <w:t xml:space="preserve">usiness </w:t>
            </w:r>
            <w:r w:rsidR="7D6BACF2">
              <w:t>D</w:t>
            </w:r>
            <w:r w:rsidR="0F95FC11">
              <w:t>ays</w:t>
            </w:r>
            <w:r>
              <w:t>’</w:t>
            </w:r>
            <w:r w:rsidR="0F95FC11">
              <w:t xml:space="preserve"> notice.</w:t>
            </w:r>
          </w:p>
        </w:tc>
      </w:tr>
    </w:tbl>
    <w:p w14:paraId="7E7270A5" w14:textId="77777777" w:rsidR="005723C7" w:rsidRDefault="005723C7" w:rsidP="007253CE">
      <w:pPr>
        <w:pStyle w:val="Spacer"/>
      </w:pPr>
    </w:p>
    <w:p w14:paraId="416B8A15" w14:textId="5E7761B0" w:rsidR="00790EE6" w:rsidRDefault="37C58126" w:rsidP="004C4B48">
      <w:pPr>
        <w:pStyle w:val="Heading3numbered"/>
      </w:pPr>
      <w:r>
        <w:t>Termination upon selection of Successful Respondent</w:t>
      </w:r>
      <w:r w:rsidR="1906465E">
        <w:t xml:space="preserve"> (clause</w:t>
      </w:r>
      <w:r w:rsidR="7865FA55" w:rsidRPr="2C5D2C8B">
        <w:rPr>
          <w:rFonts w:ascii="Calibri" w:hAnsi="Calibri" w:cs="Calibri"/>
        </w:rPr>
        <w:t> </w:t>
      </w:r>
      <w:r w:rsidR="1906465E">
        <w:t>25.1 of the ITC Development Deed)</w:t>
      </w:r>
    </w:p>
    <w:p w14:paraId="559D1D92" w14:textId="59196DF2" w:rsidR="00790EE6" w:rsidRDefault="37C58126" w:rsidP="00AA17AF">
      <w:pPr>
        <w:pStyle w:val="NormalIndent"/>
      </w:pPr>
      <w:r>
        <w:t xml:space="preserve">Regardless of any other provision, the ITC </w:t>
      </w:r>
      <w:r w:rsidR="16647881">
        <w:t>Development Deed</w:t>
      </w:r>
      <w:r>
        <w:t xml:space="preserve"> terminate</w:t>
      </w:r>
      <w:r w:rsidR="1DFCEF82">
        <w:t>s</w:t>
      </w:r>
      <w:r>
        <w:t xml:space="preserve"> following the selection of a Successful Respondent. The ITC </w:t>
      </w:r>
      <w:r w:rsidR="16647881">
        <w:t>Development Deed</w:t>
      </w:r>
      <w:r>
        <w:t xml:space="preserve"> terminate</w:t>
      </w:r>
      <w:r w:rsidR="1DFCEF82">
        <w:t>s</w:t>
      </w:r>
      <w:r>
        <w:t>:</w:t>
      </w:r>
    </w:p>
    <w:p w14:paraId="626D5E9E" w14:textId="78D16299" w:rsidR="002A524B" w:rsidRPr="002A524B" w:rsidRDefault="37C58126" w:rsidP="000D52B3">
      <w:pPr>
        <w:pStyle w:val="Bulletindent"/>
      </w:pPr>
      <w:r>
        <w:t>if the Shortlisted Respondent is selected as the Successful Respondent on the date the ITC Delivery</w:t>
      </w:r>
      <w:r w:rsidR="4D6303E1">
        <w:t xml:space="preserve"> </w:t>
      </w:r>
      <w:r>
        <w:t>Deed is executed by the Principal and the Shortlisted Respondent</w:t>
      </w:r>
      <w:r w:rsidR="1DFCEF82">
        <w:t>;</w:t>
      </w:r>
      <w:r w:rsidR="2441465D">
        <w:t xml:space="preserve"> or</w:t>
      </w:r>
    </w:p>
    <w:p w14:paraId="3DDCAA09" w14:textId="540D2E3C" w:rsidR="00F5133C" w:rsidRDefault="5969ED42" w:rsidP="000D52B3">
      <w:pPr>
        <w:pStyle w:val="Bulletindent"/>
      </w:pPr>
      <w:r>
        <w:t>if the Shortlisted Respondent’s Delivery Phase Offer has been rejected and the Principal’s Representative has not issued an Early Delivery Activities Direction under clause</w:t>
      </w:r>
      <w:r w:rsidR="7865FA55" w:rsidRPr="2C5D2C8B">
        <w:rPr>
          <w:rFonts w:ascii="Calibri" w:hAnsi="Calibri"/>
        </w:rPr>
        <w:t> </w:t>
      </w:r>
      <w:r>
        <w:t>14.4(a)(iii)B on the date of the rejection notice.</w:t>
      </w:r>
    </w:p>
    <w:p w14:paraId="51ACD8BC" w14:textId="4F481B8C" w:rsidR="00790EE6" w:rsidRPr="00AA39E9" w:rsidRDefault="37C58126" w:rsidP="004C4B48">
      <w:pPr>
        <w:pStyle w:val="Heading3numbered"/>
      </w:pPr>
      <w:r>
        <w:t>Consequences of termination</w:t>
      </w:r>
      <w:r w:rsidR="1906465E">
        <w:t xml:space="preserve"> (clauses</w:t>
      </w:r>
      <w:r w:rsidR="7865FA55" w:rsidRPr="2C5D2C8B">
        <w:rPr>
          <w:rFonts w:ascii="Calibri" w:hAnsi="Calibri" w:cs="Calibri"/>
        </w:rPr>
        <w:t> </w:t>
      </w:r>
      <w:r w:rsidR="1906465E">
        <w:t>25.3, 25.4 and 25.5 of the ITC Development Deed)</w:t>
      </w:r>
    </w:p>
    <w:p w14:paraId="6F038D32" w14:textId="52E11B3D" w:rsidR="00790EE6" w:rsidRDefault="00790EE6" w:rsidP="00AA17AF">
      <w:pPr>
        <w:pStyle w:val="NormalIndent"/>
      </w:pPr>
      <w:r>
        <w:t xml:space="preserve">If the Principal terminates the ITC </w:t>
      </w:r>
      <w:r w:rsidR="00ED6C21">
        <w:t>Development Deed</w:t>
      </w:r>
      <w:r>
        <w:t xml:space="preserve">, the Shortlisted Respondent must, </w:t>
      </w:r>
      <w:r w:rsidR="00DB5D73">
        <w:t>(</w:t>
      </w:r>
      <w:r>
        <w:t>among other things</w:t>
      </w:r>
      <w:r w:rsidR="00DB5D73">
        <w:t>)</w:t>
      </w:r>
      <w:r>
        <w:t>:</w:t>
      </w:r>
    </w:p>
    <w:p w14:paraId="764C9C64" w14:textId="3A7A55DB" w:rsidR="00790EE6" w:rsidRDefault="37C58126" w:rsidP="000D52B3">
      <w:pPr>
        <w:pStyle w:val="Bulletindent"/>
      </w:pPr>
      <w:r>
        <w:t>cease performing the Development Phase Services</w:t>
      </w:r>
      <w:r w:rsidR="09985CC1">
        <w:t>;</w:t>
      </w:r>
    </w:p>
    <w:p w14:paraId="6DB51A16" w14:textId="51764C9F" w:rsidR="002A524B" w:rsidRPr="002A524B" w:rsidRDefault="3C59BF0B" w:rsidP="000D52B3">
      <w:pPr>
        <w:pStyle w:val="Bulletindent"/>
      </w:pPr>
      <w:r>
        <w:t xml:space="preserve">promptly vacate and </w:t>
      </w:r>
      <w:r w:rsidR="37C58126">
        <w:t>make good</w:t>
      </w:r>
      <w:r w:rsidR="0428F0B0">
        <w:t xml:space="preserve"> or otherwise make safe </w:t>
      </w:r>
      <w:r w:rsidR="37C58126">
        <w:t>the Site</w:t>
      </w:r>
      <w:r>
        <w:t xml:space="preserve"> to the reasonable satisfaction of the Principal</w:t>
      </w:r>
      <w:r w:rsidR="09985CC1">
        <w:t>; and</w:t>
      </w:r>
    </w:p>
    <w:p w14:paraId="6D90E2FC" w14:textId="05FD9E78" w:rsidR="00790EE6" w:rsidRDefault="00790EE6" w:rsidP="000D52B3">
      <w:pPr>
        <w:pStyle w:val="Bulletindent"/>
      </w:pPr>
      <w:r>
        <w:t>immediately deliver to the Principal all Deliverables</w:t>
      </w:r>
      <w:r w:rsidR="00C71DA3" w:rsidRPr="00C71DA3">
        <w:t xml:space="preserve"> prepared or procured by the Shortlisted Respondent or its Associates (whether complete or not) in the format reasonably required by the Principal</w:t>
      </w:r>
      <w:r w:rsidR="00075FB1">
        <w:t>. They must also deliver</w:t>
      </w:r>
      <w:r w:rsidR="009C3206">
        <w:t xml:space="preserve"> all </w:t>
      </w:r>
      <w:r w:rsidR="001C4DA5">
        <w:t>S</w:t>
      </w:r>
      <w:r w:rsidR="009C3206">
        <w:t>ubcontracts entered into with any Subcontractors and all warranties given by any Subcontractor</w:t>
      </w:r>
      <w:r w:rsidR="00C71DA3">
        <w:t xml:space="preserve"> </w:t>
      </w:r>
      <w:r w:rsidR="00C71DA3" w:rsidRPr="00C71DA3">
        <w:t>in relation to the services performed by them for, or materials provided by them which are used on, the Project</w:t>
      </w:r>
      <w:r>
        <w:t>.</w:t>
      </w:r>
    </w:p>
    <w:p w14:paraId="6A60C146" w14:textId="002673FE" w:rsidR="00790EE6" w:rsidRDefault="37C58126" w:rsidP="00AA17AF">
      <w:pPr>
        <w:pStyle w:val="NormalIndent"/>
      </w:pPr>
      <w:r>
        <w:t>The Principal pay</w:t>
      </w:r>
      <w:r w:rsidR="4F3569A6">
        <w:t>s</w:t>
      </w:r>
      <w:r>
        <w:t xml:space="preserve"> the Shortlisted Respondent all amounts due and payable at the date of termination as if the Shortlisted Respondent had been entitled to submit a </w:t>
      </w:r>
      <w:r w:rsidR="1C6DEAC3">
        <w:t>P</w:t>
      </w:r>
      <w:r>
        <w:t xml:space="preserve">ayment </w:t>
      </w:r>
      <w:r w:rsidR="1C6DEAC3">
        <w:t>C</w:t>
      </w:r>
      <w:r>
        <w:t xml:space="preserve">laim on that date. </w:t>
      </w:r>
      <w:r w:rsidR="7003F278">
        <w:t>S</w:t>
      </w:r>
      <w:r>
        <w:t xml:space="preserve">ubject to its obligations in connection with the Early Works DLP, the Shortlisted Respondent </w:t>
      </w:r>
      <w:r w:rsidR="7003F278">
        <w:t>is not entitled</w:t>
      </w:r>
      <w:r>
        <w:t xml:space="preserve"> to complete any part of the Works or to payment of any portion of the TOC Estimate.</w:t>
      </w:r>
    </w:p>
    <w:p w14:paraId="1CE391A5" w14:textId="03961DFA" w:rsidR="00790EE6" w:rsidRDefault="00790EE6" w:rsidP="00AA17AF">
      <w:pPr>
        <w:pStyle w:val="NormalIndent"/>
      </w:pPr>
      <w:r>
        <w:t>If the Principal terminates the ITC Development</w:t>
      </w:r>
      <w:r w:rsidR="00075FB1">
        <w:t xml:space="preserve"> </w:t>
      </w:r>
      <w:r>
        <w:t xml:space="preserve">Deed for convenience, the Principal reserves </w:t>
      </w:r>
      <w:r w:rsidR="00C71DA3">
        <w:t xml:space="preserve">the </w:t>
      </w:r>
      <w:r>
        <w:t>right to</w:t>
      </w:r>
      <w:r w:rsidR="00C71DA3">
        <w:t xml:space="preserve"> </w:t>
      </w:r>
      <w:r w:rsidR="006078B1">
        <w:t>(</w:t>
      </w:r>
      <w:r w:rsidR="00C71DA3">
        <w:t>among other things</w:t>
      </w:r>
      <w:r w:rsidR="006078B1">
        <w:t>)</w:t>
      </w:r>
      <w:r>
        <w:t>:</w:t>
      </w:r>
    </w:p>
    <w:p w14:paraId="61571A0A" w14:textId="34BF416B" w:rsidR="00790EE6" w:rsidRDefault="37C58126" w:rsidP="000D52B3">
      <w:pPr>
        <w:pStyle w:val="Bulletindent"/>
      </w:pPr>
      <w:r>
        <w:t xml:space="preserve">decide to </w:t>
      </w:r>
      <w:r w:rsidR="072F7C05">
        <w:t>dis</w:t>
      </w:r>
      <w:r>
        <w:t xml:space="preserve">continue or </w:t>
      </w:r>
      <w:r w:rsidR="3C59BF0B">
        <w:t xml:space="preserve">otherwise </w:t>
      </w:r>
      <w:r>
        <w:t>suspend the Project</w:t>
      </w:r>
      <w:r w:rsidR="072F7C05">
        <w:t>;</w:t>
      </w:r>
    </w:p>
    <w:p w14:paraId="658EED30" w14:textId="163F10E4" w:rsidR="00790EE6" w:rsidRDefault="37C58126" w:rsidP="000D52B3">
      <w:pPr>
        <w:pStyle w:val="Bulletindent"/>
      </w:pPr>
      <w:r>
        <w:t>change the procurement method for the Project</w:t>
      </w:r>
      <w:r w:rsidR="072F7C05">
        <w:t>;</w:t>
      </w:r>
    </w:p>
    <w:p w14:paraId="40504D9C" w14:textId="7A279D5E" w:rsidR="002A524B" w:rsidRPr="002A524B" w:rsidRDefault="37C58126" w:rsidP="000D52B3">
      <w:pPr>
        <w:pStyle w:val="Bulletindent"/>
      </w:pPr>
      <w:r>
        <w:t>undertake the Delivery Phase Activities itself or through a third party</w:t>
      </w:r>
      <w:r w:rsidR="072F7C05">
        <w:t>; or</w:t>
      </w:r>
    </w:p>
    <w:p w14:paraId="0337C6AE" w14:textId="3ED9B061" w:rsidR="00790EE6" w:rsidRDefault="00790EE6" w:rsidP="000D52B3">
      <w:pPr>
        <w:pStyle w:val="Bulletindent"/>
      </w:pPr>
      <w:r>
        <w:t>negotiate different terms for the delivery of the Project.</w:t>
      </w:r>
    </w:p>
    <w:p w14:paraId="5CA49844" w14:textId="17903A54" w:rsidR="002B5BB6" w:rsidRDefault="5194A849" w:rsidP="004C4B48">
      <w:pPr>
        <w:pStyle w:val="Heading1numbered"/>
      </w:pPr>
      <w:bookmarkStart w:id="1141" w:name="_Toc131426297"/>
      <w:bookmarkStart w:id="1142" w:name="_Toc131430078"/>
      <w:bookmarkStart w:id="1143" w:name="_Toc131430797"/>
      <w:bookmarkStart w:id="1144" w:name="_Toc131431499"/>
      <w:bookmarkStart w:id="1145" w:name="_Toc131489986"/>
      <w:bookmarkStart w:id="1146" w:name="_Toc131502794"/>
      <w:bookmarkStart w:id="1147" w:name="_Toc131511613"/>
      <w:bookmarkStart w:id="1148" w:name="_Toc131523090"/>
      <w:bookmarkStart w:id="1149" w:name="_Toc131552812"/>
      <w:bookmarkStart w:id="1150" w:name="_Toc131553595"/>
      <w:bookmarkStart w:id="1151" w:name="_Toc131554394"/>
      <w:bookmarkStart w:id="1152" w:name="_Toc131555207"/>
      <w:bookmarkStart w:id="1153" w:name="_Toc131620724"/>
      <w:bookmarkStart w:id="1154" w:name="_Toc131621162"/>
      <w:bookmarkStart w:id="1155" w:name="_Toc131621451"/>
      <w:bookmarkStart w:id="1156" w:name="_Toc131690035"/>
      <w:bookmarkStart w:id="1157" w:name="_Toc131426298"/>
      <w:bookmarkStart w:id="1158" w:name="_Toc131430079"/>
      <w:bookmarkStart w:id="1159" w:name="_Toc131430798"/>
      <w:bookmarkStart w:id="1160" w:name="_Toc131431500"/>
      <w:bookmarkStart w:id="1161" w:name="_Toc131489987"/>
      <w:bookmarkStart w:id="1162" w:name="_Toc131502795"/>
      <w:bookmarkStart w:id="1163" w:name="_Toc131511614"/>
      <w:bookmarkStart w:id="1164" w:name="_Toc131523091"/>
      <w:bookmarkStart w:id="1165" w:name="_Toc131552813"/>
      <w:bookmarkStart w:id="1166" w:name="_Toc131553596"/>
      <w:bookmarkStart w:id="1167" w:name="_Toc131554395"/>
      <w:bookmarkStart w:id="1168" w:name="_Toc131555208"/>
      <w:bookmarkStart w:id="1169" w:name="_Toc131620725"/>
      <w:bookmarkStart w:id="1170" w:name="_Toc131621163"/>
      <w:bookmarkStart w:id="1171" w:name="_Toc131621452"/>
      <w:bookmarkStart w:id="1172" w:name="_Toc131690036"/>
      <w:bookmarkStart w:id="1173" w:name="_Toc131426299"/>
      <w:bookmarkStart w:id="1174" w:name="_Toc131430080"/>
      <w:bookmarkStart w:id="1175" w:name="_Toc131430799"/>
      <w:bookmarkStart w:id="1176" w:name="_Toc131431501"/>
      <w:bookmarkStart w:id="1177" w:name="_Toc131489988"/>
      <w:bookmarkStart w:id="1178" w:name="_Toc131502796"/>
      <w:bookmarkStart w:id="1179" w:name="_Toc131511615"/>
      <w:bookmarkStart w:id="1180" w:name="_Toc131523092"/>
      <w:bookmarkStart w:id="1181" w:name="_Toc131552814"/>
      <w:bookmarkStart w:id="1182" w:name="_Toc131553597"/>
      <w:bookmarkStart w:id="1183" w:name="_Toc131554396"/>
      <w:bookmarkStart w:id="1184" w:name="_Toc131555209"/>
      <w:bookmarkStart w:id="1185" w:name="_Toc131620726"/>
      <w:bookmarkStart w:id="1186" w:name="_Toc131621164"/>
      <w:bookmarkStart w:id="1187" w:name="_Toc131621453"/>
      <w:bookmarkStart w:id="1188" w:name="_Toc131690037"/>
      <w:bookmarkStart w:id="1189" w:name="_Toc131426300"/>
      <w:bookmarkStart w:id="1190" w:name="_Toc131430081"/>
      <w:bookmarkStart w:id="1191" w:name="_Toc131430800"/>
      <w:bookmarkStart w:id="1192" w:name="_Toc131431502"/>
      <w:bookmarkStart w:id="1193" w:name="_Toc131489989"/>
      <w:bookmarkStart w:id="1194" w:name="_Toc131502797"/>
      <w:bookmarkStart w:id="1195" w:name="_Toc131511616"/>
      <w:bookmarkStart w:id="1196" w:name="_Toc131523093"/>
      <w:bookmarkStart w:id="1197" w:name="_Toc131552815"/>
      <w:bookmarkStart w:id="1198" w:name="_Toc131553598"/>
      <w:bookmarkStart w:id="1199" w:name="_Toc131554397"/>
      <w:bookmarkStart w:id="1200" w:name="_Toc131555210"/>
      <w:bookmarkStart w:id="1201" w:name="_Toc131620727"/>
      <w:bookmarkStart w:id="1202" w:name="_Toc131621165"/>
      <w:bookmarkStart w:id="1203" w:name="_Toc131621454"/>
      <w:bookmarkStart w:id="1204" w:name="_Toc131690038"/>
      <w:bookmarkStart w:id="1205" w:name="_Toc131426301"/>
      <w:bookmarkStart w:id="1206" w:name="_Toc131430082"/>
      <w:bookmarkStart w:id="1207" w:name="_Toc131430801"/>
      <w:bookmarkStart w:id="1208" w:name="_Toc131431503"/>
      <w:bookmarkStart w:id="1209" w:name="_Toc131489990"/>
      <w:bookmarkStart w:id="1210" w:name="_Toc131502798"/>
      <w:bookmarkStart w:id="1211" w:name="_Toc131511617"/>
      <w:bookmarkStart w:id="1212" w:name="_Toc131523094"/>
      <w:bookmarkStart w:id="1213" w:name="_Toc131552816"/>
      <w:bookmarkStart w:id="1214" w:name="_Toc131553599"/>
      <w:bookmarkStart w:id="1215" w:name="_Toc131554398"/>
      <w:bookmarkStart w:id="1216" w:name="_Toc131555211"/>
      <w:bookmarkStart w:id="1217" w:name="_Toc131620728"/>
      <w:bookmarkStart w:id="1218" w:name="_Toc131621166"/>
      <w:bookmarkStart w:id="1219" w:name="_Toc131621455"/>
      <w:bookmarkStart w:id="1220" w:name="_Toc131690039"/>
      <w:bookmarkStart w:id="1221" w:name="_Toc131426302"/>
      <w:bookmarkStart w:id="1222" w:name="_Toc131430083"/>
      <w:bookmarkStart w:id="1223" w:name="_Toc131430802"/>
      <w:bookmarkStart w:id="1224" w:name="_Toc131431504"/>
      <w:bookmarkStart w:id="1225" w:name="_Toc131489991"/>
      <w:bookmarkStart w:id="1226" w:name="_Toc131502799"/>
      <w:bookmarkStart w:id="1227" w:name="_Toc131511618"/>
      <w:bookmarkStart w:id="1228" w:name="_Toc131523095"/>
      <w:bookmarkStart w:id="1229" w:name="_Toc131552817"/>
      <w:bookmarkStart w:id="1230" w:name="_Toc131553600"/>
      <w:bookmarkStart w:id="1231" w:name="_Toc131554399"/>
      <w:bookmarkStart w:id="1232" w:name="_Toc131555212"/>
      <w:bookmarkStart w:id="1233" w:name="_Toc131620729"/>
      <w:bookmarkStart w:id="1234" w:name="_Toc131621167"/>
      <w:bookmarkStart w:id="1235" w:name="_Toc131621456"/>
      <w:bookmarkStart w:id="1236" w:name="_Toc131690040"/>
      <w:bookmarkStart w:id="1237" w:name="_Toc131426303"/>
      <w:bookmarkStart w:id="1238" w:name="_Toc131430084"/>
      <w:bookmarkStart w:id="1239" w:name="_Toc131430803"/>
      <w:bookmarkStart w:id="1240" w:name="_Toc131431505"/>
      <w:bookmarkStart w:id="1241" w:name="_Toc131489992"/>
      <w:bookmarkStart w:id="1242" w:name="_Toc131502800"/>
      <w:bookmarkStart w:id="1243" w:name="_Toc131511619"/>
      <w:bookmarkStart w:id="1244" w:name="_Toc131523096"/>
      <w:bookmarkStart w:id="1245" w:name="_Toc131552818"/>
      <w:bookmarkStart w:id="1246" w:name="_Toc131553601"/>
      <w:bookmarkStart w:id="1247" w:name="_Toc131554400"/>
      <w:bookmarkStart w:id="1248" w:name="_Toc131555213"/>
      <w:bookmarkStart w:id="1249" w:name="_Toc131620730"/>
      <w:bookmarkStart w:id="1250" w:name="_Toc131621168"/>
      <w:bookmarkStart w:id="1251" w:name="_Toc131621457"/>
      <w:bookmarkStart w:id="1252" w:name="_Toc131690041"/>
      <w:bookmarkStart w:id="1253" w:name="_Toc131426304"/>
      <w:bookmarkStart w:id="1254" w:name="_Toc131430085"/>
      <w:bookmarkStart w:id="1255" w:name="_Toc131430804"/>
      <w:bookmarkStart w:id="1256" w:name="_Toc131431506"/>
      <w:bookmarkStart w:id="1257" w:name="_Toc131489993"/>
      <w:bookmarkStart w:id="1258" w:name="_Toc131502801"/>
      <w:bookmarkStart w:id="1259" w:name="_Toc131511620"/>
      <w:bookmarkStart w:id="1260" w:name="_Toc131523097"/>
      <w:bookmarkStart w:id="1261" w:name="_Toc131552819"/>
      <w:bookmarkStart w:id="1262" w:name="_Toc131553602"/>
      <w:bookmarkStart w:id="1263" w:name="_Toc131554401"/>
      <w:bookmarkStart w:id="1264" w:name="_Toc131555214"/>
      <w:bookmarkStart w:id="1265" w:name="_Toc131620731"/>
      <w:bookmarkStart w:id="1266" w:name="_Toc131621169"/>
      <w:bookmarkStart w:id="1267" w:name="_Toc131621458"/>
      <w:bookmarkStart w:id="1268" w:name="_Toc131690042"/>
      <w:bookmarkStart w:id="1269" w:name="_Toc59631303"/>
      <w:bookmarkStart w:id="1270" w:name="_Toc65769457"/>
      <w:bookmarkStart w:id="1271" w:name="_Toc65770220"/>
      <w:bookmarkStart w:id="1272" w:name="_Toc59631305"/>
      <w:bookmarkStart w:id="1273" w:name="_Toc65769459"/>
      <w:bookmarkStart w:id="1274" w:name="_Toc65770222"/>
      <w:bookmarkStart w:id="1275" w:name="_Toc59631321"/>
      <w:bookmarkStart w:id="1276" w:name="_Toc65769475"/>
      <w:bookmarkStart w:id="1277" w:name="_Toc65770238"/>
      <w:bookmarkStart w:id="1278" w:name="_Toc59631326"/>
      <w:bookmarkStart w:id="1279" w:name="_Toc65769480"/>
      <w:bookmarkStart w:id="1280" w:name="_Toc65770243"/>
      <w:bookmarkStart w:id="1281" w:name="_Toc59631327"/>
      <w:bookmarkStart w:id="1282" w:name="_Toc65769481"/>
      <w:bookmarkStart w:id="1283" w:name="_Toc65770244"/>
      <w:bookmarkStart w:id="1284" w:name="_Toc59631329"/>
      <w:bookmarkStart w:id="1285" w:name="_Toc65769483"/>
      <w:bookmarkStart w:id="1286" w:name="_Toc65770246"/>
      <w:bookmarkStart w:id="1287" w:name="_Toc59631332"/>
      <w:bookmarkStart w:id="1288" w:name="_Toc65769486"/>
      <w:bookmarkStart w:id="1289" w:name="_Toc65770249"/>
      <w:bookmarkStart w:id="1290" w:name="_Toc59631333"/>
      <w:bookmarkStart w:id="1291" w:name="_Toc65769487"/>
      <w:bookmarkStart w:id="1292" w:name="_Toc65770250"/>
      <w:bookmarkStart w:id="1293" w:name="_Toc59631336"/>
      <w:bookmarkStart w:id="1294" w:name="_Toc65769490"/>
      <w:bookmarkStart w:id="1295" w:name="_Toc65770253"/>
      <w:bookmarkStart w:id="1296" w:name="_Toc59631339"/>
      <w:bookmarkStart w:id="1297" w:name="_Toc65769493"/>
      <w:bookmarkStart w:id="1298" w:name="_Toc65770256"/>
      <w:bookmarkStart w:id="1299" w:name="_Toc59631340"/>
      <w:bookmarkStart w:id="1300" w:name="_Toc65769494"/>
      <w:bookmarkStart w:id="1301" w:name="_Toc65770257"/>
      <w:bookmarkStart w:id="1302" w:name="_Toc59631341"/>
      <w:bookmarkStart w:id="1303" w:name="_Toc65769495"/>
      <w:bookmarkStart w:id="1304" w:name="_Toc65770258"/>
      <w:bookmarkStart w:id="1305" w:name="_Toc59631347"/>
      <w:bookmarkStart w:id="1306" w:name="_Toc65769501"/>
      <w:bookmarkStart w:id="1307" w:name="_Toc65770264"/>
      <w:bookmarkStart w:id="1308" w:name="_Toc59631348"/>
      <w:bookmarkStart w:id="1309" w:name="_Toc65769502"/>
      <w:bookmarkStart w:id="1310" w:name="_Toc65770265"/>
      <w:bookmarkStart w:id="1311" w:name="_Toc59631349"/>
      <w:bookmarkStart w:id="1312" w:name="_Toc65769503"/>
      <w:bookmarkStart w:id="1313" w:name="_Toc65770266"/>
      <w:bookmarkStart w:id="1314" w:name="_Toc59631354"/>
      <w:bookmarkStart w:id="1315" w:name="_Toc65769508"/>
      <w:bookmarkStart w:id="1316" w:name="_Toc65770271"/>
      <w:bookmarkStart w:id="1317" w:name="_Toc59631364"/>
      <w:bookmarkStart w:id="1318" w:name="_Toc65769518"/>
      <w:bookmarkStart w:id="1319" w:name="_Toc65770281"/>
      <w:bookmarkStart w:id="1320" w:name="_Toc59631365"/>
      <w:bookmarkStart w:id="1321" w:name="_Toc65769519"/>
      <w:bookmarkStart w:id="1322" w:name="_Toc65770282"/>
      <w:bookmarkStart w:id="1323" w:name="_Toc59631367"/>
      <w:bookmarkStart w:id="1324" w:name="_Toc65769521"/>
      <w:bookmarkStart w:id="1325" w:name="_Toc65770284"/>
      <w:bookmarkStart w:id="1326" w:name="_Toc59631378"/>
      <w:bookmarkStart w:id="1327" w:name="_Toc65769532"/>
      <w:bookmarkStart w:id="1328" w:name="_Toc65770295"/>
      <w:bookmarkStart w:id="1329" w:name="_Toc59631379"/>
      <w:bookmarkStart w:id="1330" w:name="_Toc65769533"/>
      <w:bookmarkStart w:id="1331" w:name="_Toc65770296"/>
      <w:bookmarkStart w:id="1332" w:name="_Toc59631396"/>
      <w:bookmarkStart w:id="1333" w:name="_Toc65769550"/>
      <w:bookmarkStart w:id="1334" w:name="_Toc65770313"/>
      <w:bookmarkStart w:id="1335" w:name="_Toc59631402"/>
      <w:bookmarkStart w:id="1336" w:name="_Toc65769556"/>
      <w:bookmarkStart w:id="1337" w:name="_Toc65770319"/>
      <w:bookmarkStart w:id="1338" w:name="_Toc59631409"/>
      <w:bookmarkStart w:id="1339" w:name="_Toc65769563"/>
      <w:bookmarkStart w:id="1340" w:name="_Toc65770326"/>
      <w:bookmarkStart w:id="1341" w:name="_Toc59631410"/>
      <w:bookmarkStart w:id="1342" w:name="_Toc65769564"/>
      <w:bookmarkStart w:id="1343" w:name="_Toc65770327"/>
      <w:bookmarkStart w:id="1344" w:name="_Toc59631412"/>
      <w:bookmarkStart w:id="1345" w:name="_Toc65769566"/>
      <w:bookmarkStart w:id="1346" w:name="_Toc65770329"/>
      <w:bookmarkStart w:id="1347" w:name="_Toc131426305"/>
      <w:bookmarkStart w:id="1348" w:name="_Toc131430086"/>
      <w:bookmarkStart w:id="1349" w:name="_Toc131430805"/>
      <w:bookmarkStart w:id="1350" w:name="_Toc131431507"/>
      <w:bookmarkStart w:id="1351" w:name="_Toc131489994"/>
      <w:bookmarkStart w:id="1352" w:name="_Toc131502802"/>
      <w:bookmarkStart w:id="1353" w:name="_Toc131511621"/>
      <w:bookmarkStart w:id="1354" w:name="_Toc131523098"/>
      <w:bookmarkStart w:id="1355" w:name="_Toc131552820"/>
      <w:bookmarkStart w:id="1356" w:name="_Toc131553603"/>
      <w:bookmarkStart w:id="1357" w:name="_Toc131554402"/>
      <w:bookmarkStart w:id="1358" w:name="_Toc131555215"/>
      <w:bookmarkStart w:id="1359" w:name="_Toc131620732"/>
      <w:bookmarkStart w:id="1360" w:name="_Toc131621170"/>
      <w:bookmarkStart w:id="1361" w:name="_Toc131621459"/>
      <w:bookmarkStart w:id="1362" w:name="_Toc131690043"/>
      <w:bookmarkStart w:id="1363" w:name="_Toc65770335"/>
      <w:bookmarkStart w:id="1364" w:name="_Toc131426306"/>
      <w:bookmarkStart w:id="1365" w:name="_Toc131430087"/>
      <w:bookmarkStart w:id="1366" w:name="_Toc131430806"/>
      <w:bookmarkStart w:id="1367" w:name="_Toc131431508"/>
      <w:bookmarkStart w:id="1368" w:name="_Toc131489995"/>
      <w:bookmarkStart w:id="1369" w:name="_Toc131502803"/>
      <w:bookmarkStart w:id="1370" w:name="_Toc131511622"/>
      <w:bookmarkStart w:id="1371" w:name="_Toc131523099"/>
      <w:bookmarkStart w:id="1372" w:name="_Toc131552821"/>
      <w:bookmarkStart w:id="1373" w:name="_Toc131553604"/>
      <w:bookmarkStart w:id="1374" w:name="_Toc131554403"/>
      <w:bookmarkStart w:id="1375" w:name="_Toc131555216"/>
      <w:bookmarkStart w:id="1376" w:name="_Toc131620733"/>
      <w:bookmarkStart w:id="1377" w:name="_Toc131621171"/>
      <w:bookmarkStart w:id="1378" w:name="_Toc131621460"/>
      <w:bookmarkStart w:id="1379" w:name="_Toc131690044"/>
      <w:bookmarkStart w:id="1380" w:name="_Toc131426307"/>
      <w:bookmarkStart w:id="1381" w:name="_Toc131430088"/>
      <w:bookmarkStart w:id="1382" w:name="_Toc131430807"/>
      <w:bookmarkStart w:id="1383" w:name="_Toc131431509"/>
      <w:bookmarkStart w:id="1384" w:name="_Toc131489996"/>
      <w:bookmarkStart w:id="1385" w:name="_Toc131502804"/>
      <w:bookmarkStart w:id="1386" w:name="_Toc131511623"/>
      <w:bookmarkStart w:id="1387" w:name="_Toc131523100"/>
      <w:bookmarkStart w:id="1388" w:name="_Toc131552822"/>
      <w:bookmarkStart w:id="1389" w:name="_Toc131553605"/>
      <w:bookmarkStart w:id="1390" w:name="_Toc131554404"/>
      <w:bookmarkStart w:id="1391" w:name="_Toc131555217"/>
      <w:bookmarkStart w:id="1392" w:name="_Toc131620734"/>
      <w:bookmarkStart w:id="1393" w:name="_Toc131621172"/>
      <w:bookmarkStart w:id="1394" w:name="_Toc131621461"/>
      <w:bookmarkStart w:id="1395" w:name="_Toc131690045"/>
      <w:bookmarkStart w:id="1396" w:name="_Toc131426308"/>
      <w:bookmarkStart w:id="1397" w:name="_Toc131430089"/>
      <w:bookmarkStart w:id="1398" w:name="_Toc131430808"/>
      <w:bookmarkStart w:id="1399" w:name="_Toc131431510"/>
      <w:bookmarkStart w:id="1400" w:name="_Toc131489997"/>
      <w:bookmarkStart w:id="1401" w:name="_Toc131502805"/>
      <w:bookmarkStart w:id="1402" w:name="_Toc131511624"/>
      <w:bookmarkStart w:id="1403" w:name="_Toc131523101"/>
      <w:bookmarkStart w:id="1404" w:name="_Toc131552823"/>
      <w:bookmarkStart w:id="1405" w:name="_Toc131553606"/>
      <w:bookmarkStart w:id="1406" w:name="_Toc131554405"/>
      <w:bookmarkStart w:id="1407" w:name="_Toc131555218"/>
      <w:bookmarkStart w:id="1408" w:name="_Toc131620735"/>
      <w:bookmarkStart w:id="1409" w:name="_Toc131621173"/>
      <w:bookmarkStart w:id="1410" w:name="_Toc131621462"/>
      <w:bookmarkStart w:id="1411" w:name="_Toc131690046"/>
      <w:bookmarkStart w:id="1412" w:name="_Toc131426309"/>
      <w:bookmarkStart w:id="1413" w:name="_Toc131430090"/>
      <w:bookmarkStart w:id="1414" w:name="_Toc131430809"/>
      <w:bookmarkStart w:id="1415" w:name="_Toc131431511"/>
      <w:bookmarkStart w:id="1416" w:name="_Toc131489998"/>
      <w:bookmarkStart w:id="1417" w:name="_Toc131502806"/>
      <w:bookmarkStart w:id="1418" w:name="_Toc131511625"/>
      <w:bookmarkStart w:id="1419" w:name="_Toc131523102"/>
      <w:bookmarkStart w:id="1420" w:name="_Toc131552824"/>
      <w:bookmarkStart w:id="1421" w:name="_Toc131553607"/>
      <w:bookmarkStart w:id="1422" w:name="_Toc131554406"/>
      <w:bookmarkStart w:id="1423" w:name="_Toc131555219"/>
      <w:bookmarkStart w:id="1424" w:name="_Toc131620736"/>
      <w:bookmarkStart w:id="1425" w:name="_Toc131621174"/>
      <w:bookmarkStart w:id="1426" w:name="_Toc131621463"/>
      <w:bookmarkStart w:id="1427" w:name="_Toc131690047"/>
      <w:bookmarkStart w:id="1428" w:name="_Toc131426310"/>
      <w:bookmarkStart w:id="1429" w:name="_Toc131430091"/>
      <w:bookmarkStart w:id="1430" w:name="_Toc131430810"/>
      <w:bookmarkStart w:id="1431" w:name="_Toc131431512"/>
      <w:bookmarkStart w:id="1432" w:name="_Toc131489999"/>
      <w:bookmarkStart w:id="1433" w:name="_Toc131502807"/>
      <w:bookmarkStart w:id="1434" w:name="_Toc131511626"/>
      <w:bookmarkStart w:id="1435" w:name="_Toc131523103"/>
      <w:bookmarkStart w:id="1436" w:name="_Toc131552825"/>
      <w:bookmarkStart w:id="1437" w:name="_Toc131553608"/>
      <w:bookmarkStart w:id="1438" w:name="_Toc131554407"/>
      <w:bookmarkStart w:id="1439" w:name="_Toc131555220"/>
      <w:bookmarkStart w:id="1440" w:name="_Toc131620737"/>
      <w:bookmarkStart w:id="1441" w:name="_Toc131621175"/>
      <w:bookmarkStart w:id="1442" w:name="_Toc131621464"/>
      <w:bookmarkStart w:id="1443" w:name="_Toc131690048"/>
      <w:bookmarkStart w:id="1444" w:name="_Toc131426311"/>
      <w:bookmarkStart w:id="1445" w:name="_Toc131430092"/>
      <w:bookmarkStart w:id="1446" w:name="_Toc131430811"/>
      <w:bookmarkStart w:id="1447" w:name="_Toc131431513"/>
      <w:bookmarkStart w:id="1448" w:name="_Toc131490000"/>
      <w:bookmarkStart w:id="1449" w:name="_Toc131502808"/>
      <w:bookmarkStart w:id="1450" w:name="_Toc131511627"/>
      <w:bookmarkStart w:id="1451" w:name="_Toc131523104"/>
      <w:bookmarkStart w:id="1452" w:name="_Toc131552826"/>
      <w:bookmarkStart w:id="1453" w:name="_Toc131553609"/>
      <w:bookmarkStart w:id="1454" w:name="_Toc131554408"/>
      <w:bookmarkStart w:id="1455" w:name="_Toc131555221"/>
      <w:bookmarkStart w:id="1456" w:name="_Toc131620738"/>
      <w:bookmarkStart w:id="1457" w:name="_Toc131621176"/>
      <w:bookmarkStart w:id="1458" w:name="_Toc131621465"/>
      <w:bookmarkStart w:id="1459" w:name="_Toc131690049"/>
      <w:bookmarkStart w:id="1460" w:name="_Toc131426312"/>
      <w:bookmarkStart w:id="1461" w:name="_Toc131430093"/>
      <w:bookmarkStart w:id="1462" w:name="_Toc131430812"/>
      <w:bookmarkStart w:id="1463" w:name="_Toc131431514"/>
      <w:bookmarkStart w:id="1464" w:name="_Toc131490001"/>
      <w:bookmarkStart w:id="1465" w:name="_Toc131502809"/>
      <w:bookmarkStart w:id="1466" w:name="_Toc131511628"/>
      <w:bookmarkStart w:id="1467" w:name="_Toc131523105"/>
      <w:bookmarkStart w:id="1468" w:name="_Toc131552827"/>
      <w:bookmarkStart w:id="1469" w:name="_Toc131553610"/>
      <w:bookmarkStart w:id="1470" w:name="_Toc131554409"/>
      <w:bookmarkStart w:id="1471" w:name="_Toc131555222"/>
      <w:bookmarkStart w:id="1472" w:name="_Toc131620739"/>
      <w:bookmarkStart w:id="1473" w:name="_Toc131621177"/>
      <w:bookmarkStart w:id="1474" w:name="_Toc131621466"/>
      <w:bookmarkStart w:id="1475" w:name="_Toc131690050"/>
      <w:bookmarkStart w:id="1476" w:name="_Toc131426313"/>
      <w:bookmarkStart w:id="1477" w:name="_Toc131430094"/>
      <w:bookmarkStart w:id="1478" w:name="_Toc131430813"/>
      <w:bookmarkStart w:id="1479" w:name="_Toc131431515"/>
      <w:bookmarkStart w:id="1480" w:name="_Toc131490002"/>
      <w:bookmarkStart w:id="1481" w:name="_Toc131502810"/>
      <w:bookmarkStart w:id="1482" w:name="_Toc131511629"/>
      <w:bookmarkStart w:id="1483" w:name="_Toc131523106"/>
      <w:bookmarkStart w:id="1484" w:name="_Toc131552828"/>
      <w:bookmarkStart w:id="1485" w:name="_Toc131553611"/>
      <w:bookmarkStart w:id="1486" w:name="_Toc131554410"/>
      <w:bookmarkStart w:id="1487" w:name="_Toc131555223"/>
      <w:bookmarkStart w:id="1488" w:name="_Toc131620740"/>
      <w:bookmarkStart w:id="1489" w:name="_Toc131621178"/>
      <w:bookmarkStart w:id="1490" w:name="_Toc131621467"/>
      <w:bookmarkStart w:id="1491" w:name="_Toc131690051"/>
      <w:bookmarkStart w:id="1492" w:name="_Toc131426314"/>
      <w:bookmarkStart w:id="1493" w:name="_Toc131430095"/>
      <w:bookmarkStart w:id="1494" w:name="_Toc131430814"/>
      <w:bookmarkStart w:id="1495" w:name="_Toc131431516"/>
      <w:bookmarkStart w:id="1496" w:name="_Toc131490003"/>
      <w:bookmarkStart w:id="1497" w:name="_Toc131502811"/>
      <w:bookmarkStart w:id="1498" w:name="_Toc131511630"/>
      <w:bookmarkStart w:id="1499" w:name="_Toc131523107"/>
      <w:bookmarkStart w:id="1500" w:name="_Toc131552829"/>
      <w:bookmarkStart w:id="1501" w:name="_Toc131553612"/>
      <w:bookmarkStart w:id="1502" w:name="_Toc131554411"/>
      <w:bookmarkStart w:id="1503" w:name="_Toc131555224"/>
      <w:bookmarkStart w:id="1504" w:name="_Toc131620741"/>
      <w:bookmarkStart w:id="1505" w:name="_Toc131621179"/>
      <w:bookmarkStart w:id="1506" w:name="_Toc131621468"/>
      <w:bookmarkStart w:id="1507" w:name="_Toc131690052"/>
      <w:bookmarkStart w:id="1508" w:name="_Toc131426315"/>
      <w:bookmarkStart w:id="1509" w:name="_Toc131430096"/>
      <w:bookmarkStart w:id="1510" w:name="_Toc131430815"/>
      <w:bookmarkStart w:id="1511" w:name="_Toc131431517"/>
      <w:bookmarkStart w:id="1512" w:name="_Toc131490004"/>
      <w:bookmarkStart w:id="1513" w:name="_Toc131502812"/>
      <w:bookmarkStart w:id="1514" w:name="_Toc131511631"/>
      <w:bookmarkStart w:id="1515" w:name="_Toc131523108"/>
      <w:bookmarkStart w:id="1516" w:name="_Toc131552830"/>
      <w:bookmarkStart w:id="1517" w:name="_Toc131553613"/>
      <w:bookmarkStart w:id="1518" w:name="_Toc131554412"/>
      <w:bookmarkStart w:id="1519" w:name="_Toc131555225"/>
      <w:bookmarkStart w:id="1520" w:name="_Toc131620742"/>
      <w:bookmarkStart w:id="1521" w:name="_Toc131621180"/>
      <w:bookmarkStart w:id="1522" w:name="_Toc131621469"/>
      <w:bookmarkStart w:id="1523" w:name="_Toc131690053"/>
      <w:bookmarkStart w:id="1524" w:name="_Toc131426316"/>
      <w:bookmarkStart w:id="1525" w:name="_Toc131430097"/>
      <w:bookmarkStart w:id="1526" w:name="_Toc131430816"/>
      <w:bookmarkStart w:id="1527" w:name="_Toc131431518"/>
      <w:bookmarkStart w:id="1528" w:name="_Toc131490005"/>
      <w:bookmarkStart w:id="1529" w:name="_Toc131502813"/>
      <w:bookmarkStart w:id="1530" w:name="_Toc131511632"/>
      <w:bookmarkStart w:id="1531" w:name="_Toc131523109"/>
      <w:bookmarkStart w:id="1532" w:name="_Toc131552831"/>
      <w:bookmarkStart w:id="1533" w:name="_Toc131553614"/>
      <w:bookmarkStart w:id="1534" w:name="_Toc131554413"/>
      <w:bookmarkStart w:id="1535" w:name="_Toc131555226"/>
      <w:bookmarkStart w:id="1536" w:name="_Toc131620743"/>
      <w:bookmarkStart w:id="1537" w:name="_Toc131621181"/>
      <w:bookmarkStart w:id="1538" w:name="_Toc131621470"/>
      <w:bookmarkStart w:id="1539" w:name="_Toc131690054"/>
      <w:bookmarkStart w:id="1540" w:name="_Toc131426317"/>
      <w:bookmarkStart w:id="1541" w:name="_Toc131430098"/>
      <w:bookmarkStart w:id="1542" w:name="_Toc131430817"/>
      <w:bookmarkStart w:id="1543" w:name="_Toc131431519"/>
      <w:bookmarkStart w:id="1544" w:name="_Toc131490006"/>
      <w:bookmarkStart w:id="1545" w:name="_Toc131502814"/>
      <w:bookmarkStart w:id="1546" w:name="_Toc131511633"/>
      <w:bookmarkStart w:id="1547" w:name="_Toc131523110"/>
      <w:bookmarkStart w:id="1548" w:name="_Toc131552832"/>
      <w:bookmarkStart w:id="1549" w:name="_Toc131553615"/>
      <w:bookmarkStart w:id="1550" w:name="_Toc131554414"/>
      <w:bookmarkStart w:id="1551" w:name="_Toc131555227"/>
      <w:bookmarkStart w:id="1552" w:name="_Toc131620744"/>
      <w:bookmarkStart w:id="1553" w:name="_Toc131621182"/>
      <w:bookmarkStart w:id="1554" w:name="_Toc131621471"/>
      <w:bookmarkStart w:id="1555" w:name="_Toc131690055"/>
      <w:bookmarkStart w:id="1556" w:name="_Toc131426318"/>
      <w:bookmarkStart w:id="1557" w:name="_Toc131430099"/>
      <w:bookmarkStart w:id="1558" w:name="_Toc131430818"/>
      <w:bookmarkStart w:id="1559" w:name="_Toc131431520"/>
      <w:bookmarkStart w:id="1560" w:name="_Toc131490007"/>
      <w:bookmarkStart w:id="1561" w:name="_Toc131502815"/>
      <w:bookmarkStart w:id="1562" w:name="_Toc131511634"/>
      <w:bookmarkStart w:id="1563" w:name="_Toc131523111"/>
      <w:bookmarkStart w:id="1564" w:name="_Toc131552833"/>
      <w:bookmarkStart w:id="1565" w:name="_Toc131553616"/>
      <w:bookmarkStart w:id="1566" w:name="_Toc131554415"/>
      <w:bookmarkStart w:id="1567" w:name="_Toc131555228"/>
      <w:bookmarkStart w:id="1568" w:name="_Toc131620745"/>
      <w:bookmarkStart w:id="1569" w:name="_Toc131621183"/>
      <w:bookmarkStart w:id="1570" w:name="_Toc131621472"/>
      <w:bookmarkStart w:id="1571" w:name="_Toc131690056"/>
      <w:bookmarkStart w:id="1572" w:name="_Toc131426319"/>
      <w:bookmarkStart w:id="1573" w:name="_Toc131430100"/>
      <w:bookmarkStart w:id="1574" w:name="_Toc131430819"/>
      <w:bookmarkStart w:id="1575" w:name="_Toc131431521"/>
      <w:bookmarkStart w:id="1576" w:name="_Toc131490008"/>
      <w:bookmarkStart w:id="1577" w:name="_Toc131502816"/>
      <w:bookmarkStart w:id="1578" w:name="_Toc131511635"/>
      <w:bookmarkStart w:id="1579" w:name="_Toc131523112"/>
      <w:bookmarkStart w:id="1580" w:name="_Toc131552834"/>
      <w:bookmarkStart w:id="1581" w:name="_Toc131553617"/>
      <w:bookmarkStart w:id="1582" w:name="_Toc131554416"/>
      <w:bookmarkStart w:id="1583" w:name="_Toc131555229"/>
      <w:bookmarkStart w:id="1584" w:name="_Toc131620746"/>
      <w:bookmarkStart w:id="1585" w:name="_Toc131621184"/>
      <w:bookmarkStart w:id="1586" w:name="_Toc131621473"/>
      <w:bookmarkStart w:id="1587" w:name="_Toc131690057"/>
      <w:bookmarkStart w:id="1588" w:name="_Toc131426320"/>
      <w:bookmarkStart w:id="1589" w:name="_Toc131430101"/>
      <w:bookmarkStart w:id="1590" w:name="_Toc131430820"/>
      <w:bookmarkStart w:id="1591" w:name="_Toc131431522"/>
      <w:bookmarkStart w:id="1592" w:name="_Toc131490009"/>
      <w:bookmarkStart w:id="1593" w:name="_Toc131502817"/>
      <w:bookmarkStart w:id="1594" w:name="_Toc131511636"/>
      <w:bookmarkStart w:id="1595" w:name="_Toc131523113"/>
      <w:bookmarkStart w:id="1596" w:name="_Toc131552835"/>
      <w:bookmarkStart w:id="1597" w:name="_Toc131553618"/>
      <w:bookmarkStart w:id="1598" w:name="_Toc131554417"/>
      <w:bookmarkStart w:id="1599" w:name="_Toc131555230"/>
      <w:bookmarkStart w:id="1600" w:name="_Toc131620747"/>
      <w:bookmarkStart w:id="1601" w:name="_Toc131621185"/>
      <w:bookmarkStart w:id="1602" w:name="_Toc131621474"/>
      <w:bookmarkStart w:id="1603" w:name="_Toc131690058"/>
      <w:bookmarkStart w:id="1604" w:name="_Toc131426321"/>
      <w:bookmarkStart w:id="1605" w:name="_Toc131430102"/>
      <w:bookmarkStart w:id="1606" w:name="_Toc131430821"/>
      <w:bookmarkStart w:id="1607" w:name="_Toc131431523"/>
      <w:bookmarkStart w:id="1608" w:name="_Toc131490010"/>
      <w:bookmarkStart w:id="1609" w:name="_Toc131502818"/>
      <w:bookmarkStart w:id="1610" w:name="_Toc131511637"/>
      <w:bookmarkStart w:id="1611" w:name="_Toc131523114"/>
      <w:bookmarkStart w:id="1612" w:name="_Toc131552836"/>
      <w:bookmarkStart w:id="1613" w:name="_Toc131553619"/>
      <w:bookmarkStart w:id="1614" w:name="_Toc131554418"/>
      <w:bookmarkStart w:id="1615" w:name="_Toc131555231"/>
      <w:bookmarkStart w:id="1616" w:name="_Toc131620748"/>
      <w:bookmarkStart w:id="1617" w:name="_Toc131621186"/>
      <w:bookmarkStart w:id="1618" w:name="_Toc131621475"/>
      <w:bookmarkStart w:id="1619" w:name="_Toc131690059"/>
      <w:bookmarkStart w:id="1620" w:name="_Toc131426322"/>
      <w:bookmarkStart w:id="1621" w:name="_Toc131430103"/>
      <w:bookmarkStart w:id="1622" w:name="_Toc131430822"/>
      <w:bookmarkStart w:id="1623" w:name="_Toc131431524"/>
      <w:bookmarkStart w:id="1624" w:name="_Toc131490011"/>
      <w:bookmarkStart w:id="1625" w:name="_Toc131502819"/>
      <w:bookmarkStart w:id="1626" w:name="_Toc131511638"/>
      <w:bookmarkStart w:id="1627" w:name="_Toc131523115"/>
      <w:bookmarkStart w:id="1628" w:name="_Toc131552837"/>
      <w:bookmarkStart w:id="1629" w:name="_Toc131553620"/>
      <w:bookmarkStart w:id="1630" w:name="_Toc131554419"/>
      <w:bookmarkStart w:id="1631" w:name="_Toc131555232"/>
      <w:bookmarkStart w:id="1632" w:name="_Toc131620749"/>
      <w:bookmarkStart w:id="1633" w:name="_Toc131621187"/>
      <w:bookmarkStart w:id="1634" w:name="_Toc131621476"/>
      <w:bookmarkStart w:id="1635" w:name="_Toc131690060"/>
      <w:bookmarkStart w:id="1636" w:name="_Toc131426323"/>
      <w:bookmarkStart w:id="1637" w:name="_Toc131430104"/>
      <w:bookmarkStart w:id="1638" w:name="_Toc131430823"/>
      <w:bookmarkStart w:id="1639" w:name="_Toc131431525"/>
      <w:bookmarkStart w:id="1640" w:name="_Toc131490012"/>
      <w:bookmarkStart w:id="1641" w:name="_Toc131502820"/>
      <w:bookmarkStart w:id="1642" w:name="_Toc131511639"/>
      <w:bookmarkStart w:id="1643" w:name="_Toc131523116"/>
      <w:bookmarkStart w:id="1644" w:name="_Toc131552838"/>
      <w:bookmarkStart w:id="1645" w:name="_Toc131553621"/>
      <w:bookmarkStart w:id="1646" w:name="_Toc131554420"/>
      <w:bookmarkStart w:id="1647" w:name="_Toc131555233"/>
      <w:bookmarkStart w:id="1648" w:name="_Toc131620750"/>
      <w:bookmarkStart w:id="1649" w:name="_Toc131621188"/>
      <w:bookmarkStart w:id="1650" w:name="_Toc131621477"/>
      <w:bookmarkStart w:id="1651" w:name="_Toc131690061"/>
      <w:bookmarkStart w:id="1652" w:name="_Toc131426324"/>
      <w:bookmarkStart w:id="1653" w:name="_Toc131430105"/>
      <w:bookmarkStart w:id="1654" w:name="_Toc131430824"/>
      <w:bookmarkStart w:id="1655" w:name="_Toc131431526"/>
      <w:bookmarkStart w:id="1656" w:name="_Toc131490013"/>
      <w:bookmarkStart w:id="1657" w:name="_Toc131502821"/>
      <w:bookmarkStart w:id="1658" w:name="_Toc131511640"/>
      <w:bookmarkStart w:id="1659" w:name="_Toc131523117"/>
      <w:bookmarkStart w:id="1660" w:name="_Toc131552839"/>
      <w:bookmarkStart w:id="1661" w:name="_Toc131553622"/>
      <w:bookmarkStart w:id="1662" w:name="_Toc131554421"/>
      <w:bookmarkStart w:id="1663" w:name="_Toc131555234"/>
      <w:bookmarkStart w:id="1664" w:name="_Toc131620751"/>
      <w:bookmarkStart w:id="1665" w:name="_Toc131621189"/>
      <w:bookmarkStart w:id="1666" w:name="_Toc131621478"/>
      <w:bookmarkStart w:id="1667" w:name="_Toc131690062"/>
      <w:bookmarkStart w:id="1668" w:name="_Toc131426325"/>
      <w:bookmarkStart w:id="1669" w:name="_Toc131430106"/>
      <w:bookmarkStart w:id="1670" w:name="_Toc131430825"/>
      <w:bookmarkStart w:id="1671" w:name="_Toc131431527"/>
      <w:bookmarkStart w:id="1672" w:name="_Toc131490014"/>
      <w:bookmarkStart w:id="1673" w:name="_Toc131502822"/>
      <w:bookmarkStart w:id="1674" w:name="_Toc131511641"/>
      <w:bookmarkStart w:id="1675" w:name="_Toc131523118"/>
      <w:bookmarkStart w:id="1676" w:name="_Toc131552840"/>
      <w:bookmarkStart w:id="1677" w:name="_Toc131553623"/>
      <w:bookmarkStart w:id="1678" w:name="_Toc131554422"/>
      <w:bookmarkStart w:id="1679" w:name="_Toc131555235"/>
      <w:bookmarkStart w:id="1680" w:name="_Toc131620752"/>
      <w:bookmarkStart w:id="1681" w:name="_Toc131621190"/>
      <w:bookmarkStart w:id="1682" w:name="_Toc131621479"/>
      <w:bookmarkStart w:id="1683" w:name="_Toc131690063"/>
      <w:bookmarkStart w:id="1684" w:name="_Toc131426326"/>
      <w:bookmarkStart w:id="1685" w:name="_Toc131430107"/>
      <w:bookmarkStart w:id="1686" w:name="_Toc131430826"/>
      <w:bookmarkStart w:id="1687" w:name="_Toc131431528"/>
      <w:bookmarkStart w:id="1688" w:name="_Toc131490015"/>
      <w:bookmarkStart w:id="1689" w:name="_Toc131502823"/>
      <w:bookmarkStart w:id="1690" w:name="_Toc131511642"/>
      <w:bookmarkStart w:id="1691" w:name="_Toc131523119"/>
      <w:bookmarkStart w:id="1692" w:name="_Toc131552841"/>
      <w:bookmarkStart w:id="1693" w:name="_Toc131553624"/>
      <w:bookmarkStart w:id="1694" w:name="_Toc131554423"/>
      <w:bookmarkStart w:id="1695" w:name="_Toc131555236"/>
      <w:bookmarkStart w:id="1696" w:name="_Toc131620753"/>
      <w:bookmarkStart w:id="1697" w:name="_Toc131621191"/>
      <w:bookmarkStart w:id="1698" w:name="_Toc131621480"/>
      <w:bookmarkStart w:id="1699" w:name="_Toc131690064"/>
      <w:bookmarkStart w:id="1700" w:name="_Toc131426327"/>
      <w:bookmarkStart w:id="1701" w:name="_Toc131430108"/>
      <w:bookmarkStart w:id="1702" w:name="_Toc131430827"/>
      <w:bookmarkStart w:id="1703" w:name="_Toc131431529"/>
      <w:bookmarkStart w:id="1704" w:name="_Toc131490016"/>
      <w:bookmarkStart w:id="1705" w:name="_Toc131502824"/>
      <w:bookmarkStart w:id="1706" w:name="_Toc131511643"/>
      <w:bookmarkStart w:id="1707" w:name="_Toc131523120"/>
      <w:bookmarkStart w:id="1708" w:name="_Toc131552842"/>
      <w:bookmarkStart w:id="1709" w:name="_Toc131553625"/>
      <w:bookmarkStart w:id="1710" w:name="_Toc131554424"/>
      <w:bookmarkStart w:id="1711" w:name="_Toc131555237"/>
      <w:bookmarkStart w:id="1712" w:name="_Toc131620754"/>
      <w:bookmarkStart w:id="1713" w:name="_Toc131621192"/>
      <w:bookmarkStart w:id="1714" w:name="_Toc131621481"/>
      <w:bookmarkStart w:id="1715" w:name="_Toc131690065"/>
      <w:bookmarkStart w:id="1716" w:name="_Toc131426328"/>
      <w:bookmarkStart w:id="1717" w:name="_Toc131430109"/>
      <w:bookmarkStart w:id="1718" w:name="_Toc131430828"/>
      <w:bookmarkStart w:id="1719" w:name="_Toc131431530"/>
      <w:bookmarkStart w:id="1720" w:name="_Toc131490017"/>
      <w:bookmarkStart w:id="1721" w:name="_Toc131502825"/>
      <w:bookmarkStart w:id="1722" w:name="_Toc131511644"/>
      <w:bookmarkStart w:id="1723" w:name="_Toc131523121"/>
      <w:bookmarkStart w:id="1724" w:name="_Toc131552843"/>
      <w:bookmarkStart w:id="1725" w:name="_Toc131553626"/>
      <w:bookmarkStart w:id="1726" w:name="_Toc131554425"/>
      <w:bookmarkStart w:id="1727" w:name="_Toc131555238"/>
      <w:bookmarkStart w:id="1728" w:name="_Toc131620755"/>
      <w:bookmarkStart w:id="1729" w:name="_Toc131621193"/>
      <w:bookmarkStart w:id="1730" w:name="_Toc131621482"/>
      <w:bookmarkStart w:id="1731" w:name="_Toc131690066"/>
      <w:bookmarkStart w:id="1732" w:name="_Toc131426329"/>
      <w:bookmarkStart w:id="1733" w:name="_Toc131430110"/>
      <w:bookmarkStart w:id="1734" w:name="_Toc131430829"/>
      <w:bookmarkStart w:id="1735" w:name="_Toc131431531"/>
      <w:bookmarkStart w:id="1736" w:name="_Toc131490018"/>
      <w:bookmarkStart w:id="1737" w:name="_Toc131502826"/>
      <w:bookmarkStart w:id="1738" w:name="_Toc131511645"/>
      <w:bookmarkStart w:id="1739" w:name="_Toc131523122"/>
      <w:bookmarkStart w:id="1740" w:name="_Toc131552844"/>
      <w:bookmarkStart w:id="1741" w:name="_Toc131553627"/>
      <w:bookmarkStart w:id="1742" w:name="_Toc131554426"/>
      <w:bookmarkStart w:id="1743" w:name="_Toc131555239"/>
      <w:bookmarkStart w:id="1744" w:name="_Toc131620756"/>
      <w:bookmarkStart w:id="1745" w:name="_Toc131621194"/>
      <w:bookmarkStart w:id="1746" w:name="_Toc131621483"/>
      <w:bookmarkStart w:id="1747" w:name="_Toc131690067"/>
      <w:bookmarkStart w:id="1748" w:name="_Toc131426330"/>
      <w:bookmarkStart w:id="1749" w:name="_Toc131430111"/>
      <w:bookmarkStart w:id="1750" w:name="_Toc131430830"/>
      <w:bookmarkStart w:id="1751" w:name="_Toc131431532"/>
      <w:bookmarkStart w:id="1752" w:name="_Toc131490019"/>
      <w:bookmarkStart w:id="1753" w:name="_Toc131502827"/>
      <w:bookmarkStart w:id="1754" w:name="_Toc131511646"/>
      <w:bookmarkStart w:id="1755" w:name="_Toc131523123"/>
      <w:bookmarkStart w:id="1756" w:name="_Toc131552845"/>
      <w:bookmarkStart w:id="1757" w:name="_Toc131553628"/>
      <w:bookmarkStart w:id="1758" w:name="_Toc131554427"/>
      <w:bookmarkStart w:id="1759" w:name="_Toc131555240"/>
      <w:bookmarkStart w:id="1760" w:name="_Toc131620757"/>
      <w:bookmarkStart w:id="1761" w:name="_Toc131621195"/>
      <w:bookmarkStart w:id="1762" w:name="_Toc131621484"/>
      <w:bookmarkStart w:id="1763" w:name="_Toc131690068"/>
      <w:bookmarkStart w:id="1764" w:name="_Toc131426331"/>
      <w:bookmarkStart w:id="1765" w:name="_Toc131430112"/>
      <w:bookmarkStart w:id="1766" w:name="_Toc131430831"/>
      <w:bookmarkStart w:id="1767" w:name="_Toc131431533"/>
      <w:bookmarkStart w:id="1768" w:name="_Toc131490020"/>
      <w:bookmarkStart w:id="1769" w:name="_Toc131502828"/>
      <w:bookmarkStart w:id="1770" w:name="_Toc131511647"/>
      <w:bookmarkStart w:id="1771" w:name="_Toc131523124"/>
      <w:bookmarkStart w:id="1772" w:name="_Toc131552846"/>
      <w:bookmarkStart w:id="1773" w:name="_Toc131553629"/>
      <w:bookmarkStart w:id="1774" w:name="_Toc131554428"/>
      <w:bookmarkStart w:id="1775" w:name="_Toc131555241"/>
      <w:bookmarkStart w:id="1776" w:name="_Toc131620758"/>
      <w:bookmarkStart w:id="1777" w:name="_Toc131621196"/>
      <w:bookmarkStart w:id="1778" w:name="_Toc131621485"/>
      <w:bookmarkStart w:id="1779" w:name="_Toc131690069"/>
      <w:bookmarkStart w:id="1780" w:name="_Toc131426332"/>
      <w:bookmarkStart w:id="1781" w:name="_Toc131430113"/>
      <w:bookmarkStart w:id="1782" w:name="_Toc131430832"/>
      <w:bookmarkStart w:id="1783" w:name="_Toc131431534"/>
      <w:bookmarkStart w:id="1784" w:name="_Toc131490021"/>
      <w:bookmarkStart w:id="1785" w:name="_Toc131502829"/>
      <w:bookmarkStart w:id="1786" w:name="_Toc131511648"/>
      <w:bookmarkStart w:id="1787" w:name="_Toc131523125"/>
      <w:bookmarkStart w:id="1788" w:name="_Toc131552847"/>
      <w:bookmarkStart w:id="1789" w:name="_Toc131553630"/>
      <w:bookmarkStart w:id="1790" w:name="_Toc131554429"/>
      <w:bookmarkStart w:id="1791" w:name="_Toc131555242"/>
      <w:bookmarkStart w:id="1792" w:name="_Toc131620759"/>
      <w:bookmarkStart w:id="1793" w:name="_Toc131621197"/>
      <w:bookmarkStart w:id="1794" w:name="_Toc131621486"/>
      <w:bookmarkStart w:id="1795" w:name="_Toc131690070"/>
      <w:bookmarkStart w:id="1796" w:name="_Toc131426333"/>
      <w:bookmarkStart w:id="1797" w:name="_Toc131430114"/>
      <w:bookmarkStart w:id="1798" w:name="_Toc131430833"/>
      <w:bookmarkStart w:id="1799" w:name="_Toc131431535"/>
      <w:bookmarkStart w:id="1800" w:name="_Toc131490022"/>
      <w:bookmarkStart w:id="1801" w:name="_Toc131502830"/>
      <w:bookmarkStart w:id="1802" w:name="_Toc131511649"/>
      <w:bookmarkStart w:id="1803" w:name="_Toc131523126"/>
      <w:bookmarkStart w:id="1804" w:name="_Toc131552848"/>
      <w:bookmarkStart w:id="1805" w:name="_Toc131553631"/>
      <w:bookmarkStart w:id="1806" w:name="_Toc131554430"/>
      <w:bookmarkStart w:id="1807" w:name="_Toc131555243"/>
      <w:bookmarkStart w:id="1808" w:name="_Toc131620760"/>
      <w:bookmarkStart w:id="1809" w:name="_Toc131621198"/>
      <w:bookmarkStart w:id="1810" w:name="_Toc131621487"/>
      <w:bookmarkStart w:id="1811" w:name="_Toc131690071"/>
      <w:bookmarkStart w:id="1812" w:name="_Toc131426334"/>
      <w:bookmarkStart w:id="1813" w:name="_Toc131430115"/>
      <w:bookmarkStart w:id="1814" w:name="_Toc131430834"/>
      <w:bookmarkStart w:id="1815" w:name="_Toc131431536"/>
      <w:bookmarkStart w:id="1816" w:name="_Toc131490023"/>
      <w:bookmarkStart w:id="1817" w:name="_Toc131502831"/>
      <w:bookmarkStart w:id="1818" w:name="_Toc131511650"/>
      <w:bookmarkStart w:id="1819" w:name="_Toc131523127"/>
      <w:bookmarkStart w:id="1820" w:name="_Toc131552849"/>
      <w:bookmarkStart w:id="1821" w:name="_Toc131553632"/>
      <w:bookmarkStart w:id="1822" w:name="_Toc131554431"/>
      <w:bookmarkStart w:id="1823" w:name="_Toc131555244"/>
      <w:bookmarkStart w:id="1824" w:name="_Toc131620761"/>
      <w:bookmarkStart w:id="1825" w:name="_Toc131621199"/>
      <w:bookmarkStart w:id="1826" w:name="_Toc131621488"/>
      <w:bookmarkStart w:id="1827" w:name="_Toc131690072"/>
      <w:bookmarkStart w:id="1828" w:name="_Toc131426335"/>
      <w:bookmarkStart w:id="1829" w:name="_Toc131430116"/>
      <w:bookmarkStart w:id="1830" w:name="_Toc131430835"/>
      <w:bookmarkStart w:id="1831" w:name="_Toc131431537"/>
      <w:bookmarkStart w:id="1832" w:name="_Toc131490024"/>
      <w:bookmarkStart w:id="1833" w:name="_Toc131502832"/>
      <w:bookmarkStart w:id="1834" w:name="_Toc131511651"/>
      <w:bookmarkStart w:id="1835" w:name="_Toc131523128"/>
      <w:bookmarkStart w:id="1836" w:name="_Toc131552850"/>
      <w:bookmarkStart w:id="1837" w:name="_Toc131553633"/>
      <w:bookmarkStart w:id="1838" w:name="_Toc131554432"/>
      <w:bookmarkStart w:id="1839" w:name="_Toc131555245"/>
      <w:bookmarkStart w:id="1840" w:name="_Toc131620762"/>
      <w:bookmarkStart w:id="1841" w:name="_Toc131621200"/>
      <w:bookmarkStart w:id="1842" w:name="_Toc131621489"/>
      <w:bookmarkStart w:id="1843" w:name="_Toc131690073"/>
      <w:bookmarkStart w:id="1844" w:name="_Toc131426336"/>
      <w:bookmarkStart w:id="1845" w:name="_Toc131430117"/>
      <w:bookmarkStart w:id="1846" w:name="_Toc131430836"/>
      <w:bookmarkStart w:id="1847" w:name="_Toc131431538"/>
      <w:bookmarkStart w:id="1848" w:name="_Toc131490025"/>
      <w:bookmarkStart w:id="1849" w:name="_Toc131502833"/>
      <w:bookmarkStart w:id="1850" w:name="_Toc131511652"/>
      <w:bookmarkStart w:id="1851" w:name="_Toc131523129"/>
      <w:bookmarkStart w:id="1852" w:name="_Toc131552851"/>
      <w:bookmarkStart w:id="1853" w:name="_Toc131553634"/>
      <w:bookmarkStart w:id="1854" w:name="_Toc131554433"/>
      <w:bookmarkStart w:id="1855" w:name="_Toc131555246"/>
      <w:bookmarkStart w:id="1856" w:name="_Toc131620763"/>
      <w:bookmarkStart w:id="1857" w:name="_Toc131621201"/>
      <w:bookmarkStart w:id="1858" w:name="_Toc131621490"/>
      <w:bookmarkStart w:id="1859" w:name="_Toc131690074"/>
      <w:bookmarkStart w:id="1860" w:name="_Toc131426337"/>
      <w:bookmarkStart w:id="1861" w:name="_Toc131430118"/>
      <w:bookmarkStart w:id="1862" w:name="_Toc131430837"/>
      <w:bookmarkStart w:id="1863" w:name="_Toc131431539"/>
      <w:bookmarkStart w:id="1864" w:name="_Toc131490026"/>
      <w:bookmarkStart w:id="1865" w:name="_Toc131502834"/>
      <w:bookmarkStart w:id="1866" w:name="_Toc131511653"/>
      <w:bookmarkStart w:id="1867" w:name="_Toc131523130"/>
      <w:bookmarkStart w:id="1868" w:name="_Toc131552852"/>
      <w:bookmarkStart w:id="1869" w:name="_Toc131553635"/>
      <w:bookmarkStart w:id="1870" w:name="_Toc131554434"/>
      <w:bookmarkStart w:id="1871" w:name="_Toc131555247"/>
      <w:bookmarkStart w:id="1872" w:name="_Toc131620764"/>
      <w:bookmarkStart w:id="1873" w:name="_Toc131621202"/>
      <w:bookmarkStart w:id="1874" w:name="_Toc131621491"/>
      <w:bookmarkStart w:id="1875" w:name="_Toc131690075"/>
      <w:bookmarkStart w:id="1876" w:name="_Toc131426338"/>
      <w:bookmarkStart w:id="1877" w:name="_Toc131430119"/>
      <w:bookmarkStart w:id="1878" w:name="_Toc131430838"/>
      <w:bookmarkStart w:id="1879" w:name="_Toc131431540"/>
      <w:bookmarkStart w:id="1880" w:name="_Toc131490027"/>
      <w:bookmarkStart w:id="1881" w:name="_Toc131502835"/>
      <w:bookmarkStart w:id="1882" w:name="_Toc131511654"/>
      <w:bookmarkStart w:id="1883" w:name="_Toc131523131"/>
      <w:bookmarkStart w:id="1884" w:name="_Toc131552853"/>
      <w:bookmarkStart w:id="1885" w:name="_Toc131553636"/>
      <w:bookmarkStart w:id="1886" w:name="_Toc131554435"/>
      <w:bookmarkStart w:id="1887" w:name="_Toc131555248"/>
      <w:bookmarkStart w:id="1888" w:name="_Toc131620765"/>
      <w:bookmarkStart w:id="1889" w:name="_Toc131621203"/>
      <w:bookmarkStart w:id="1890" w:name="_Toc131621492"/>
      <w:bookmarkStart w:id="1891" w:name="_Toc131690076"/>
      <w:bookmarkStart w:id="1892" w:name="_Toc131426339"/>
      <w:bookmarkStart w:id="1893" w:name="_Toc131430120"/>
      <w:bookmarkStart w:id="1894" w:name="_Toc131430839"/>
      <w:bookmarkStart w:id="1895" w:name="_Toc131431541"/>
      <w:bookmarkStart w:id="1896" w:name="_Toc131490028"/>
      <w:bookmarkStart w:id="1897" w:name="_Toc131502836"/>
      <w:bookmarkStart w:id="1898" w:name="_Toc131511655"/>
      <w:bookmarkStart w:id="1899" w:name="_Toc131523132"/>
      <w:bookmarkStart w:id="1900" w:name="_Toc131552854"/>
      <w:bookmarkStart w:id="1901" w:name="_Toc131553637"/>
      <w:bookmarkStart w:id="1902" w:name="_Toc131554436"/>
      <w:bookmarkStart w:id="1903" w:name="_Toc131555249"/>
      <w:bookmarkStart w:id="1904" w:name="_Toc131620766"/>
      <w:bookmarkStart w:id="1905" w:name="_Toc131621204"/>
      <w:bookmarkStart w:id="1906" w:name="_Toc131621493"/>
      <w:bookmarkStart w:id="1907" w:name="_Toc131690077"/>
      <w:bookmarkStart w:id="1908" w:name="_Toc131426340"/>
      <w:bookmarkStart w:id="1909" w:name="_Toc131430121"/>
      <w:bookmarkStart w:id="1910" w:name="_Toc131430840"/>
      <w:bookmarkStart w:id="1911" w:name="_Toc131431542"/>
      <w:bookmarkStart w:id="1912" w:name="_Toc131490029"/>
      <w:bookmarkStart w:id="1913" w:name="_Toc131502837"/>
      <w:bookmarkStart w:id="1914" w:name="_Toc131511656"/>
      <w:bookmarkStart w:id="1915" w:name="_Toc131523133"/>
      <w:bookmarkStart w:id="1916" w:name="_Toc131552855"/>
      <w:bookmarkStart w:id="1917" w:name="_Toc131553638"/>
      <w:bookmarkStart w:id="1918" w:name="_Toc131554437"/>
      <w:bookmarkStart w:id="1919" w:name="_Toc131555250"/>
      <w:bookmarkStart w:id="1920" w:name="_Toc131620767"/>
      <w:bookmarkStart w:id="1921" w:name="_Toc131621205"/>
      <w:bookmarkStart w:id="1922" w:name="_Toc131621494"/>
      <w:bookmarkStart w:id="1923" w:name="_Toc131690078"/>
      <w:bookmarkStart w:id="1924" w:name="_Toc131426341"/>
      <w:bookmarkStart w:id="1925" w:name="_Toc131430122"/>
      <w:bookmarkStart w:id="1926" w:name="_Toc131430841"/>
      <w:bookmarkStart w:id="1927" w:name="_Toc131431543"/>
      <w:bookmarkStart w:id="1928" w:name="_Toc131490030"/>
      <w:bookmarkStart w:id="1929" w:name="_Toc131502838"/>
      <w:bookmarkStart w:id="1930" w:name="_Toc131511657"/>
      <w:bookmarkStart w:id="1931" w:name="_Toc131523134"/>
      <w:bookmarkStart w:id="1932" w:name="_Toc131552856"/>
      <w:bookmarkStart w:id="1933" w:name="_Toc131553639"/>
      <w:bookmarkStart w:id="1934" w:name="_Toc131554438"/>
      <w:bookmarkStart w:id="1935" w:name="_Toc131555251"/>
      <w:bookmarkStart w:id="1936" w:name="_Toc131620768"/>
      <w:bookmarkStart w:id="1937" w:name="_Toc131621206"/>
      <w:bookmarkStart w:id="1938" w:name="_Toc131621495"/>
      <w:bookmarkStart w:id="1939" w:name="_Toc131690079"/>
      <w:bookmarkStart w:id="1940" w:name="_Toc131426342"/>
      <w:bookmarkStart w:id="1941" w:name="_Toc131430123"/>
      <w:bookmarkStart w:id="1942" w:name="_Toc131430842"/>
      <w:bookmarkStart w:id="1943" w:name="_Toc131431544"/>
      <w:bookmarkStart w:id="1944" w:name="_Toc131490031"/>
      <w:bookmarkStart w:id="1945" w:name="_Toc131502839"/>
      <w:bookmarkStart w:id="1946" w:name="_Toc131511658"/>
      <w:bookmarkStart w:id="1947" w:name="_Toc131523135"/>
      <w:bookmarkStart w:id="1948" w:name="_Toc131552857"/>
      <w:bookmarkStart w:id="1949" w:name="_Toc131553640"/>
      <w:bookmarkStart w:id="1950" w:name="_Toc131554439"/>
      <w:bookmarkStart w:id="1951" w:name="_Toc131555252"/>
      <w:bookmarkStart w:id="1952" w:name="_Toc131620769"/>
      <w:bookmarkStart w:id="1953" w:name="_Toc131621207"/>
      <w:bookmarkStart w:id="1954" w:name="_Toc131621496"/>
      <w:bookmarkStart w:id="1955" w:name="_Toc131690080"/>
      <w:bookmarkStart w:id="1956" w:name="_Toc131426343"/>
      <w:bookmarkStart w:id="1957" w:name="_Toc131430124"/>
      <w:bookmarkStart w:id="1958" w:name="_Toc131430843"/>
      <w:bookmarkStart w:id="1959" w:name="_Toc131431545"/>
      <w:bookmarkStart w:id="1960" w:name="_Toc131490032"/>
      <w:bookmarkStart w:id="1961" w:name="_Toc131502840"/>
      <w:bookmarkStart w:id="1962" w:name="_Toc131511659"/>
      <w:bookmarkStart w:id="1963" w:name="_Toc131523136"/>
      <w:bookmarkStart w:id="1964" w:name="_Toc131552858"/>
      <w:bookmarkStart w:id="1965" w:name="_Toc131553641"/>
      <w:bookmarkStart w:id="1966" w:name="_Toc131554440"/>
      <w:bookmarkStart w:id="1967" w:name="_Toc131555253"/>
      <w:bookmarkStart w:id="1968" w:name="_Toc131620770"/>
      <w:bookmarkStart w:id="1969" w:name="_Toc131621208"/>
      <w:bookmarkStart w:id="1970" w:name="_Toc131621497"/>
      <w:bookmarkStart w:id="1971" w:name="_Toc131690081"/>
      <w:bookmarkStart w:id="1972" w:name="_Toc131426344"/>
      <w:bookmarkStart w:id="1973" w:name="_Toc131430125"/>
      <w:bookmarkStart w:id="1974" w:name="_Toc131430844"/>
      <w:bookmarkStart w:id="1975" w:name="_Toc131431546"/>
      <w:bookmarkStart w:id="1976" w:name="_Toc131490033"/>
      <w:bookmarkStart w:id="1977" w:name="_Toc131502841"/>
      <w:bookmarkStart w:id="1978" w:name="_Toc131511660"/>
      <w:bookmarkStart w:id="1979" w:name="_Toc131523137"/>
      <w:bookmarkStart w:id="1980" w:name="_Toc131552859"/>
      <w:bookmarkStart w:id="1981" w:name="_Toc131553642"/>
      <w:bookmarkStart w:id="1982" w:name="_Toc131554441"/>
      <w:bookmarkStart w:id="1983" w:name="_Toc131555254"/>
      <w:bookmarkStart w:id="1984" w:name="_Toc131620771"/>
      <w:bookmarkStart w:id="1985" w:name="_Toc131621209"/>
      <w:bookmarkStart w:id="1986" w:name="_Toc131621498"/>
      <w:bookmarkStart w:id="1987" w:name="_Toc131690082"/>
      <w:bookmarkStart w:id="1988" w:name="_Toc131426345"/>
      <w:bookmarkStart w:id="1989" w:name="_Toc131430126"/>
      <w:bookmarkStart w:id="1990" w:name="_Toc131430845"/>
      <w:bookmarkStart w:id="1991" w:name="_Toc131431547"/>
      <w:bookmarkStart w:id="1992" w:name="_Toc131490034"/>
      <w:bookmarkStart w:id="1993" w:name="_Toc131502842"/>
      <w:bookmarkStart w:id="1994" w:name="_Toc131511661"/>
      <w:bookmarkStart w:id="1995" w:name="_Toc131523138"/>
      <w:bookmarkStart w:id="1996" w:name="_Toc131552860"/>
      <w:bookmarkStart w:id="1997" w:name="_Toc131553643"/>
      <w:bookmarkStart w:id="1998" w:name="_Toc131554442"/>
      <w:bookmarkStart w:id="1999" w:name="_Toc131555255"/>
      <w:bookmarkStart w:id="2000" w:name="_Toc131620772"/>
      <w:bookmarkStart w:id="2001" w:name="_Toc131621210"/>
      <w:bookmarkStart w:id="2002" w:name="_Toc131621499"/>
      <w:bookmarkStart w:id="2003" w:name="_Toc131690083"/>
      <w:bookmarkStart w:id="2004" w:name="_Toc133577894"/>
      <w:bookmarkStart w:id="2005" w:name="_Ref144736035"/>
      <w:bookmarkStart w:id="2006" w:name="_Toc145612589"/>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r w:rsidRPr="00D762E5">
        <w:t>ITC Delivery Deed guidance</w:t>
      </w:r>
      <w:bookmarkEnd w:id="131"/>
      <w:bookmarkEnd w:id="132"/>
      <w:bookmarkEnd w:id="133"/>
      <w:bookmarkEnd w:id="311"/>
      <w:bookmarkEnd w:id="312"/>
      <w:bookmarkEnd w:id="313"/>
      <w:bookmarkEnd w:id="2004"/>
      <w:bookmarkEnd w:id="2005"/>
      <w:bookmarkEnd w:id="2006"/>
    </w:p>
    <w:p w14:paraId="1EAEC2F8" w14:textId="3CBC233C" w:rsidR="00CA44E5" w:rsidRPr="002C041A" w:rsidRDefault="003632EE" w:rsidP="00CE4591">
      <w:pPr>
        <w:pStyle w:val="Heading2numbered"/>
      </w:pPr>
      <w:bookmarkStart w:id="2007" w:name="_Toc133577895"/>
      <w:bookmarkStart w:id="2008" w:name="_Toc145612590"/>
      <w:r>
        <w:t xml:space="preserve">Key </w:t>
      </w:r>
      <w:r w:rsidR="00B25A16">
        <w:t>price</w:t>
      </w:r>
      <w:r>
        <w:t xml:space="preserve"> concepts</w:t>
      </w:r>
      <w:bookmarkEnd w:id="2007"/>
      <w:bookmarkEnd w:id="2008"/>
    </w:p>
    <w:p w14:paraId="45E88A23" w14:textId="710600D5" w:rsidR="004C7ABC" w:rsidRDefault="072F7C05" w:rsidP="00CE4591">
      <w:pPr>
        <w:pStyle w:val="Heading3numbered"/>
      </w:pPr>
      <w:r>
        <w:t>TOC</w:t>
      </w:r>
      <w:r w:rsidR="1906465E">
        <w:t xml:space="preserve"> (clause</w:t>
      </w:r>
      <w:r w:rsidR="7865FA55" w:rsidRPr="2C5D2C8B">
        <w:rPr>
          <w:rFonts w:ascii="Calibri" w:hAnsi="Calibri" w:cs="Calibri"/>
        </w:rPr>
        <w:t> </w:t>
      </w:r>
      <w:r w:rsidR="1906465E">
        <w:t>1 of the ITC Delivery Deed)</w:t>
      </w:r>
    </w:p>
    <w:p w14:paraId="46671977" w14:textId="59C12F2E" w:rsidR="00CA44E5" w:rsidRDefault="68EACF59" w:rsidP="00AA17AF">
      <w:pPr>
        <w:pStyle w:val="NormalIndent"/>
      </w:pPr>
      <w:r>
        <w:t xml:space="preserve">The TOC is the Initial TOC, as may be adjusted in accordance with the ITC Delivery Deed, </w:t>
      </w:r>
      <w:r w:rsidR="7EDCA002">
        <w:t xml:space="preserve">which is </w:t>
      </w:r>
      <w:r>
        <w:t xml:space="preserve">the estimate of all Reimbursable Costs, </w:t>
      </w:r>
      <w:r w:rsidR="5FF6EAC9">
        <w:t>COP</w:t>
      </w:r>
      <w:r>
        <w:t xml:space="preserve"> and Risk </w:t>
      </w:r>
      <w:r w:rsidR="06323CF2">
        <w:t xml:space="preserve">and </w:t>
      </w:r>
      <w:r>
        <w:t>Contingency Provisions required to perform the Contractor</w:t>
      </w:r>
      <w:r w:rsidR="629BCFA6">
        <w:t>’</w:t>
      </w:r>
      <w:r>
        <w:t>s Activities and bring the Works to a stage where the Certificate of Close-out can be issued in accordance with the ITC Delivery Deed.</w:t>
      </w:r>
    </w:p>
    <w:p w14:paraId="6E134E0D" w14:textId="039FFA72" w:rsidR="00B25A16" w:rsidRDefault="68EACF59" w:rsidP="00AA17AF">
      <w:pPr>
        <w:pStyle w:val="NormalIndent"/>
      </w:pPr>
      <w:r>
        <w:t xml:space="preserve">The Initial TOC is the sum identified as the TOC in </w:t>
      </w:r>
      <w:r w:rsidR="1133178F">
        <w:t>S</w:t>
      </w:r>
      <w:r>
        <w:t>chedule</w:t>
      </w:r>
      <w:r w:rsidR="7865FA55" w:rsidRPr="2C5D2C8B">
        <w:rPr>
          <w:rFonts w:ascii="Calibri" w:hAnsi="Calibri" w:cs="Calibri"/>
        </w:rPr>
        <w:t> </w:t>
      </w:r>
      <w:r>
        <w:t>6 at the Contract Date.</w:t>
      </w:r>
    </w:p>
    <w:p w14:paraId="42645F58" w14:textId="586FC0AF" w:rsidR="00B33896" w:rsidRDefault="124E9C3B" w:rsidP="00AA17AF">
      <w:pPr>
        <w:pStyle w:val="NormalIndent"/>
      </w:pPr>
      <w:r>
        <w:t>Schedule</w:t>
      </w:r>
      <w:r w:rsidR="7865FA55" w:rsidRPr="2C5D2C8B">
        <w:rPr>
          <w:rFonts w:ascii="Calibri" w:hAnsi="Calibri" w:cs="Calibri"/>
        </w:rPr>
        <w:t> </w:t>
      </w:r>
      <w:r>
        <w:t>6</w:t>
      </w:r>
      <w:r w:rsidR="3753F128">
        <w:t xml:space="preserve"> </w:t>
      </w:r>
      <w:r w:rsidR="4126D4DD">
        <w:t>does not form part of this standard form contract suite and need</w:t>
      </w:r>
      <w:r w:rsidR="62AF5D77">
        <w:t>s</w:t>
      </w:r>
      <w:r w:rsidR="4126D4DD">
        <w:t xml:space="preserve"> to be developed by the Principal based on project-specific characteristics.</w:t>
      </w:r>
    </w:p>
    <w:p w14:paraId="484C5B38" w14:textId="040C17B9" w:rsidR="00CA44E5" w:rsidRDefault="14E02381" w:rsidP="00CE4591">
      <w:pPr>
        <w:pStyle w:val="Heading3numbered"/>
      </w:pPr>
      <w:r>
        <w:t>AOC</w:t>
      </w:r>
      <w:r w:rsidR="1906465E">
        <w:t xml:space="preserve"> (clause 1 of the ITC Delivery Deed)</w:t>
      </w:r>
    </w:p>
    <w:p w14:paraId="67E3F8DD" w14:textId="7DAEBCCD" w:rsidR="00B25A16" w:rsidRDefault="68EACF59" w:rsidP="00DE68EA">
      <w:pPr>
        <w:pStyle w:val="NormalIndent"/>
      </w:pPr>
      <w:r>
        <w:t>The AOC is the total verified sum of:</w:t>
      </w:r>
    </w:p>
    <w:p w14:paraId="00249DC3" w14:textId="7B2BAB50" w:rsidR="002A524B" w:rsidRPr="002A524B" w:rsidRDefault="68EACF59" w:rsidP="000D52B3">
      <w:pPr>
        <w:pStyle w:val="Bulletindent"/>
      </w:pPr>
      <w:r>
        <w:t>all Reimbursable Costs reasonably and actually incurred by the Contractor in performing the Contractor</w:t>
      </w:r>
      <w:r w:rsidR="629BCFA6">
        <w:t>’</w:t>
      </w:r>
      <w:r>
        <w:t>s Activities</w:t>
      </w:r>
      <w:r w:rsidR="0350ED3F">
        <w:t>; and</w:t>
      </w:r>
    </w:p>
    <w:p w14:paraId="6D07311B" w14:textId="4E305175" w:rsidR="00CA44E5" w:rsidRDefault="68EACF59" w:rsidP="000D52B3">
      <w:pPr>
        <w:pStyle w:val="Bulletindent"/>
      </w:pPr>
      <w:r>
        <w:t xml:space="preserve">all </w:t>
      </w:r>
      <w:r w:rsidR="21F56CC3">
        <w:t>COP</w:t>
      </w:r>
      <w:r>
        <w:t xml:space="preserve"> payable by the Principal to the Contractor under the ITC Delivery Deed until the issue of the Final Certificate, but not including amounts specifically excluded under the ITC Delivery Deed.</w:t>
      </w:r>
    </w:p>
    <w:p w14:paraId="2143C504" w14:textId="0D6C5463" w:rsidR="00CA44E5" w:rsidRDefault="104D4784" w:rsidP="00F873EA">
      <w:pPr>
        <w:pStyle w:val="Heading3numbered"/>
      </w:pPr>
      <w:r>
        <w:t>Reimbursable Costs</w:t>
      </w:r>
      <w:r w:rsidR="1906465E">
        <w:t xml:space="preserve"> (</w:t>
      </w:r>
      <w:r w:rsidR="1133178F">
        <w:t>S</w:t>
      </w:r>
      <w:r w:rsidR="1906465E">
        <w:t>chedule</w:t>
      </w:r>
      <w:r w:rsidR="7865FA55" w:rsidRPr="2C5D2C8B">
        <w:rPr>
          <w:rFonts w:ascii="Calibri" w:hAnsi="Calibri" w:cs="Calibri"/>
        </w:rPr>
        <w:t> </w:t>
      </w:r>
      <w:r w:rsidR="1906465E">
        <w:t>3 to the ITC Delivery Deed)</w:t>
      </w:r>
    </w:p>
    <w:p w14:paraId="102B40B5" w14:textId="24B67B1B" w:rsidR="00047002" w:rsidRDefault="5A54CAE9" w:rsidP="00C36A74">
      <w:pPr>
        <w:pStyle w:val="NormalIndent"/>
        <w:keepNext/>
      </w:pPr>
      <w:r>
        <w:t>Subject to specific exclusions contained in the ITC</w:t>
      </w:r>
      <w:r w:rsidR="7816045E">
        <w:t xml:space="preserve"> Delivery</w:t>
      </w:r>
      <w:r>
        <w:t xml:space="preserve"> Deed</w:t>
      </w:r>
      <w:r w:rsidR="58547205">
        <w:t xml:space="preserve"> and</w:t>
      </w:r>
      <w:r>
        <w:t xml:space="preserve"> including the exclusions identified in section</w:t>
      </w:r>
      <w:r w:rsidR="7865FA55" w:rsidRPr="2C5D2C8B">
        <w:rPr>
          <w:rFonts w:ascii="Calibri" w:hAnsi="Calibri" w:cs="Calibri"/>
        </w:rPr>
        <w:t> </w:t>
      </w:r>
      <w:r>
        <w:t xml:space="preserve">3 of </w:t>
      </w:r>
      <w:r w:rsidR="1133178F">
        <w:t>S</w:t>
      </w:r>
      <w:r>
        <w:t>chedule</w:t>
      </w:r>
      <w:r w:rsidR="7865FA55" w:rsidRPr="2C5D2C8B">
        <w:rPr>
          <w:rFonts w:ascii="Calibri" w:hAnsi="Calibri" w:cs="Calibri"/>
        </w:rPr>
        <w:t> </w:t>
      </w:r>
      <w:r>
        <w:t xml:space="preserve">3, Reimbursable Costs are costs and expenses </w:t>
      </w:r>
      <w:r w:rsidR="0350ED3F">
        <w:t>that</w:t>
      </w:r>
      <w:r w:rsidR="243C7B5F">
        <w:t xml:space="preserve"> are</w:t>
      </w:r>
      <w:r>
        <w:t>:</w:t>
      </w:r>
    </w:p>
    <w:p w14:paraId="665E0CC9" w14:textId="52FA0852" w:rsidR="00047002" w:rsidRDefault="5A54CAE9" w:rsidP="000D52B3">
      <w:pPr>
        <w:pStyle w:val="Bulletindent"/>
      </w:pPr>
      <w:r>
        <w:t>directly, reasonably and actually incurred by the Contractor in performing the Contractor</w:t>
      </w:r>
      <w:r w:rsidR="629BCFA6">
        <w:t>’</w:t>
      </w:r>
      <w:r>
        <w:t>s Activities in accordance with</w:t>
      </w:r>
      <w:r w:rsidR="1906465E">
        <w:t xml:space="preserve"> the ITC Delivery Deed</w:t>
      </w:r>
      <w:r w:rsidR="291F2A67">
        <w:t>,</w:t>
      </w:r>
      <w:r w:rsidR="244D86F8">
        <w:t xml:space="preserve"> </w:t>
      </w:r>
      <w:r w:rsidR="291F2A67">
        <w:t>excluding</w:t>
      </w:r>
      <w:r w:rsidR="244D86F8">
        <w:t xml:space="preserve"> any corporate overhead component not specific to the Contractor</w:t>
      </w:r>
      <w:r w:rsidR="629BCFA6">
        <w:t>’</w:t>
      </w:r>
      <w:r w:rsidR="244D86F8">
        <w:t>s Activities and any profit or mark up of any kind</w:t>
      </w:r>
      <w:r w:rsidR="291F2A67">
        <w:t>;</w:t>
      </w:r>
    </w:p>
    <w:p w14:paraId="6017629C" w14:textId="22A643C5" w:rsidR="002A524B" w:rsidRPr="002A524B" w:rsidRDefault="5A54CAE9" w:rsidP="000D52B3">
      <w:pPr>
        <w:pStyle w:val="Bulletindent"/>
      </w:pPr>
      <w:r>
        <w:t>identified as Reimbursable Costs in section</w:t>
      </w:r>
      <w:r w:rsidR="7865FA55" w:rsidRPr="2C5D2C8B">
        <w:rPr>
          <w:rFonts w:ascii="Calibri" w:hAnsi="Calibri"/>
        </w:rPr>
        <w:t> </w:t>
      </w:r>
      <w:r>
        <w:t xml:space="preserve">3 of </w:t>
      </w:r>
      <w:r w:rsidR="1133178F">
        <w:t>S</w:t>
      </w:r>
      <w:r>
        <w:t>chedule</w:t>
      </w:r>
      <w:r w:rsidR="7865FA55" w:rsidRPr="2C5D2C8B">
        <w:rPr>
          <w:rFonts w:ascii="Calibri" w:hAnsi="Calibri"/>
        </w:rPr>
        <w:t> </w:t>
      </w:r>
      <w:r>
        <w:t xml:space="preserve">3, or </w:t>
      </w:r>
      <w:r w:rsidR="291F2A67">
        <w:t xml:space="preserve">that </w:t>
      </w:r>
      <w:r>
        <w:t>the ITC Delivery Deed otherwise expressly provides will be Reimbursable Costs</w:t>
      </w:r>
      <w:r w:rsidR="291F2A67">
        <w:t>; and</w:t>
      </w:r>
    </w:p>
    <w:p w14:paraId="429FB68C" w14:textId="2CA9D652" w:rsidR="00047002" w:rsidRDefault="5A54CAE9" w:rsidP="000D52B3">
      <w:pPr>
        <w:pStyle w:val="Bulletindent"/>
      </w:pPr>
      <w:r>
        <w:t xml:space="preserve">incurred prior to the date one </w:t>
      </w:r>
      <w:r w:rsidR="785C3D28">
        <w:t>M</w:t>
      </w:r>
      <w:r>
        <w:t>onth after the Date of Practical Completion.</w:t>
      </w:r>
    </w:p>
    <w:p w14:paraId="632B0868" w14:textId="12FCF8C0" w:rsidR="004C7ABC" w:rsidRDefault="004C7ABC" w:rsidP="0005402F">
      <w:pPr>
        <w:pStyle w:val="NormalIndent"/>
      </w:pPr>
      <w:r>
        <w:t>The Reimbursable Costs should be considered on a project</w:t>
      </w:r>
      <w:r w:rsidR="00043711">
        <w:t>-specific</w:t>
      </w:r>
      <w:r>
        <w:t xml:space="preserve"> basis.</w:t>
      </w:r>
    </w:p>
    <w:p w14:paraId="04EE7479" w14:textId="2733E66F" w:rsidR="004C7ABC" w:rsidRPr="00090AD7" w:rsidRDefault="004C7ABC" w:rsidP="00DE68EA">
      <w:pPr>
        <w:pStyle w:val="NormalIndent"/>
      </w:pPr>
      <w:r>
        <w:t>Examples of costs that are generally considered non-reimbursable include but are not limited to:</w:t>
      </w:r>
    </w:p>
    <w:p w14:paraId="15BF264E" w14:textId="56324737" w:rsidR="00974B3B" w:rsidRDefault="2D064751" w:rsidP="000D52B3">
      <w:pPr>
        <w:pStyle w:val="Bulletindent"/>
      </w:pPr>
      <w:r>
        <w:t>certain labour</w:t>
      </w:r>
      <w:r w:rsidR="6F92298D">
        <w:t>-</w:t>
      </w:r>
      <w:r>
        <w:t xml:space="preserve">related costs, </w:t>
      </w:r>
      <w:r w:rsidR="35DB8FBF">
        <w:t>such as</w:t>
      </w:r>
      <w:r>
        <w:t>:</w:t>
      </w:r>
    </w:p>
    <w:p w14:paraId="4AF6EEA5" w14:textId="651B96CF" w:rsidR="004C7ABC" w:rsidRPr="00090AD7" w:rsidRDefault="5A54CAE9" w:rsidP="0005402F">
      <w:pPr>
        <w:pStyle w:val="Bulletindent2"/>
      </w:pPr>
      <w:r>
        <w:t>any costs incurred as a result of negotiation of industrial agreements or attendance at industrial agreement meetings</w:t>
      </w:r>
      <w:r w:rsidR="6F92298D">
        <w:t>;</w:t>
      </w:r>
    </w:p>
    <w:p w14:paraId="451AC7C5" w14:textId="7D00F69D" w:rsidR="004C7ABC" w:rsidRDefault="2D064751" w:rsidP="0005402F">
      <w:pPr>
        <w:pStyle w:val="Bulletindent2"/>
      </w:pPr>
      <w:r>
        <w:t>any costs arising out of or in connection with redundancy of Non-Wages Personnel, or any redundancy payments to Wages Personnel above the rates prescribed by the applicable industrial agreement</w:t>
      </w:r>
      <w:r w:rsidR="676EDBCE">
        <w:t>;</w:t>
      </w:r>
    </w:p>
    <w:p w14:paraId="46FCB33C" w14:textId="57E2826F" w:rsidR="00974B3B" w:rsidRDefault="2D064751" w:rsidP="0005402F">
      <w:pPr>
        <w:pStyle w:val="Bulletindent2"/>
      </w:pPr>
      <w:r>
        <w:t>any severance payments to Non-Wages Personnel or Wages Personnel in lieu of the notice period required under the relevant agreement</w:t>
      </w:r>
      <w:r w:rsidR="676EDBCE">
        <w:t>;</w:t>
      </w:r>
    </w:p>
    <w:p w14:paraId="2F6EB5A5" w14:textId="4330949B" w:rsidR="004C7ABC" w:rsidRPr="00090AD7" w:rsidRDefault="2D064751" w:rsidP="0005402F">
      <w:pPr>
        <w:pStyle w:val="Bulletindent2"/>
      </w:pPr>
      <w:r>
        <w:t>living away from home allowances or any other living allowances, other than expressly approved by the Principal Representative</w:t>
      </w:r>
      <w:r w:rsidR="676EDBCE">
        <w:t>; and</w:t>
      </w:r>
    </w:p>
    <w:p w14:paraId="453B560E" w14:textId="54C94063" w:rsidR="004C7ABC" w:rsidRDefault="2D064751" w:rsidP="0005402F">
      <w:pPr>
        <w:pStyle w:val="Bulletindent2"/>
      </w:pPr>
      <w:r>
        <w:t>any and all costs or expenses (including legal costs and expenses) arising out of or in connection with mobilising, demobilising, recruitment and relocation of resources for the Contractor, unless approved by the Principal Representative</w:t>
      </w:r>
      <w:r w:rsidR="676EDBCE">
        <w:t>;</w:t>
      </w:r>
    </w:p>
    <w:p w14:paraId="52452BE1" w14:textId="3CF7E62F" w:rsidR="00974B3B" w:rsidRPr="00090AD7" w:rsidRDefault="2D064751" w:rsidP="000D52B3">
      <w:pPr>
        <w:pStyle w:val="Bulletindent"/>
      </w:pPr>
      <w:r>
        <w:t>certain construction-related costs</w:t>
      </w:r>
      <w:r w:rsidR="676EDBCE">
        <w:t>;</w:t>
      </w:r>
    </w:p>
    <w:p w14:paraId="526E62E8" w14:textId="3461637A" w:rsidR="00974B3B" w:rsidRDefault="2D064751" w:rsidP="000D52B3">
      <w:pPr>
        <w:pStyle w:val="Bulletindent"/>
      </w:pPr>
      <w:r>
        <w:t xml:space="preserve">certain corporate, administrative and IT costs, </w:t>
      </w:r>
      <w:r w:rsidR="35DB8FBF">
        <w:t>such as</w:t>
      </w:r>
      <w:r w:rsidR="3448D841">
        <w:t>:</w:t>
      </w:r>
    </w:p>
    <w:p w14:paraId="10612C22" w14:textId="2633349B" w:rsidR="004C7ABC" w:rsidRPr="00090AD7" w:rsidRDefault="2D064751" w:rsidP="0005402F">
      <w:pPr>
        <w:pStyle w:val="Bulletindent2"/>
      </w:pPr>
      <w:r>
        <w:t>any costs or expenses arising out of or in connection with providing and maintaining the Parent Company Guarantee</w:t>
      </w:r>
      <w:r w:rsidR="3448D841">
        <w:t>;</w:t>
      </w:r>
    </w:p>
    <w:p w14:paraId="7AE6CE0B" w14:textId="6423ED09" w:rsidR="004C7ABC" w:rsidRPr="00090AD7" w:rsidRDefault="2D064751" w:rsidP="0005402F">
      <w:pPr>
        <w:pStyle w:val="Bulletindent2"/>
      </w:pPr>
      <w:r>
        <w:t>any costs incurred by the Contractor in providing any difference in cover of insurance to supplement the insurances referred to in the ITC Delivery Deed</w:t>
      </w:r>
      <w:r w:rsidR="68479C9F">
        <w:t>;</w:t>
      </w:r>
    </w:p>
    <w:p w14:paraId="037B76F5" w14:textId="63D0CFC4" w:rsidR="004C7ABC" w:rsidRPr="00090AD7" w:rsidRDefault="2D064751" w:rsidP="0005402F">
      <w:pPr>
        <w:pStyle w:val="Bulletindent2"/>
      </w:pPr>
      <w:r>
        <w:t>any fine, penalty or sanction imposed by a court or other authority or under any Laws upon the Contractor</w:t>
      </w:r>
      <w:r w:rsidR="68479C9F">
        <w:t>;</w:t>
      </w:r>
    </w:p>
    <w:p w14:paraId="328F4B54" w14:textId="7E1F7713" w:rsidR="004C7ABC" w:rsidRDefault="2D064751" w:rsidP="0005402F">
      <w:pPr>
        <w:pStyle w:val="Bulletindent2"/>
      </w:pPr>
      <w:r>
        <w:t>any costs or expenses arising out of or in connection with any steps to resolve an Issue in accordance with clause</w:t>
      </w:r>
      <w:r w:rsidR="7865FA55" w:rsidRPr="2C5D2C8B">
        <w:rPr>
          <w:rFonts w:ascii="Calibri" w:hAnsi="Calibri" w:cs="Calibri"/>
        </w:rPr>
        <w:t> </w:t>
      </w:r>
      <w:r>
        <w:t>45</w:t>
      </w:r>
      <w:r w:rsidR="1906465E">
        <w:t xml:space="preserve"> of the ITC Delivery Deed</w:t>
      </w:r>
      <w:r w:rsidR="68479C9F">
        <w:t>;</w:t>
      </w:r>
    </w:p>
    <w:p w14:paraId="3E49A371" w14:textId="4ABEEC18" w:rsidR="004C7ABC" w:rsidRDefault="2D064751" w:rsidP="0005402F">
      <w:pPr>
        <w:pStyle w:val="Bulletindent2"/>
      </w:pPr>
      <w:r>
        <w:t xml:space="preserve">any and all costs, losses, damages and expenses suffered or incurred by the Contractor arising out of or in connection with a </w:t>
      </w:r>
      <w:r w:rsidR="06EF5211">
        <w:t>D</w:t>
      </w:r>
      <w:r>
        <w:t>efault or termination under clauses</w:t>
      </w:r>
      <w:r w:rsidR="7865FA55" w:rsidRPr="2C5D2C8B">
        <w:rPr>
          <w:rFonts w:ascii="Calibri" w:hAnsi="Calibri" w:cs="Calibri"/>
        </w:rPr>
        <w:t> </w:t>
      </w:r>
      <w:r>
        <w:t>43 and 44</w:t>
      </w:r>
      <w:r w:rsidR="1906465E">
        <w:t xml:space="preserve"> of the ITC Delivery Deed</w:t>
      </w:r>
      <w:r w:rsidR="68479C9F">
        <w:t>;</w:t>
      </w:r>
    </w:p>
    <w:p w14:paraId="72450B6B" w14:textId="0BF70065" w:rsidR="00974B3B" w:rsidRDefault="2D064751" w:rsidP="0005402F">
      <w:pPr>
        <w:pStyle w:val="Bulletindent2"/>
      </w:pPr>
      <w:r>
        <w:t>goods and services tax</w:t>
      </w:r>
      <w:r w:rsidR="50622945">
        <w:t>;</w:t>
      </w:r>
    </w:p>
    <w:p w14:paraId="5B19BDF7" w14:textId="5528F569" w:rsidR="00974B3B" w:rsidRDefault="2D064751" w:rsidP="0005402F">
      <w:pPr>
        <w:pStyle w:val="Bulletindent2"/>
      </w:pPr>
      <w:r>
        <w:t>any corporate or personal income tax or capital gains tax imposed on the Contractor</w:t>
      </w:r>
      <w:r w:rsidR="50622945">
        <w:t>;</w:t>
      </w:r>
    </w:p>
    <w:p w14:paraId="424EA5B5" w14:textId="008A6D10" w:rsidR="004C7ABC" w:rsidRDefault="2D064751" w:rsidP="0005402F">
      <w:pPr>
        <w:pStyle w:val="Bulletindent2"/>
      </w:pPr>
      <w:r>
        <w:t>any costs or expenses arising out of or in connection with finance, administration and cash</w:t>
      </w:r>
      <w:r w:rsidR="257551F3">
        <w:t xml:space="preserve"> </w:t>
      </w:r>
      <w:r>
        <w:t>flow fees, charge</w:t>
      </w:r>
      <w:r w:rsidR="50622945">
        <w:t>s</w:t>
      </w:r>
      <w:r>
        <w:t xml:space="preserve"> and costs</w:t>
      </w:r>
      <w:r w:rsidR="50622945">
        <w:t>,</w:t>
      </w:r>
      <w:r>
        <w:t xml:space="preserve"> including offsite administration costs</w:t>
      </w:r>
      <w:r w:rsidR="50622945">
        <w:t>;</w:t>
      </w:r>
    </w:p>
    <w:p w14:paraId="5E37F023" w14:textId="493748DC" w:rsidR="004C7ABC" w:rsidRDefault="2D064751" w:rsidP="0005402F">
      <w:pPr>
        <w:pStyle w:val="Bulletindent2"/>
      </w:pPr>
      <w:r>
        <w:t xml:space="preserve">any costs or expenses arising out of or in connection with business development and professional development </w:t>
      </w:r>
      <w:r w:rsidR="1477EB29">
        <w:t xml:space="preserve">that </w:t>
      </w:r>
      <w:r>
        <w:t>is not specific to the Project</w:t>
      </w:r>
      <w:r w:rsidR="1477EB29">
        <w:t>;</w:t>
      </w:r>
    </w:p>
    <w:p w14:paraId="4E3BEAE0" w14:textId="54958D42" w:rsidR="00974B3B" w:rsidRDefault="2D064751" w:rsidP="0005402F">
      <w:pPr>
        <w:pStyle w:val="Bulletindent2"/>
      </w:pPr>
      <w:r>
        <w:t>any costs or expenses arising out of or in connection with senior executives performing corporate support, corporate governance, corporate risk review or internal audit functions or activities</w:t>
      </w:r>
      <w:r w:rsidR="1477EB29">
        <w:t>;</w:t>
      </w:r>
    </w:p>
    <w:p w14:paraId="6BAE68A4" w14:textId="07BC13CA" w:rsidR="00974B3B" w:rsidRDefault="2D064751" w:rsidP="0005402F">
      <w:pPr>
        <w:pStyle w:val="Bulletindent2"/>
      </w:pPr>
      <w:r>
        <w:t>any costs or expenses arising out of or in connection with all corporate training, including cost of training and cost of time of attending the training</w:t>
      </w:r>
      <w:r w:rsidR="1477EB29">
        <w:t>;</w:t>
      </w:r>
    </w:p>
    <w:p w14:paraId="1CF1508B" w14:textId="2E189222" w:rsidR="00974B3B" w:rsidRDefault="2D064751" w:rsidP="0005402F">
      <w:pPr>
        <w:pStyle w:val="Bulletindent2"/>
      </w:pPr>
      <w:r>
        <w:t>any costs or expenses arising out of or in connection with corporate or Project entertainment</w:t>
      </w:r>
      <w:r w:rsidR="0C118B9D">
        <w:t>; and</w:t>
      </w:r>
    </w:p>
    <w:p w14:paraId="23045153" w14:textId="0895E44F" w:rsidR="004C7ABC" w:rsidRDefault="2D064751" w:rsidP="0005402F">
      <w:pPr>
        <w:pStyle w:val="Bulletindent2"/>
      </w:pPr>
      <w:r>
        <w:t>donation or sponsorship costs</w:t>
      </w:r>
      <w:r w:rsidR="0C118B9D">
        <w:t>;</w:t>
      </w:r>
      <w:r w:rsidR="105198CF">
        <w:t xml:space="preserve"> and</w:t>
      </w:r>
    </w:p>
    <w:p w14:paraId="2B27BD82" w14:textId="13660A95" w:rsidR="003223AE" w:rsidRDefault="003223AE" w:rsidP="000D52B3">
      <w:pPr>
        <w:pStyle w:val="Bulletindent"/>
      </w:pPr>
      <w:r>
        <w:t xml:space="preserve">certain miscellaneous costs, </w:t>
      </w:r>
      <w:r w:rsidR="00184A02">
        <w:t>such as</w:t>
      </w:r>
      <w:r>
        <w:t>:</w:t>
      </w:r>
    </w:p>
    <w:p w14:paraId="77B09220" w14:textId="0136DE36" w:rsidR="004C7ABC" w:rsidRDefault="1BEBDE0B" w:rsidP="0005402F">
      <w:pPr>
        <w:pStyle w:val="Bulletindent2"/>
      </w:pPr>
      <w:r>
        <w:t>any costs or expenses arising out of or in connection with kilometre reimbursement</w:t>
      </w:r>
      <w:r w:rsidR="0C118B9D">
        <w:t>,</w:t>
      </w:r>
      <w:r>
        <w:t xml:space="preserve"> unless in accordance with an award or policy approved by the Principal Representative</w:t>
      </w:r>
      <w:r w:rsidR="0C118B9D">
        <w:t>;</w:t>
      </w:r>
    </w:p>
    <w:p w14:paraId="7967DCB4" w14:textId="2C8C255E" w:rsidR="003223AE" w:rsidRDefault="003223AE" w:rsidP="0005402F">
      <w:pPr>
        <w:pStyle w:val="Bulletindent2"/>
      </w:pPr>
      <w:r>
        <w:t>any costs incurred by the Contractor in performing any works or services:</w:t>
      </w:r>
    </w:p>
    <w:p w14:paraId="208ACF57" w14:textId="63405F12" w:rsidR="003223AE" w:rsidRPr="00427705" w:rsidRDefault="0C118B9D" w:rsidP="00F873EA">
      <w:pPr>
        <w:pStyle w:val="Bulletindent"/>
      </w:pPr>
      <w:r>
        <w:t xml:space="preserve">that </w:t>
      </w:r>
      <w:r w:rsidR="1BEBDE0B">
        <w:t>are not bona fide specific costs or expenses directly, reasonably and actually incurred by the Contractor in performing the Contractor</w:t>
      </w:r>
      <w:r w:rsidR="629BCFA6">
        <w:t>’</w:t>
      </w:r>
      <w:r w:rsidR="1BEBDE0B">
        <w:t>s Activities</w:t>
      </w:r>
      <w:r w:rsidR="02B5C0F9">
        <w:t>;</w:t>
      </w:r>
    </w:p>
    <w:p w14:paraId="08411074" w14:textId="0F7432B1" w:rsidR="003223AE" w:rsidRPr="00427705" w:rsidRDefault="02B5C0F9" w:rsidP="00F873EA">
      <w:pPr>
        <w:pStyle w:val="Bulletindent"/>
      </w:pPr>
      <w:r>
        <w:t xml:space="preserve">that </w:t>
      </w:r>
      <w:r w:rsidR="1BEBDE0B">
        <w:t>are not directly referrable to Contractor</w:t>
      </w:r>
      <w:r w:rsidR="629BCFA6">
        <w:t>’</w:t>
      </w:r>
      <w:r w:rsidR="1BEBDE0B">
        <w:t>s Activities</w:t>
      </w:r>
      <w:r>
        <w:t>;</w:t>
      </w:r>
    </w:p>
    <w:p w14:paraId="4320EF6F" w14:textId="559BABBF" w:rsidR="003223AE" w:rsidRPr="00427705" w:rsidRDefault="02B5C0F9" w:rsidP="00F873EA">
      <w:pPr>
        <w:pStyle w:val="Bulletindent"/>
      </w:pPr>
      <w:r>
        <w:t xml:space="preserve">that </w:t>
      </w:r>
      <w:r w:rsidR="1BEBDE0B">
        <w:t>do not otherwise form part of the Contractor</w:t>
      </w:r>
      <w:r w:rsidR="629BCFA6">
        <w:t>’</w:t>
      </w:r>
      <w:r w:rsidR="1BEBDE0B">
        <w:t>s Activities</w:t>
      </w:r>
      <w:r>
        <w:t xml:space="preserve">; </w:t>
      </w:r>
      <w:r w:rsidR="3CCD1AE0">
        <w:t>or</w:t>
      </w:r>
    </w:p>
    <w:p w14:paraId="4BE2BF93" w14:textId="3037AACE" w:rsidR="004C7ABC" w:rsidRPr="00427705" w:rsidRDefault="02B5C0F9" w:rsidP="00F873EA">
      <w:pPr>
        <w:pStyle w:val="Bulletindent"/>
      </w:pPr>
      <w:r>
        <w:t xml:space="preserve">that </w:t>
      </w:r>
      <w:r w:rsidR="1BEBDE0B">
        <w:t>have not been incurred in accordance with the requirements on the ITC Deliver</w:t>
      </w:r>
      <w:r w:rsidR="7BD476AA">
        <w:t xml:space="preserve">y </w:t>
      </w:r>
      <w:r w:rsidR="1BEBDE0B">
        <w:t>Deed</w:t>
      </w:r>
      <w:r>
        <w:t>;</w:t>
      </w:r>
      <w:r w:rsidR="105198CF">
        <w:t xml:space="preserve"> and</w:t>
      </w:r>
    </w:p>
    <w:p w14:paraId="204CDA8B" w14:textId="2EE7E0E4" w:rsidR="004C7ABC" w:rsidRDefault="003223AE" w:rsidP="0005402F">
      <w:pPr>
        <w:pStyle w:val="Bulletindent2"/>
      </w:pPr>
      <w:r>
        <w:t>a</w:t>
      </w:r>
      <w:r w:rsidRPr="003223AE">
        <w:t xml:space="preserve">ny cost or expense incurred by the Contractor prior to the Contract Date, including formulation and execution of </w:t>
      </w:r>
      <w:r>
        <w:t>the ITC Delivery</w:t>
      </w:r>
      <w:r w:rsidRPr="003223AE">
        <w:t xml:space="preserve"> Deed.</w:t>
      </w:r>
    </w:p>
    <w:p w14:paraId="3985FD54" w14:textId="19EE7899" w:rsidR="004967A3" w:rsidRDefault="004967A3" w:rsidP="00CE4591">
      <w:pPr>
        <w:pStyle w:val="Heading4numbered"/>
      </w:pPr>
      <w:r>
        <w:t>Project</w:t>
      </w:r>
      <w:r w:rsidR="00043711">
        <w:t>-specific</w:t>
      </w:r>
      <w:r>
        <w:t xml:space="preserve"> amendments</w:t>
      </w:r>
    </w:p>
    <w:p w14:paraId="6FD2BB6D" w14:textId="05B49DB3" w:rsidR="00D7115B" w:rsidRPr="00D7115B" w:rsidRDefault="08F64EC3" w:rsidP="00C36A74">
      <w:pPr>
        <w:pStyle w:val="NormalIndent"/>
        <w:keepNext/>
      </w:pPr>
      <w:r>
        <w:t xml:space="preserve">On a project-specific basis, procuring agencies may consider introducing a concept of Principal Reimbursable Costs into the ITC Delivery Deed for the purpose of recognising certain Principal costs in the Risk or Reward Regime. These Principal Reimbursable Costs, </w:t>
      </w:r>
      <w:r w:rsidR="23352A19">
        <w:t xml:space="preserve">which </w:t>
      </w:r>
      <w:r>
        <w:t>would be included in the AOC, would be specific costs incurred by the Principal due to the Contractor</w:t>
      </w:r>
      <w:r w:rsidR="23352A19">
        <w:t>’</w:t>
      </w:r>
      <w:r>
        <w:t xml:space="preserve">s </w:t>
      </w:r>
      <w:r w:rsidR="474C33CA">
        <w:t>A</w:t>
      </w:r>
      <w:r>
        <w:t xml:space="preserve">cts or </w:t>
      </w:r>
      <w:r w:rsidR="474C33CA">
        <w:t>O</w:t>
      </w:r>
      <w:r>
        <w:t>missions.</w:t>
      </w:r>
      <w:bookmarkStart w:id="2009" w:name="_Toc133577896"/>
    </w:p>
    <w:p w14:paraId="7A3496C7" w14:textId="185F175A" w:rsidR="004C7ABC" w:rsidRDefault="497E3B06" w:rsidP="00CE4591">
      <w:pPr>
        <w:pStyle w:val="Heading2numbered"/>
      </w:pPr>
      <w:bookmarkStart w:id="2010" w:name="_Toc145612591"/>
      <w:r>
        <w:t xml:space="preserve">Risk </w:t>
      </w:r>
      <w:r w:rsidR="1906465E">
        <w:t xml:space="preserve">or </w:t>
      </w:r>
      <w:r>
        <w:t>Reward Regime</w:t>
      </w:r>
      <w:bookmarkEnd w:id="2009"/>
      <w:r w:rsidR="1906465E">
        <w:t xml:space="preserve"> (</w:t>
      </w:r>
      <w:r w:rsidR="1133178F">
        <w:t>S</w:t>
      </w:r>
      <w:r w:rsidR="1906465E">
        <w:t>chedule</w:t>
      </w:r>
      <w:r w:rsidR="7865FA55" w:rsidRPr="2C5D2C8B">
        <w:rPr>
          <w:rFonts w:ascii="Calibri" w:hAnsi="Calibri" w:cs="Calibri"/>
        </w:rPr>
        <w:t> </w:t>
      </w:r>
      <w:r w:rsidR="1906465E">
        <w:t>5 to the ITC Delivery Deed)</w:t>
      </w:r>
      <w:bookmarkEnd w:id="2010"/>
    </w:p>
    <w:p w14:paraId="76A288E2" w14:textId="54E5A904" w:rsidR="00E26C3B" w:rsidRDefault="296AF3E2" w:rsidP="00CE4591">
      <w:pPr>
        <w:pStyle w:val="Heading3numbered"/>
      </w:pPr>
      <w:r>
        <w:t>General principle</w:t>
      </w:r>
      <w:r w:rsidR="1906465E">
        <w:t xml:space="preserve"> (section</w:t>
      </w:r>
      <w:r w:rsidR="7865FA55" w:rsidRPr="2C5D2C8B">
        <w:rPr>
          <w:rFonts w:ascii="Calibri" w:hAnsi="Calibri" w:cs="Calibri"/>
        </w:rPr>
        <w:t> </w:t>
      </w:r>
      <w:r w:rsidR="1906465E">
        <w:t xml:space="preserve">2 of </w:t>
      </w:r>
      <w:r w:rsidR="1133178F">
        <w:t>S</w:t>
      </w:r>
      <w:r w:rsidR="1906465E">
        <w:t>chedule</w:t>
      </w:r>
      <w:r w:rsidR="7865FA55" w:rsidRPr="2C5D2C8B">
        <w:rPr>
          <w:rFonts w:ascii="Calibri" w:hAnsi="Calibri" w:cs="Calibri"/>
        </w:rPr>
        <w:t> </w:t>
      </w:r>
      <w:r w:rsidR="1906465E">
        <w:t>5 to the ITC Delivery Deed)</w:t>
      </w:r>
    </w:p>
    <w:p w14:paraId="63B6CAB1" w14:textId="193B4493" w:rsidR="00543E23" w:rsidRPr="00AE698D" w:rsidRDefault="00E26C3B" w:rsidP="00DE68EA">
      <w:pPr>
        <w:pStyle w:val="NormalIndent"/>
      </w:pPr>
      <w:r w:rsidRPr="00355C92">
        <w:t xml:space="preserve">The ITC Delivery Deed incorporates a </w:t>
      </w:r>
      <w:r w:rsidR="009D3159">
        <w:t xml:space="preserve">performance regime that is </w:t>
      </w:r>
      <w:r w:rsidR="00E658CC">
        <w:t>referred to as</w:t>
      </w:r>
      <w:r w:rsidR="009D3159">
        <w:t xml:space="preserve"> the </w:t>
      </w:r>
      <w:r w:rsidRPr="00355C92">
        <w:t>Risk or Reward Regime</w:t>
      </w:r>
      <w:r w:rsidR="009D3159">
        <w:t>.</w:t>
      </w:r>
      <w:r w:rsidRPr="00355C92">
        <w:t xml:space="preserve"> </w:t>
      </w:r>
      <w:r w:rsidR="00543E23">
        <w:t>The key commercial principles on which the Risk or Reward Regime is based are that the Contractor will:</w:t>
      </w:r>
    </w:p>
    <w:p w14:paraId="768ACB6E" w14:textId="2358321D" w:rsidR="00543E23" w:rsidRPr="00EF5E47" w:rsidRDefault="5A1EBBD6" w:rsidP="000D52B3">
      <w:pPr>
        <w:pStyle w:val="Bulletindent"/>
      </w:pPr>
      <w:r>
        <w:t>share in savings</w:t>
      </w:r>
      <w:r w:rsidR="4260DAA4">
        <w:t>;</w:t>
      </w:r>
    </w:p>
    <w:p w14:paraId="439E9923" w14:textId="7BB86C73" w:rsidR="002A524B" w:rsidRPr="002A524B" w:rsidRDefault="5A1EBBD6" w:rsidP="000D52B3">
      <w:pPr>
        <w:pStyle w:val="Bulletindent"/>
      </w:pPr>
      <w:r>
        <w:t>share in cost overruns</w:t>
      </w:r>
      <w:r w:rsidR="4260DAA4">
        <w:t>; and</w:t>
      </w:r>
    </w:p>
    <w:p w14:paraId="322685D1" w14:textId="2F0A9262" w:rsidR="00543E23" w:rsidRDefault="00543E23" w:rsidP="000D52B3">
      <w:pPr>
        <w:pStyle w:val="Bulletindent"/>
      </w:pPr>
      <w:r>
        <w:t>have access to a performance pool.</w:t>
      </w:r>
    </w:p>
    <w:p w14:paraId="65207CC6" w14:textId="414B981A" w:rsidR="00543E23" w:rsidRPr="0068284D" w:rsidRDefault="5A1EBBD6" w:rsidP="00DE68EA">
      <w:pPr>
        <w:pStyle w:val="NormalIndent"/>
      </w:pPr>
      <w:bookmarkStart w:id="2011" w:name="_Hlk141195103"/>
      <w:r>
        <w:t>The Risk or Reward Regime has been designed to promote collaborative relationships between the Principal and the Contractor and to incentivise the Contractor through payments and performance mechanisms.</w:t>
      </w:r>
    </w:p>
    <w:p w14:paraId="546A33CC" w14:textId="7EE4A1B5" w:rsidR="00E26C3B" w:rsidRPr="00355C92" w:rsidRDefault="649615F2" w:rsidP="00DE68EA">
      <w:pPr>
        <w:pStyle w:val="NormalIndent"/>
      </w:pPr>
      <w:r>
        <w:t xml:space="preserve">The Risk or Reward Regime </w:t>
      </w:r>
      <w:r w:rsidR="296AF3E2">
        <w:t>is separated into</w:t>
      </w:r>
      <w:r w:rsidR="6068964C">
        <w:t xml:space="preserve"> the following</w:t>
      </w:r>
      <w:r w:rsidR="296AF3E2">
        <w:t xml:space="preserve"> two components</w:t>
      </w:r>
      <w:r w:rsidR="6068964C">
        <w:t>.</w:t>
      </w:r>
    </w:p>
    <w:p w14:paraId="7404098B" w14:textId="32A79E93" w:rsidR="009D3159" w:rsidRDefault="48DAF6D1" w:rsidP="000D52B3">
      <w:pPr>
        <w:pStyle w:val="Bulletindent"/>
      </w:pPr>
      <w:r w:rsidRPr="2C5D2C8B">
        <w:rPr>
          <w:b/>
          <w:bCs/>
        </w:rPr>
        <w:t>C</w:t>
      </w:r>
      <w:r w:rsidR="5A1EBBD6" w:rsidRPr="2C5D2C8B">
        <w:rPr>
          <w:b/>
          <w:bCs/>
        </w:rPr>
        <w:t xml:space="preserve">ost </w:t>
      </w:r>
      <w:r w:rsidRPr="2C5D2C8B">
        <w:rPr>
          <w:b/>
          <w:bCs/>
        </w:rPr>
        <w:t>A</w:t>
      </w:r>
      <w:r w:rsidR="5A1EBBD6" w:rsidRPr="2C5D2C8B">
        <w:rPr>
          <w:b/>
          <w:bCs/>
        </w:rPr>
        <w:t>djustment</w:t>
      </w:r>
      <w:r w:rsidR="6068964C">
        <w:t>.</w:t>
      </w:r>
      <w:r w:rsidR="5A1EBBD6">
        <w:t xml:space="preserve"> </w:t>
      </w:r>
      <w:r w:rsidR="29C151E6">
        <w:t xml:space="preserve">This is </w:t>
      </w:r>
      <w:r w:rsidR="649615F2">
        <w:t>the Gainshare</w:t>
      </w:r>
      <w:r w:rsidR="67C9BFAB">
        <w:t>/Painshare</w:t>
      </w:r>
      <w:r w:rsidR="649615F2">
        <w:t xml:space="preserve"> Adjustment in respect of AOC underrun or overrun, which may result in a:</w:t>
      </w:r>
    </w:p>
    <w:p w14:paraId="66434AF2" w14:textId="227DFECD" w:rsidR="00EB18C7" w:rsidRDefault="649615F2" w:rsidP="0005402F">
      <w:pPr>
        <w:pStyle w:val="Bulletindent2"/>
      </w:pPr>
      <w:r>
        <w:t>Gainshare Amount</w:t>
      </w:r>
      <w:r w:rsidR="29C151E6">
        <w:t>;</w:t>
      </w:r>
    </w:p>
    <w:p w14:paraId="73A0F53E" w14:textId="7D86B5FD" w:rsidR="00EB18C7" w:rsidRDefault="649615F2" w:rsidP="0005402F">
      <w:pPr>
        <w:pStyle w:val="Bulletindent2"/>
      </w:pPr>
      <w:r>
        <w:t>Painshare Amount (Primary)</w:t>
      </w:r>
      <w:r w:rsidR="29C151E6">
        <w:t>; or</w:t>
      </w:r>
    </w:p>
    <w:p w14:paraId="18AF68E8" w14:textId="17961499" w:rsidR="009D3159" w:rsidRDefault="009D3159" w:rsidP="0005402F">
      <w:pPr>
        <w:pStyle w:val="Bulletindent2"/>
      </w:pPr>
      <w:r>
        <w:t>Painshare Amount (Secondary)</w:t>
      </w:r>
      <w:r w:rsidR="0070586B">
        <w:t>.</w:t>
      </w:r>
    </w:p>
    <w:p w14:paraId="276F2B20" w14:textId="3682B824" w:rsidR="00E26C3B" w:rsidRPr="00355C92" w:rsidRDefault="48DAF6D1" w:rsidP="000D52B3">
      <w:pPr>
        <w:pStyle w:val="Bulletindent"/>
      </w:pPr>
      <w:r w:rsidRPr="2C5D2C8B">
        <w:rPr>
          <w:b/>
          <w:bCs/>
        </w:rPr>
        <w:t>P</w:t>
      </w:r>
      <w:r w:rsidR="5A1EBBD6" w:rsidRPr="2C5D2C8B">
        <w:rPr>
          <w:b/>
          <w:bCs/>
        </w:rPr>
        <w:t xml:space="preserve">erformance </w:t>
      </w:r>
      <w:r w:rsidRPr="2C5D2C8B">
        <w:rPr>
          <w:b/>
          <w:bCs/>
        </w:rPr>
        <w:t>A</w:t>
      </w:r>
      <w:r w:rsidR="5A1EBBD6" w:rsidRPr="2C5D2C8B">
        <w:rPr>
          <w:b/>
          <w:bCs/>
        </w:rPr>
        <w:t>djustment</w:t>
      </w:r>
      <w:r w:rsidR="29C151E6">
        <w:t>.</w:t>
      </w:r>
      <w:r w:rsidR="5A1EBBD6">
        <w:t xml:space="preserve"> </w:t>
      </w:r>
      <w:r w:rsidR="29C151E6">
        <w:t xml:space="preserve">This is </w:t>
      </w:r>
      <w:r w:rsidR="649615F2">
        <w:t>the potential for a Performance Reward Amount, in respect of performance against the KPIs</w:t>
      </w:r>
      <w:r w:rsidR="6DF66038">
        <w:t>.</w:t>
      </w:r>
    </w:p>
    <w:p w14:paraId="4B3A2BCC" w14:textId="50EDE5D2" w:rsidR="00E26C3B" w:rsidRDefault="00E26C3B" w:rsidP="00C36A74">
      <w:pPr>
        <w:pStyle w:val="NormalIndent"/>
        <w:keepNext/>
      </w:pPr>
      <w:r>
        <w:t xml:space="preserve">The </w:t>
      </w:r>
      <w:r w:rsidR="00800FB9" w:rsidRPr="00355C92">
        <w:t>Risk or Reward Regime</w:t>
      </w:r>
      <w:r w:rsidR="00800FB9">
        <w:t xml:space="preserve"> is </w:t>
      </w:r>
      <w:r>
        <w:t xml:space="preserve">summarised in </w:t>
      </w:r>
      <w:r w:rsidR="004C7D2B">
        <w:fldChar w:fldCharType="begin" w:fldLock="1"/>
      </w:r>
      <w:r w:rsidR="004C7D2B">
        <w:instrText xml:space="preserve"> REF _Ref143094416 \h </w:instrText>
      </w:r>
      <w:r w:rsidR="004C7D2B">
        <w:fldChar w:fldCharType="separate"/>
      </w:r>
      <w:r w:rsidR="00400321">
        <w:t xml:space="preserve">Figure </w:t>
      </w:r>
      <w:r w:rsidR="00400321">
        <w:rPr>
          <w:noProof/>
        </w:rPr>
        <w:t>9</w:t>
      </w:r>
      <w:r w:rsidR="004C7D2B">
        <w:fldChar w:fldCharType="end"/>
      </w:r>
      <w:r>
        <w:t xml:space="preserve"> below.</w:t>
      </w:r>
    </w:p>
    <w:p w14:paraId="2B40EA57" w14:textId="6414F0B0" w:rsidR="004C7D2B" w:rsidRDefault="0E05847A" w:rsidP="00BA17E2">
      <w:pPr>
        <w:pStyle w:val="Captionindent"/>
      </w:pPr>
      <w:bookmarkStart w:id="2012" w:name="_Ref143094416"/>
      <w:r>
        <w:t xml:space="preserve">Figure </w:t>
      </w:r>
      <w:r w:rsidR="004C7D2B">
        <w:fldChar w:fldCharType="begin"/>
      </w:r>
      <w:r w:rsidR="004C7D2B">
        <w:instrText>SEQ Figure \* ARABIC</w:instrText>
      </w:r>
      <w:r w:rsidR="004C7D2B">
        <w:fldChar w:fldCharType="separate"/>
      </w:r>
      <w:r w:rsidR="00131EE1">
        <w:rPr>
          <w:noProof/>
        </w:rPr>
        <w:t>9</w:t>
      </w:r>
      <w:r w:rsidR="004C7D2B">
        <w:fldChar w:fldCharType="end"/>
      </w:r>
      <w:bookmarkEnd w:id="2012"/>
      <w:r>
        <w:t xml:space="preserve"> – Elements of the performance regime – ITC Delivery Deed</w:t>
      </w:r>
    </w:p>
    <w:p w14:paraId="69F68513" w14:textId="7126D7FA" w:rsidR="00AC6383" w:rsidRPr="00C36A74" w:rsidRDefault="00AC6383" w:rsidP="00C36A74">
      <w:pPr>
        <w:pStyle w:val="NormalIndent"/>
      </w:pPr>
      <w:r>
        <w:rPr>
          <w:noProof/>
        </w:rPr>
        <w:drawing>
          <wp:inline distT="0" distB="0" distL="0" distR="0" wp14:anchorId="69C8B0ED" wp14:editId="50BBF471">
            <wp:extent cx="5188355" cy="2139393"/>
            <wp:effectExtent l="0" t="0" r="0" b="0"/>
            <wp:docPr id="22" name="Picture 22" descr="Figure details the Risk or Reward Regime, which is separated into two components: Performance Adjustment and Cost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details the Risk or Reward Regime, which is separated into two components: Performance Adjustment and Cost Adjust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7829" cy="2159793"/>
                    </a:xfrm>
                    <a:prstGeom prst="rect">
                      <a:avLst/>
                    </a:prstGeom>
                    <a:noFill/>
                  </pic:spPr>
                </pic:pic>
              </a:graphicData>
            </a:graphic>
          </wp:inline>
        </w:drawing>
      </w:r>
    </w:p>
    <w:p w14:paraId="150A281B" w14:textId="3310521B" w:rsidR="00E34348" w:rsidRDefault="00E34348" w:rsidP="00C36A74">
      <w:pPr>
        <w:pStyle w:val="Spacer"/>
      </w:pPr>
    </w:p>
    <w:p w14:paraId="60FAB0E8" w14:textId="6E9ECC63" w:rsidR="00644D85" w:rsidRDefault="590A708B" w:rsidP="00CE4591">
      <w:pPr>
        <w:pStyle w:val="Heading3numbered"/>
      </w:pPr>
      <w:bookmarkStart w:id="2013" w:name="_Ref131549367"/>
      <w:bookmarkEnd w:id="2011"/>
      <w:r>
        <w:t xml:space="preserve">Cost </w:t>
      </w:r>
      <w:r w:rsidR="39FF5077">
        <w:t>A</w:t>
      </w:r>
      <w:r>
        <w:t>djustment</w:t>
      </w:r>
      <w:bookmarkEnd w:id="2013"/>
      <w:r w:rsidR="1906465E">
        <w:t xml:space="preserve"> (section</w:t>
      </w:r>
      <w:r w:rsidR="7865FA55" w:rsidRPr="2C5D2C8B">
        <w:rPr>
          <w:rFonts w:ascii="Calibri" w:hAnsi="Calibri" w:cs="Calibri"/>
        </w:rPr>
        <w:t> </w:t>
      </w:r>
      <w:r w:rsidR="1906465E">
        <w:t xml:space="preserve">3 of </w:t>
      </w:r>
      <w:r w:rsidR="1133178F">
        <w:t>S</w:t>
      </w:r>
      <w:r w:rsidR="1906465E">
        <w:t>chedule</w:t>
      </w:r>
      <w:r w:rsidR="7865FA55" w:rsidRPr="2C5D2C8B">
        <w:rPr>
          <w:rFonts w:ascii="Calibri" w:hAnsi="Calibri" w:cs="Calibri"/>
        </w:rPr>
        <w:t> </w:t>
      </w:r>
      <w:r w:rsidR="1906465E">
        <w:t>5 to the ITC Delivery Deed)</w:t>
      </w:r>
    </w:p>
    <w:p w14:paraId="709B3848" w14:textId="75A6C238" w:rsidR="00D46561" w:rsidRDefault="164FB6DC" w:rsidP="00CE4591">
      <w:pPr>
        <w:pStyle w:val="Heading4numbered"/>
      </w:pPr>
      <w:r>
        <w:t>General principles</w:t>
      </w:r>
    </w:p>
    <w:p w14:paraId="079B5200" w14:textId="1CA26A1E" w:rsidR="00B75603" w:rsidRPr="00D46561" w:rsidRDefault="00D46561" w:rsidP="00DE68EA">
      <w:pPr>
        <w:pStyle w:val="NormalIndent"/>
      </w:pPr>
      <w:r>
        <w:t xml:space="preserve">The </w:t>
      </w:r>
      <w:r w:rsidR="00DB3BBA">
        <w:t>C</w:t>
      </w:r>
      <w:r>
        <w:t xml:space="preserve">ost </w:t>
      </w:r>
      <w:r w:rsidR="00DB3BBA">
        <w:t>A</w:t>
      </w:r>
      <w:r>
        <w:t>djustment seeks to incentivise the Contractor to deliver the Project so that the AOC is less than the TOC.</w:t>
      </w:r>
    </w:p>
    <w:p w14:paraId="0DBF3A43" w14:textId="4AB6EF3F" w:rsidR="00E26C3B" w:rsidRDefault="00D46561" w:rsidP="00CE4591">
      <w:pPr>
        <w:pStyle w:val="Heading4numbered"/>
      </w:pPr>
      <w:r>
        <w:t>Gainshare Amount</w:t>
      </w:r>
    </w:p>
    <w:p w14:paraId="65EDEF86" w14:textId="5DE20899" w:rsidR="00951270" w:rsidRDefault="00644D85" w:rsidP="00DE68EA">
      <w:pPr>
        <w:pStyle w:val="NormalIndent"/>
      </w:pPr>
      <w:r w:rsidRPr="006215A8">
        <w:t>If</w:t>
      </w:r>
      <w:r w:rsidR="00951270">
        <w:t>:</w:t>
      </w:r>
    </w:p>
    <w:p w14:paraId="1A411B25" w14:textId="6D972918" w:rsidR="002A524B" w:rsidRPr="002A524B" w:rsidRDefault="54C601C6" w:rsidP="00594C81">
      <w:pPr>
        <w:pStyle w:val="Bulletindent"/>
      </w:pPr>
      <w:r>
        <w:t>at the Calculation Date,</w:t>
      </w:r>
      <w:r w:rsidR="590A708B">
        <w:t xml:space="preserve"> the </w:t>
      </w:r>
      <w:r w:rsidR="164FB6DC">
        <w:t>AOC</w:t>
      </w:r>
      <w:r w:rsidR="590A708B">
        <w:t xml:space="preserve"> is less than the </w:t>
      </w:r>
      <w:r w:rsidR="164FB6DC">
        <w:t>TOC</w:t>
      </w:r>
      <w:r w:rsidR="70622215">
        <w:t>; and</w:t>
      </w:r>
    </w:p>
    <w:p w14:paraId="74BB3B9A" w14:textId="52B4B4AE" w:rsidR="00E26C3B" w:rsidRDefault="77EB37E9" w:rsidP="00594C81">
      <w:pPr>
        <w:pStyle w:val="Bulletindent"/>
      </w:pPr>
      <w:r>
        <w:t>the Date of Practical Completion occurs before the date that is 180 days after the Date for Practical Completion,</w:t>
      </w:r>
      <w:r w:rsidR="4D803BE7">
        <w:t xml:space="preserve"> </w:t>
      </w:r>
      <w:r w:rsidR="590A708B">
        <w:t xml:space="preserve">a Gainshare Amount </w:t>
      </w:r>
      <w:r w:rsidR="403E2F8E">
        <w:t>is</w:t>
      </w:r>
      <w:r w:rsidR="590A708B">
        <w:t xml:space="preserve"> payable by the Principal to the Contractor</w:t>
      </w:r>
      <w:r w:rsidR="296AF3E2">
        <w:t xml:space="preserve"> as follows</w:t>
      </w:r>
      <w:r w:rsidR="403E2F8E">
        <w:t>.</w:t>
      </w:r>
    </w:p>
    <w:p w14:paraId="54FE310B" w14:textId="295B541C" w:rsidR="00F13B32" w:rsidRDefault="48B915D9" w:rsidP="00424DC8">
      <w:pPr>
        <w:pStyle w:val="Highlightbox"/>
        <w:ind w:left="3420" w:hanging="2160"/>
      </w:pPr>
      <w:r w:rsidRPr="001D14DC">
        <w:rPr>
          <w:rFonts w:asciiTheme="majorHAnsi" w:hAnsiTheme="majorHAnsi"/>
        </w:rPr>
        <w:t>Gainshare Amount</w:t>
      </w:r>
      <w:r w:rsidR="7865FA55" w:rsidRPr="2C5D2C8B">
        <w:rPr>
          <w:rFonts w:ascii="Calibri" w:hAnsi="Calibri" w:cs="Calibri"/>
        </w:rPr>
        <w:t> </w:t>
      </w:r>
      <w:r>
        <w:t>=</w:t>
      </w:r>
      <w:r w:rsidR="00A04992">
        <w:tab/>
      </w:r>
      <w:r>
        <w:t>(TOC – AOC) x 30</w:t>
      </w:r>
      <w:r w:rsidR="65E7F62B">
        <w:t>%</w:t>
      </w:r>
      <w:r>
        <w:t xml:space="preserve">, </w:t>
      </w:r>
      <w:bookmarkStart w:id="2014" w:name="_Hlk141194288"/>
      <w:bookmarkStart w:id="2015" w:name="_Hlk141194289"/>
      <w:r>
        <w:t>up to a maximum of the Gainshare Cap (the lower of 5</w:t>
      </w:r>
      <w:r w:rsidR="65E7F62B">
        <w:t xml:space="preserve">% </w:t>
      </w:r>
      <w:r>
        <w:t>of the AOC (excluding COP) or 50</w:t>
      </w:r>
      <w:r w:rsidR="53C99D7A" w:rsidRPr="2C5D2C8B">
        <w:rPr>
          <w:rFonts w:ascii="Calibri" w:hAnsi="Calibri" w:cs="Calibri"/>
        </w:rPr>
        <w:t>%</w:t>
      </w:r>
      <w:r>
        <w:t xml:space="preserve"> of the COP based on the TOC)</w:t>
      </w:r>
      <w:bookmarkEnd w:id="2014"/>
      <w:bookmarkEnd w:id="2015"/>
    </w:p>
    <w:p w14:paraId="3526395C" w14:textId="36D5D4B9" w:rsidR="00951270" w:rsidRDefault="00266CBB" w:rsidP="00DE68EA">
      <w:pPr>
        <w:pStyle w:val="NormalIndent"/>
      </w:pPr>
      <w:r>
        <w:t>If</w:t>
      </w:r>
      <w:r w:rsidR="00951270">
        <w:t>:</w:t>
      </w:r>
    </w:p>
    <w:p w14:paraId="711C9275" w14:textId="0846943D" w:rsidR="002A524B" w:rsidRPr="002A524B" w:rsidRDefault="70FE2F04" w:rsidP="0005402F">
      <w:pPr>
        <w:pStyle w:val="Bulletindent"/>
      </w:pPr>
      <w:r>
        <w:t>the AOC is equal to or greater than the TOC</w:t>
      </w:r>
      <w:r w:rsidR="19DF2064">
        <w:t>; and</w:t>
      </w:r>
    </w:p>
    <w:p w14:paraId="1C8DCEE7" w14:textId="4CEB11F4" w:rsidR="00951270" w:rsidRPr="008C0D49" w:rsidRDefault="00951270" w:rsidP="0005402F">
      <w:pPr>
        <w:pStyle w:val="Bulletindent"/>
      </w:pPr>
      <w:r w:rsidRPr="00951270">
        <w:t>the Date of Practical Completion occurs on or after the date that is 180 days after the Date for Practical Completion</w:t>
      </w:r>
      <w:r>
        <w:t>,</w:t>
      </w:r>
      <w:r w:rsidRPr="00951270">
        <w:t xml:space="preserve"> </w:t>
      </w:r>
      <w:r w:rsidR="00266CBB">
        <w:t>there is no Gainshare Amount.</w:t>
      </w:r>
    </w:p>
    <w:p w14:paraId="3C995AE7" w14:textId="524C5028" w:rsidR="7AADF8CA" w:rsidRDefault="7AADF8CA" w:rsidP="00DE68EA">
      <w:pPr>
        <w:pStyle w:val="NormalIndent"/>
      </w:pPr>
      <w:r>
        <w:t xml:space="preserve">The grace period of 180 </w:t>
      </w:r>
      <w:r w:rsidR="5F74C051">
        <w:t xml:space="preserve">days </w:t>
      </w:r>
      <w:r>
        <w:t xml:space="preserve">could be amended on a project-by-project basis </w:t>
      </w:r>
      <w:r w:rsidR="59B390AD">
        <w:t>depending on the criticality of the end completion date.</w:t>
      </w:r>
    </w:p>
    <w:p w14:paraId="17FBAB58" w14:textId="374A54BD" w:rsidR="00D46561" w:rsidRDefault="164FB6DC" w:rsidP="2C5D2C8B">
      <w:pPr>
        <w:pStyle w:val="Heading4numbered"/>
      </w:pPr>
      <w:bookmarkStart w:id="2016" w:name="_Ref132359474"/>
      <w:r>
        <w:t>Painshare Amount</w:t>
      </w:r>
      <w:bookmarkEnd w:id="2016"/>
    </w:p>
    <w:p w14:paraId="291BC534" w14:textId="4D0C4206" w:rsidR="00556A33" w:rsidRDefault="54C601C6" w:rsidP="00DE68EA">
      <w:pPr>
        <w:pStyle w:val="NormalIndent"/>
      </w:pPr>
      <w:r>
        <w:t xml:space="preserve">If, at the Calculation Date, the AOC is greater than the TOC, a Painshare Amount </w:t>
      </w:r>
      <w:r w:rsidR="58F36451">
        <w:t>is</w:t>
      </w:r>
      <w:r>
        <w:t xml:space="preserve"> payable by the Contractor to the Principal. </w:t>
      </w:r>
      <w:bookmarkStart w:id="2017" w:name="_Hlk141194536"/>
      <w:r>
        <w:t xml:space="preserve">The Painshare Amount comprises the </w:t>
      </w:r>
      <w:bookmarkStart w:id="2018" w:name="_Hlk141194460"/>
      <w:r>
        <w:t xml:space="preserve">Painshare Amount (Primary) </w:t>
      </w:r>
      <w:bookmarkEnd w:id="2018"/>
      <w:r>
        <w:t xml:space="preserve">and the </w:t>
      </w:r>
      <w:bookmarkStart w:id="2019" w:name="_Hlk141194496"/>
      <w:r>
        <w:t>Painshare Amount (Secondary)</w:t>
      </w:r>
      <w:bookmarkEnd w:id="2019"/>
      <w:r>
        <w:t>.</w:t>
      </w:r>
    </w:p>
    <w:bookmarkEnd w:id="2017"/>
    <w:p w14:paraId="0A57B579" w14:textId="03A6B678" w:rsidR="00B75603" w:rsidRPr="002C041A" w:rsidRDefault="00B75603" w:rsidP="00DE68EA">
      <w:pPr>
        <w:pStyle w:val="NormalIndent"/>
      </w:pPr>
      <w:r w:rsidRPr="00B75603">
        <w:t>If the AOC is equal to or less than the TOC, there is no Painshare Amount.</w:t>
      </w:r>
    </w:p>
    <w:p w14:paraId="77EC0633" w14:textId="3A618857" w:rsidR="00D46561" w:rsidRDefault="00D46561" w:rsidP="00754976">
      <w:pPr>
        <w:pStyle w:val="Heading5"/>
      </w:pPr>
      <w:r>
        <w:t>Painshare Amount (Primary)</w:t>
      </w:r>
    </w:p>
    <w:p w14:paraId="247DCB95" w14:textId="5337A920" w:rsidR="00E26C3B" w:rsidRDefault="54C601C6" w:rsidP="00171513">
      <w:pPr>
        <w:pStyle w:val="NormalIndent"/>
      </w:pPr>
      <w:r>
        <w:t>The</w:t>
      </w:r>
      <w:r w:rsidR="590A708B">
        <w:t xml:space="preserve"> Painshare </w:t>
      </w:r>
      <w:r w:rsidR="33A5CA31">
        <w:t>Amount (Primary)</w:t>
      </w:r>
      <w:r w:rsidR="590A708B">
        <w:t xml:space="preserve"> </w:t>
      </w:r>
      <w:r>
        <w:t>is calculated</w:t>
      </w:r>
      <w:r w:rsidR="296AF3E2">
        <w:t xml:space="preserve"> as follows</w:t>
      </w:r>
      <w:r w:rsidR="408C4DFE">
        <w:t>.</w:t>
      </w:r>
    </w:p>
    <w:p w14:paraId="52DB6D68" w14:textId="78F51D7E" w:rsidR="00E16E9A" w:rsidRDefault="02F989D4" w:rsidP="2C5D2C8B">
      <w:pPr>
        <w:pStyle w:val="Highlightbox"/>
        <w:ind w:left="3960" w:hanging="3096"/>
        <w:rPr>
          <w:rFonts w:eastAsia="Times New Roman" w:cs="Arial"/>
          <w:color w:val="000000"/>
        </w:rPr>
      </w:pPr>
      <w:r w:rsidRPr="001D14DC">
        <w:rPr>
          <w:rFonts w:asciiTheme="majorHAnsi" w:hAnsiTheme="majorHAnsi"/>
        </w:rPr>
        <w:t>Painshare Amount (Primary)</w:t>
      </w:r>
      <w:r w:rsidR="7865FA55" w:rsidRPr="2C5D2C8B">
        <w:rPr>
          <w:rFonts w:ascii="Calibri" w:hAnsi="Calibri" w:cs="Calibri"/>
        </w:rPr>
        <w:t> </w:t>
      </w:r>
      <w:r>
        <w:t>=</w:t>
      </w:r>
      <w:r w:rsidR="002E53A9">
        <w:tab/>
      </w:r>
      <w:r>
        <w:t>(AOC – TOC) x 50</w:t>
      </w:r>
      <w:r w:rsidR="65E7F62B">
        <w:t>%</w:t>
      </w:r>
      <w:r>
        <w:t>, up to a maximum of the Primary</w:t>
      </w:r>
      <w:r w:rsidR="57E482A8">
        <w:t xml:space="preserve"> </w:t>
      </w:r>
      <w:r>
        <w:t>Painshare Threshold (100</w:t>
      </w:r>
      <w:r w:rsidR="65E7F62B" w:rsidRPr="2C5D2C8B">
        <w:rPr>
          <w:rFonts w:ascii="Calibri" w:hAnsi="Calibri" w:cs="Calibri"/>
        </w:rPr>
        <w:t>%</w:t>
      </w:r>
      <w:r>
        <w:t xml:space="preserve"> of the COP based on the TOC</w:t>
      </w:r>
      <w:r w:rsidRPr="2C5D2C8B">
        <w:rPr>
          <w:rFonts w:eastAsia="Times New Roman" w:cs="Arial"/>
          <w:color w:val="000000"/>
        </w:rPr>
        <w:t>)</w:t>
      </w:r>
    </w:p>
    <w:p w14:paraId="1BED009B" w14:textId="6C5B0AFF" w:rsidR="00D46561" w:rsidRDefault="00D46561" w:rsidP="00754976">
      <w:pPr>
        <w:pStyle w:val="Heading5"/>
      </w:pPr>
      <w:r>
        <w:t>Painshare Amount (Secondary)</w:t>
      </w:r>
    </w:p>
    <w:p w14:paraId="2532CB78" w14:textId="152F0F01" w:rsidR="00F13B32" w:rsidRDefault="33A5CA31" w:rsidP="00DE68EA">
      <w:pPr>
        <w:pStyle w:val="NormalIndent"/>
      </w:pPr>
      <w:r>
        <w:t xml:space="preserve">If the </w:t>
      </w:r>
      <w:r w:rsidR="40AE7B68">
        <w:t>Primary Painshare Threshold has been met</w:t>
      </w:r>
      <w:r>
        <w:t xml:space="preserve">, </w:t>
      </w:r>
      <w:r w:rsidR="40AE7B68">
        <w:t>the</w:t>
      </w:r>
      <w:r>
        <w:t xml:space="preserve"> Painshare Amount</w:t>
      </w:r>
      <w:r w:rsidR="6A19823C">
        <w:t xml:space="preserve"> </w:t>
      </w:r>
      <w:r>
        <w:t xml:space="preserve">(Secondary) </w:t>
      </w:r>
      <w:r w:rsidR="40AE7B68">
        <w:t>is calculated</w:t>
      </w:r>
      <w:r>
        <w:t xml:space="preserve"> as follows</w:t>
      </w:r>
      <w:r w:rsidR="408C4DFE">
        <w:t>.</w:t>
      </w:r>
    </w:p>
    <w:p w14:paraId="1F7DB494" w14:textId="6D444DE4" w:rsidR="00F13B32" w:rsidRDefault="6A046C85" w:rsidP="00754976">
      <w:pPr>
        <w:pStyle w:val="Highlightbox"/>
        <w:ind w:left="4230" w:hanging="3366"/>
      </w:pPr>
      <w:r w:rsidRPr="001D14DC">
        <w:rPr>
          <w:rFonts w:asciiTheme="majorHAnsi" w:hAnsiTheme="majorHAnsi"/>
        </w:rPr>
        <w:t>Painshare Amount (Secondary)</w:t>
      </w:r>
      <w:r w:rsidR="7865FA55" w:rsidRPr="2C5D2C8B">
        <w:rPr>
          <w:rFonts w:ascii="Calibri" w:hAnsi="Calibri" w:cs="Calibri"/>
        </w:rPr>
        <w:t> </w:t>
      </w:r>
      <w:r>
        <w:t>=</w:t>
      </w:r>
      <w:r w:rsidR="00F13B32">
        <w:tab/>
      </w:r>
      <w:r>
        <w:t>(AOC – TOC) x 15%</w:t>
      </w:r>
    </w:p>
    <w:p w14:paraId="23FEEB1C" w14:textId="6CF4166B" w:rsidR="00644D85" w:rsidRPr="00622F44" w:rsidRDefault="00B75603" w:rsidP="00DE68EA">
      <w:pPr>
        <w:pStyle w:val="NormalIndent"/>
      </w:pPr>
      <w:r>
        <w:t>Otherwise, there is no Painshare Amount (</w:t>
      </w:r>
      <w:r w:rsidR="001F3DC7">
        <w:t>S</w:t>
      </w:r>
      <w:r>
        <w:t>econdary).</w:t>
      </w:r>
    </w:p>
    <w:p w14:paraId="6696CE42" w14:textId="49797E85" w:rsidR="00B75603" w:rsidRDefault="00B75603" w:rsidP="00754976">
      <w:pPr>
        <w:pStyle w:val="Heading5"/>
      </w:pPr>
      <w:r>
        <w:t>General principles</w:t>
      </w:r>
    </w:p>
    <w:p w14:paraId="511C30C5" w14:textId="688F7F9E" w:rsidR="00644D85" w:rsidRPr="00644D85" w:rsidRDefault="590A708B" w:rsidP="00DE68EA">
      <w:pPr>
        <w:pStyle w:val="NormalIndent"/>
      </w:pPr>
      <w:r>
        <w:t xml:space="preserve">In a Painshare </w:t>
      </w:r>
      <w:r w:rsidR="40AE7B68">
        <w:t xml:space="preserve">Amount </w:t>
      </w:r>
      <w:r>
        <w:t xml:space="preserve">scenario, </w:t>
      </w:r>
      <w:r w:rsidR="40AE7B68">
        <w:t xml:space="preserve">the </w:t>
      </w:r>
      <w:r>
        <w:t xml:space="preserve">Painshare </w:t>
      </w:r>
      <w:r w:rsidR="40AE7B68">
        <w:t xml:space="preserve">Amount </w:t>
      </w:r>
      <w:r>
        <w:t>represent</w:t>
      </w:r>
      <w:r w:rsidR="1131B31F">
        <w:t>s</w:t>
      </w:r>
      <w:r>
        <w:t xml:space="preserve"> a 50</w:t>
      </w:r>
      <w:r w:rsidR="1131B31F">
        <w:t>/</w:t>
      </w:r>
      <w:r>
        <w:t xml:space="preserve">50 share of the cost overrun until the </w:t>
      </w:r>
      <w:r w:rsidR="0DAFAF24">
        <w:t>COP</w:t>
      </w:r>
      <w:r>
        <w:t xml:space="preserve"> is exhausted. Once the </w:t>
      </w:r>
      <w:r w:rsidR="517BD94B">
        <w:t>COP</w:t>
      </w:r>
      <w:r>
        <w:t xml:space="preserve"> is exhausted</w:t>
      </w:r>
      <w:r w:rsidR="1131B31F">
        <w:t>,</w:t>
      </w:r>
      <w:r>
        <w:t xml:space="preserve"> the </w:t>
      </w:r>
      <w:r w:rsidR="569AEB56">
        <w:t>Principal</w:t>
      </w:r>
      <w:r>
        <w:t xml:space="preserve"> proceeds to reimburse 85</w:t>
      </w:r>
      <w:r w:rsidR="7865FA55" w:rsidRPr="2C5D2C8B">
        <w:rPr>
          <w:rFonts w:ascii="Calibri" w:hAnsi="Calibri" w:cs="Calibri"/>
        </w:rPr>
        <w:t> </w:t>
      </w:r>
      <w:r w:rsidR="2BEA0074">
        <w:t>per</w:t>
      </w:r>
      <w:r w:rsidR="7865FA55" w:rsidRPr="2C5D2C8B">
        <w:rPr>
          <w:rFonts w:ascii="Calibri" w:hAnsi="Calibri" w:cs="Calibri"/>
        </w:rPr>
        <w:t> </w:t>
      </w:r>
      <w:r w:rsidR="2BEA0074">
        <w:t>cent</w:t>
      </w:r>
      <w:r>
        <w:t xml:space="preserve"> of costs (excluding </w:t>
      </w:r>
      <w:r w:rsidR="517BD94B">
        <w:t>COP</w:t>
      </w:r>
      <w:r>
        <w:t>) going forward, with the Contractor accordingly bearing 15</w:t>
      </w:r>
      <w:r w:rsidR="7865FA55" w:rsidRPr="2C5D2C8B">
        <w:rPr>
          <w:rFonts w:ascii="Calibri" w:hAnsi="Calibri" w:cs="Calibri"/>
        </w:rPr>
        <w:t> </w:t>
      </w:r>
      <w:r w:rsidR="2BEA0074">
        <w:t>per</w:t>
      </w:r>
      <w:r w:rsidR="7865FA55" w:rsidRPr="2C5D2C8B">
        <w:rPr>
          <w:rFonts w:ascii="Calibri" w:hAnsi="Calibri" w:cs="Calibri"/>
        </w:rPr>
        <w:t> </w:t>
      </w:r>
      <w:r w:rsidR="2BEA0074">
        <w:t>cent</w:t>
      </w:r>
      <w:r>
        <w:t xml:space="preserve"> of actual costs until completion. The rationale for this ongoing cost</w:t>
      </w:r>
      <w:r w:rsidR="4A67D192">
        <w:t>-</w:t>
      </w:r>
      <w:r>
        <w:t>sharing mechanism is to continue to incentivise all parties to manage cost outcomes in a significant cost overrun scenario</w:t>
      </w:r>
      <w:r w:rsidR="4A67D192">
        <w:t>. It</w:t>
      </w:r>
      <w:r>
        <w:t xml:space="preserve"> is similar to approaches adopted on recent ITC projects. The project team may consider opportunities for the Contractor to recoup costs associated with the 15</w:t>
      </w:r>
      <w:r w:rsidR="7865FA55" w:rsidRPr="2C5D2C8B">
        <w:rPr>
          <w:rFonts w:ascii="Calibri" w:hAnsi="Calibri" w:cs="Calibri"/>
        </w:rPr>
        <w:t> </w:t>
      </w:r>
      <w:r w:rsidR="2BEA0074">
        <w:t>per</w:t>
      </w:r>
      <w:r w:rsidR="7865FA55" w:rsidRPr="2C5D2C8B">
        <w:rPr>
          <w:rFonts w:ascii="Calibri" w:hAnsi="Calibri" w:cs="Calibri"/>
        </w:rPr>
        <w:t> </w:t>
      </w:r>
      <w:r w:rsidR="2BEA0074">
        <w:t>cent</w:t>
      </w:r>
      <w:r>
        <w:t xml:space="preserve"> retention on a project-by-project basis.</w:t>
      </w:r>
    </w:p>
    <w:p w14:paraId="5827C77C" w14:textId="7566C231" w:rsidR="00644D85" w:rsidRPr="00644D85" w:rsidRDefault="00644D85" w:rsidP="001F3DC7">
      <w:pPr>
        <w:pStyle w:val="Heading3numbered"/>
      </w:pPr>
      <w:bookmarkStart w:id="2020" w:name="_Ref132302110"/>
      <w:r>
        <w:t xml:space="preserve">Performance </w:t>
      </w:r>
      <w:r w:rsidR="00D46561">
        <w:t>a</w:t>
      </w:r>
      <w:r>
        <w:t>djustment</w:t>
      </w:r>
      <w:bookmarkEnd w:id="2020"/>
      <w:r w:rsidR="00503E16">
        <w:t xml:space="preserve"> </w:t>
      </w:r>
      <w:r w:rsidR="00503E16" w:rsidRPr="00503E16">
        <w:t>(section</w:t>
      </w:r>
      <w:r w:rsidR="00754976" w:rsidRPr="00754976">
        <w:rPr>
          <w:rFonts w:ascii="Calibri" w:hAnsi="Calibri" w:cs="Calibri"/>
        </w:rPr>
        <w:t> </w:t>
      </w:r>
      <w:r w:rsidR="00503E16" w:rsidRPr="00503E16">
        <w:t xml:space="preserve">4 of </w:t>
      </w:r>
      <w:r w:rsidR="00E01173">
        <w:t>S</w:t>
      </w:r>
      <w:r w:rsidR="00503E16" w:rsidRPr="00503E16">
        <w:t>chedule</w:t>
      </w:r>
      <w:r w:rsidR="00754976" w:rsidRPr="00754976">
        <w:rPr>
          <w:rFonts w:ascii="Calibri" w:hAnsi="Calibri" w:cs="Calibri"/>
        </w:rPr>
        <w:t> </w:t>
      </w:r>
      <w:r w:rsidR="00503E16" w:rsidRPr="00503E16">
        <w:t>5 to the ITC Delivery</w:t>
      </w:r>
      <w:r w:rsidR="001D14DC">
        <w:rPr>
          <w:rFonts w:ascii="Calibri" w:hAnsi="Calibri" w:cs="Calibri"/>
        </w:rPr>
        <w:t> </w:t>
      </w:r>
      <w:r w:rsidR="00503E16" w:rsidRPr="00503E16">
        <w:t>Deed)</w:t>
      </w:r>
    </w:p>
    <w:p w14:paraId="16694DD0" w14:textId="7EC1B0B0" w:rsidR="00543E23" w:rsidRDefault="5A1EBBD6" w:rsidP="001F3DC7">
      <w:pPr>
        <w:pStyle w:val="Heading4numbered"/>
      </w:pPr>
      <w:r>
        <w:t>General principles</w:t>
      </w:r>
    </w:p>
    <w:p w14:paraId="64F6434E" w14:textId="0F54E7F5" w:rsidR="00DF2228" w:rsidRDefault="2AAADF0E" w:rsidP="00400321">
      <w:pPr>
        <w:pStyle w:val="NormalIndent"/>
        <w:keepNext/>
        <w:ind w:right="115"/>
      </w:pPr>
      <w:r>
        <w:t xml:space="preserve">The </w:t>
      </w:r>
      <w:r w:rsidR="474C33CA">
        <w:t>P</w:t>
      </w:r>
      <w:r>
        <w:t xml:space="preserve">erformance </w:t>
      </w:r>
      <w:r w:rsidR="474C33CA">
        <w:t>A</w:t>
      </w:r>
      <w:r>
        <w:t xml:space="preserve">djustment seeks to incentivise the Contractor to deliver exceptional performance in non-financial objectives of project delivery </w:t>
      </w:r>
      <w:r w:rsidR="448BFB19">
        <w:t xml:space="preserve">that </w:t>
      </w:r>
      <w:r>
        <w:t xml:space="preserve">are important to the </w:t>
      </w:r>
      <w:r w:rsidR="3E681ABB">
        <w:t>S</w:t>
      </w:r>
      <w:r w:rsidR="07F71C99">
        <w:t>tate</w:t>
      </w:r>
      <w:r>
        <w:t>. Th</w:t>
      </w:r>
      <w:r w:rsidR="448BFB19">
        <w:t>e</w:t>
      </w:r>
      <w:r>
        <w:t>s</w:t>
      </w:r>
      <w:r w:rsidR="448BFB19">
        <w:t>e</w:t>
      </w:r>
      <w:r>
        <w:t xml:space="preserve"> may include objectives such as timely completion of the project, </w:t>
      </w:r>
      <w:r w:rsidR="2132AE8A">
        <w:t xml:space="preserve">minimising impact on a live operating facility or </w:t>
      </w:r>
      <w:r>
        <w:t>community satisfaction when delivering the project. These non-financial objectives are grouped into Key Result Area</w:t>
      </w:r>
      <w:r w:rsidR="5A1EBBD6">
        <w:t>s</w:t>
      </w:r>
      <w:r>
        <w:t xml:space="preserve"> (KRAs)</w:t>
      </w:r>
      <w:r w:rsidR="164FB6DC">
        <w:t>, with</w:t>
      </w:r>
      <w:r w:rsidR="5A1EBBD6">
        <w:t xml:space="preserve"> </w:t>
      </w:r>
      <w:r w:rsidR="164FB6DC">
        <w:t>e</w:t>
      </w:r>
      <w:r w:rsidR="5A1EBBD6">
        <w:t>ach KRA ha</w:t>
      </w:r>
      <w:r w:rsidR="164FB6DC">
        <w:t>ving</w:t>
      </w:r>
      <w:r w:rsidR="5A1EBBD6">
        <w:t xml:space="preserve"> one or more Key Performance Indicators (KPIs).</w:t>
      </w:r>
    </w:p>
    <w:p w14:paraId="5680E42C" w14:textId="7EC2B6B9" w:rsidR="00DF2228" w:rsidRDefault="164FB6DC" w:rsidP="00DE68EA">
      <w:pPr>
        <w:pStyle w:val="NormalIndent"/>
      </w:pPr>
      <w:r>
        <w:t xml:space="preserve">Under the </w:t>
      </w:r>
      <w:r w:rsidR="474C33CA">
        <w:t>P</w:t>
      </w:r>
      <w:r>
        <w:t xml:space="preserve">erformance </w:t>
      </w:r>
      <w:r w:rsidR="474C33CA">
        <w:t>A</w:t>
      </w:r>
      <w:r>
        <w:t>djustment mechanism, a</w:t>
      </w:r>
      <w:r w:rsidR="57BAD2AA">
        <w:t xml:space="preserve"> Performance</w:t>
      </w:r>
      <w:r w:rsidR="07AAD84A">
        <w:t xml:space="preserve"> Reward Potential Pool</w:t>
      </w:r>
      <w:r w:rsidR="2AAADF0E">
        <w:t xml:space="preserve"> </w:t>
      </w:r>
      <w:r>
        <w:t>(see</w:t>
      </w:r>
      <w:r w:rsidR="4CA902C6">
        <w:t xml:space="preserve"> </w:t>
      </w:r>
      <w:r w:rsidR="513BA67A">
        <w:t xml:space="preserve">section </w:t>
      </w:r>
      <w:r w:rsidR="0068645B">
        <w:fldChar w:fldCharType="begin" w:fldLock="1"/>
      </w:r>
      <w:r w:rsidR="0068645B">
        <w:instrText xml:space="preserve"> REF _Ref132302151 \n \h </w:instrText>
      </w:r>
      <w:r w:rsidR="0068645B">
        <w:fldChar w:fldCharType="separate"/>
      </w:r>
      <w:r w:rsidR="00400321">
        <w:t>5.2.3.3</w:t>
      </w:r>
      <w:r w:rsidR="0068645B">
        <w:fldChar w:fldCharType="end"/>
      </w:r>
      <w:r>
        <w:t xml:space="preserve">) </w:t>
      </w:r>
      <w:r w:rsidR="0A9CB8E8">
        <w:t>is</w:t>
      </w:r>
      <w:r w:rsidR="2AAADF0E">
        <w:t xml:space="preserve"> available to the Contractor, with a capped Performance Adjustment based on the following principles:</w:t>
      </w:r>
    </w:p>
    <w:p w14:paraId="5E7EB6B8" w14:textId="36690BC7" w:rsidR="002A524B" w:rsidRPr="002A524B" w:rsidRDefault="2AAADF0E" w:rsidP="0005402F">
      <w:pPr>
        <w:pStyle w:val="Bulletindent"/>
      </w:pPr>
      <w:r>
        <w:t xml:space="preserve">positive performance is incentivised with payments from the </w:t>
      </w:r>
      <w:r w:rsidR="5A1EBBD6">
        <w:t>Performance Reward Potential</w:t>
      </w:r>
      <w:r w:rsidR="1EB19EC9">
        <w:t xml:space="preserve"> Pool</w:t>
      </w:r>
      <w:r w:rsidR="1895B380">
        <w:t>; and</w:t>
      </w:r>
    </w:p>
    <w:p w14:paraId="03D71DD6" w14:textId="37F8CA89" w:rsidR="00DF2228" w:rsidRDefault="00DF2228" w:rsidP="0005402F">
      <w:pPr>
        <w:pStyle w:val="Bulletindent"/>
      </w:pPr>
      <w:r w:rsidRPr="284C6A3F">
        <w:t xml:space="preserve">poor performance incurs no additional costs to the Contractor but removes its ability to receive a </w:t>
      </w:r>
      <w:r w:rsidR="00A91A96">
        <w:t>P</w:t>
      </w:r>
      <w:r w:rsidRPr="284C6A3F">
        <w:t xml:space="preserve">erformance </w:t>
      </w:r>
      <w:r w:rsidR="00A91A96">
        <w:t>A</w:t>
      </w:r>
      <w:r w:rsidRPr="284C6A3F">
        <w:t>djustment for the applicable KRA.</w:t>
      </w:r>
    </w:p>
    <w:p w14:paraId="2A56AFEE" w14:textId="0263D5ED" w:rsidR="00543E23" w:rsidRDefault="00B75603" w:rsidP="001F3DC7">
      <w:pPr>
        <w:pStyle w:val="Heading4numbered"/>
      </w:pPr>
      <w:r>
        <w:t xml:space="preserve">The </w:t>
      </w:r>
      <w:r w:rsidR="00543E23" w:rsidRPr="00543E23">
        <w:t>KRAs</w:t>
      </w:r>
      <w:r w:rsidR="00543E23">
        <w:t xml:space="preserve"> and</w:t>
      </w:r>
      <w:r w:rsidR="00543E23" w:rsidRPr="00543E23">
        <w:t xml:space="preserve"> KPIs</w:t>
      </w:r>
    </w:p>
    <w:p w14:paraId="570162CA" w14:textId="14357AD5" w:rsidR="00543E23" w:rsidRDefault="164FB6DC" w:rsidP="00DE68EA">
      <w:pPr>
        <w:pStyle w:val="NormalIndent"/>
      </w:pPr>
      <w:r>
        <w:t>Attachment</w:t>
      </w:r>
      <w:r w:rsidR="7865FA55" w:rsidRPr="2C5D2C8B">
        <w:rPr>
          <w:rFonts w:ascii="Calibri" w:hAnsi="Calibri" w:cs="Calibri"/>
        </w:rPr>
        <w:t> </w:t>
      </w:r>
      <w:r>
        <w:t xml:space="preserve">1 to </w:t>
      </w:r>
      <w:r w:rsidR="1133178F">
        <w:t>S</w:t>
      </w:r>
      <w:r w:rsidR="0C9053DD">
        <w:t>chedule</w:t>
      </w:r>
      <w:r w:rsidR="7865FA55" w:rsidRPr="2C5D2C8B">
        <w:rPr>
          <w:rFonts w:ascii="Calibri" w:hAnsi="Calibri" w:cs="Calibri"/>
        </w:rPr>
        <w:t> </w:t>
      </w:r>
      <w:r>
        <w:t>5 sets out:</w:t>
      </w:r>
    </w:p>
    <w:p w14:paraId="5DC026F7" w14:textId="4C48B552" w:rsidR="00D46561" w:rsidRDefault="164FB6DC" w:rsidP="009F5C2E">
      <w:pPr>
        <w:pStyle w:val="Bulletindent"/>
        <w:contextualSpacing/>
      </w:pPr>
      <w:r>
        <w:t>the KRAs</w:t>
      </w:r>
      <w:r w:rsidR="1895B380">
        <w:t>;</w:t>
      </w:r>
    </w:p>
    <w:p w14:paraId="2FA3B456" w14:textId="00C61A93" w:rsidR="00D46561" w:rsidRDefault="164FB6DC" w:rsidP="009F5C2E">
      <w:pPr>
        <w:pStyle w:val="Bulletindent"/>
        <w:contextualSpacing/>
      </w:pPr>
      <w:r>
        <w:t>the KPIs for each KRA</w:t>
      </w:r>
      <w:r w:rsidR="1895B380">
        <w:t>; and</w:t>
      </w:r>
    </w:p>
    <w:p w14:paraId="364A2295" w14:textId="55591041" w:rsidR="00D46561" w:rsidRDefault="00D46561" w:rsidP="009F5C2E">
      <w:pPr>
        <w:pStyle w:val="Bulletindent"/>
        <w:contextualSpacing/>
      </w:pPr>
      <w:r>
        <w:t>in respect of each KPI:</w:t>
      </w:r>
    </w:p>
    <w:p w14:paraId="551D71B7" w14:textId="46F78980" w:rsidR="00D46561" w:rsidRDefault="164FB6DC" w:rsidP="0005402F">
      <w:pPr>
        <w:pStyle w:val="Bulletindent2"/>
      </w:pPr>
      <w:r>
        <w:t>the KPI Maximum Performance Adjustment Amount</w:t>
      </w:r>
      <w:r w:rsidR="4F65E239">
        <w:t>; and</w:t>
      </w:r>
    </w:p>
    <w:p w14:paraId="6CD314E9" w14:textId="614685B7" w:rsidR="00D46561" w:rsidRDefault="164FB6DC" w:rsidP="0005402F">
      <w:pPr>
        <w:pStyle w:val="Bulletindent2"/>
      </w:pPr>
      <w:r>
        <w:t>how the Key Performance Score</w:t>
      </w:r>
      <w:r w:rsidR="4BD2C366">
        <w:t xml:space="preserve"> (KPS)</w:t>
      </w:r>
      <w:r>
        <w:t xml:space="preserve"> is calculated.</w:t>
      </w:r>
    </w:p>
    <w:p w14:paraId="7A4FC873" w14:textId="77777777" w:rsidR="00D46561" w:rsidRDefault="00D46561" w:rsidP="00DE68EA">
      <w:pPr>
        <w:pStyle w:val="NormalIndent"/>
      </w:pPr>
      <w:r>
        <w:t>To ensure the KRA regime is effective, the procuring agency should consider the following attributes when developing the KRAs and supporting KPIs:</w:t>
      </w:r>
    </w:p>
    <w:p w14:paraId="61C9D657" w14:textId="1F7E092F" w:rsidR="00D46561" w:rsidRDefault="164FB6DC" w:rsidP="009F5C2E">
      <w:pPr>
        <w:pStyle w:val="Bulletindent"/>
        <w:contextualSpacing/>
      </w:pPr>
      <w:r>
        <w:t>supporting and aligning with the objectives of the project</w:t>
      </w:r>
      <w:r w:rsidR="0E04CAAD">
        <w:t>;</w:t>
      </w:r>
    </w:p>
    <w:p w14:paraId="1730BD78" w14:textId="2990E292" w:rsidR="00D46561" w:rsidRDefault="164FB6DC" w:rsidP="009F5C2E">
      <w:pPr>
        <w:pStyle w:val="Bulletindent"/>
        <w:contextualSpacing/>
      </w:pPr>
      <w:r>
        <w:t>promoting an effective and objective measurement of performance</w:t>
      </w:r>
      <w:r w:rsidR="746B0A1D">
        <w:t>;</w:t>
      </w:r>
    </w:p>
    <w:p w14:paraId="43E173B8" w14:textId="574B6F20" w:rsidR="00D46561" w:rsidRDefault="164FB6DC" w:rsidP="009F5C2E">
      <w:pPr>
        <w:pStyle w:val="Bulletindent"/>
        <w:contextualSpacing/>
      </w:pPr>
      <w:r>
        <w:t>rewarding exceptional performance</w:t>
      </w:r>
      <w:r w:rsidR="746B0A1D">
        <w:t>;</w:t>
      </w:r>
    </w:p>
    <w:p w14:paraId="3B212C7E" w14:textId="1DFFD9FB" w:rsidR="00D46561" w:rsidRDefault="164FB6DC" w:rsidP="009F5C2E">
      <w:pPr>
        <w:pStyle w:val="Bulletindent"/>
        <w:contextualSpacing/>
      </w:pPr>
      <w:r>
        <w:t>providing a meaningful incentive</w:t>
      </w:r>
      <w:r w:rsidR="746B0A1D">
        <w:t>;</w:t>
      </w:r>
    </w:p>
    <w:p w14:paraId="30FE2CA0" w14:textId="72362BB9" w:rsidR="002A524B" w:rsidRPr="002A524B" w:rsidRDefault="164FB6DC" w:rsidP="009F5C2E">
      <w:pPr>
        <w:pStyle w:val="Bulletindent"/>
        <w:contextualSpacing/>
      </w:pPr>
      <w:r>
        <w:t xml:space="preserve">incentivising outcomes </w:t>
      </w:r>
      <w:r w:rsidR="746B0A1D">
        <w:t xml:space="preserve">that </w:t>
      </w:r>
      <w:r>
        <w:t>are directly within the Contractor’s control</w:t>
      </w:r>
      <w:r w:rsidR="746B0A1D">
        <w:t>; and</w:t>
      </w:r>
    </w:p>
    <w:p w14:paraId="66379EC5" w14:textId="6DA6BF1A" w:rsidR="00D46561" w:rsidRDefault="00D46561" w:rsidP="009F5C2E">
      <w:pPr>
        <w:pStyle w:val="Bulletindent"/>
        <w:contextualSpacing/>
      </w:pPr>
      <w:r>
        <w:t>optimising Contractor and the procuring agency’s contract management effort.</w:t>
      </w:r>
    </w:p>
    <w:p w14:paraId="50EFD973" w14:textId="1782E039" w:rsidR="00B75603" w:rsidRDefault="00B75603" w:rsidP="001F3DC7">
      <w:pPr>
        <w:pStyle w:val="Heading4numbered"/>
      </w:pPr>
      <w:bookmarkStart w:id="2021" w:name="_Ref132302151"/>
      <w:r>
        <w:t>Performance Reward Amount</w:t>
      </w:r>
      <w:bookmarkEnd w:id="2021"/>
    </w:p>
    <w:p w14:paraId="668AE3A6" w14:textId="2A8C65DC" w:rsidR="00B75603" w:rsidRDefault="0047498B" w:rsidP="00400321">
      <w:pPr>
        <w:pStyle w:val="NormalIndent"/>
        <w:keepNext/>
      </w:pPr>
      <w:r>
        <w:t>The Performance Reward Amount is the greater of:</w:t>
      </w:r>
    </w:p>
    <w:p w14:paraId="0CC66D40" w14:textId="3965C8C0" w:rsidR="002A524B" w:rsidRPr="002A524B" w:rsidRDefault="5D56EEFE" w:rsidP="00400321">
      <w:pPr>
        <w:pStyle w:val="Bulletindent"/>
        <w:keepNext/>
      </w:pPr>
      <w:r>
        <w:t>z</w:t>
      </w:r>
      <w:r w:rsidR="736892EF">
        <w:t>ero</w:t>
      </w:r>
      <w:r w:rsidR="5810A02F">
        <w:t>; and</w:t>
      </w:r>
    </w:p>
    <w:p w14:paraId="60C39983" w14:textId="3EA2F60F" w:rsidR="0047498B" w:rsidRDefault="0047498B" w:rsidP="00400321">
      <w:pPr>
        <w:pStyle w:val="Bulletindent"/>
        <w:keepNext/>
      </w:pPr>
      <w:r>
        <w:t>the aggregate of all KPI Performance Adjustment Amounts.</w:t>
      </w:r>
    </w:p>
    <w:p w14:paraId="4B3C7AD8" w14:textId="598A657A" w:rsidR="0047498B" w:rsidRDefault="0047498B" w:rsidP="00171513">
      <w:pPr>
        <w:pStyle w:val="Heading5"/>
      </w:pPr>
      <w:r>
        <w:t>KPI Performance Adjustment Amounts</w:t>
      </w:r>
    </w:p>
    <w:p w14:paraId="5C099211" w14:textId="6EE6A014" w:rsidR="0047498B" w:rsidRDefault="736892EF" w:rsidP="00DE68EA">
      <w:pPr>
        <w:pStyle w:val="NormalIndent"/>
      </w:pPr>
      <w:r>
        <w:t>The KPI Performance Adjustment Amount for each KPI is calculated as follows</w:t>
      </w:r>
      <w:r w:rsidR="25A93A36">
        <w:t>.</w:t>
      </w:r>
    </w:p>
    <w:p w14:paraId="5B730CD6" w14:textId="424DF2BB" w:rsidR="00F13B32" w:rsidRDefault="6A046C85" w:rsidP="009F5C2E">
      <w:pPr>
        <w:pStyle w:val="Highlightbox"/>
        <w:ind w:left="4910" w:hanging="4046"/>
      </w:pPr>
      <w:r w:rsidRPr="001D14DC">
        <w:rPr>
          <w:rFonts w:asciiTheme="majorHAnsi" w:hAnsiTheme="majorHAnsi"/>
        </w:rPr>
        <w:t>KPI Performance Adjustment Amount</w:t>
      </w:r>
      <w:r w:rsidR="7865FA55" w:rsidRPr="2C5D2C8B">
        <w:rPr>
          <w:rFonts w:ascii="Calibri" w:hAnsi="Calibri" w:cs="Calibri"/>
        </w:rPr>
        <w:t> </w:t>
      </w:r>
      <w:r>
        <w:t>=</w:t>
      </w:r>
      <w:r w:rsidR="00F13B32">
        <w:tab/>
      </w:r>
      <w:r>
        <w:t>(KPS ÷ 100) × KPI Maximum Performance Adjustment Amount</w:t>
      </w:r>
    </w:p>
    <w:p w14:paraId="7EC05616" w14:textId="51E7736C" w:rsidR="0047498B" w:rsidRDefault="0047498B" w:rsidP="00DE68EA">
      <w:pPr>
        <w:pStyle w:val="NormalIndent"/>
      </w:pPr>
      <w:r>
        <w:t>Where:</w:t>
      </w:r>
    </w:p>
    <w:p w14:paraId="44D33961" w14:textId="52BC6B57" w:rsidR="002A524B" w:rsidRPr="002A524B" w:rsidRDefault="52FE6A64" w:rsidP="0005402F">
      <w:pPr>
        <w:pStyle w:val="Bulletindent"/>
      </w:pPr>
      <w:r>
        <w:t xml:space="preserve">the </w:t>
      </w:r>
      <w:r w:rsidR="32C15EFF">
        <w:t>K</w:t>
      </w:r>
      <w:r w:rsidR="736892EF">
        <w:t xml:space="preserve">ey </w:t>
      </w:r>
      <w:r w:rsidR="32C15EFF">
        <w:t>P</w:t>
      </w:r>
      <w:r w:rsidR="736892EF">
        <w:t xml:space="preserve">erformance </w:t>
      </w:r>
      <w:r w:rsidR="32C15EFF">
        <w:t>S</w:t>
      </w:r>
      <w:r w:rsidR="736892EF">
        <w:t xml:space="preserve">core </w:t>
      </w:r>
      <w:r>
        <w:t xml:space="preserve">(KPS) </w:t>
      </w:r>
      <w:r w:rsidR="736892EF">
        <w:t>for the relevant KRA (calculated in accordance with section</w:t>
      </w:r>
      <w:r w:rsidR="7865FA55" w:rsidRPr="2C5D2C8B">
        <w:rPr>
          <w:rFonts w:ascii="Calibri" w:hAnsi="Calibri"/>
        </w:rPr>
        <w:t> </w:t>
      </w:r>
      <w:r w:rsidR="736892EF">
        <w:t>1 of attachment</w:t>
      </w:r>
      <w:r w:rsidR="7865FA55" w:rsidRPr="2C5D2C8B">
        <w:rPr>
          <w:rFonts w:ascii="Calibri" w:hAnsi="Calibri"/>
        </w:rPr>
        <w:t> </w:t>
      </w:r>
      <w:r w:rsidR="736892EF">
        <w:t xml:space="preserve">1 to </w:t>
      </w:r>
      <w:r w:rsidR="1133178F">
        <w:t>S</w:t>
      </w:r>
      <w:r w:rsidR="736892EF">
        <w:t>chedule</w:t>
      </w:r>
      <w:r w:rsidR="7865FA55" w:rsidRPr="2C5D2C8B">
        <w:rPr>
          <w:rFonts w:ascii="Calibri" w:hAnsi="Calibri"/>
        </w:rPr>
        <w:t> </w:t>
      </w:r>
      <w:r w:rsidR="736892EF">
        <w:t>5)</w:t>
      </w:r>
      <w:r w:rsidR="50F429A0">
        <w:t>; and</w:t>
      </w:r>
    </w:p>
    <w:p w14:paraId="5B8D65E4" w14:textId="3C35BA6E" w:rsidR="0047498B" w:rsidRDefault="736892EF" w:rsidP="0005402F">
      <w:pPr>
        <w:pStyle w:val="Bulletindent"/>
      </w:pPr>
      <w:r>
        <w:t>KPI Maximum Performance Adjustment Amount is the maximum KPI</w:t>
      </w:r>
      <w:r w:rsidR="12325551">
        <w:t xml:space="preserve"> </w:t>
      </w:r>
      <w:r>
        <w:t>Performance Adjustment Amount in relation to a KPI (calculated in accordance with attachment</w:t>
      </w:r>
      <w:r w:rsidR="7865FA55" w:rsidRPr="2C5D2C8B">
        <w:rPr>
          <w:rFonts w:ascii="Calibri" w:hAnsi="Calibri"/>
        </w:rPr>
        <w:t> </w:t>
      </w:r>
      <w:r>
        <w:t xml:space="preserve">1 to </w:t>
      </w:r>
      <w:r w:rsidR="1133178F">
        <w:t>S</w:t>
      </w:r>
      <w:r>
        <w:t>chedule</w:t>
      </w:r>
      <w:r w:rsidR="7865FA55" w:rsidRPr="2C5D2C8B">
        <w:rPr>
          <w:rFonts w:ascii="Calibri" w:hAnsi="Calibri"/>
        </w:rPr>
        <w:t> </w:t>
      </w:r>
      <w:r>
        <w:t>5).</w:t>
      </w:r>
    </w:p>
    <w:p w14:paraId="787804EC" w14:textId="253A28E1" w:rsidR="00F66575" w:rsidRDefault="00F66575" w:rsidP="00171513">
      <w:pPr>
        <w:pStyle w:val="Heading5"/>
      </w:pPr>
      <w:r>
        <w:t>KPI Maximum Performance Adjustment Amounts</w:t>
      </w:r>
    </w:p>
    <w:p w14:paraId="1AB19E9F" w14:textId="5CAB95C0" w:rsidR="005866AF" w:rsidRDefault="3426A6A6" w:rsidP="00DE68EA">
      <w:pPr>
        <w:pStyle w:val="NormalIndent"/>
      </w:pPr>
      <w:r>
        <w:t xml:space="preserve">The KPI Maximum Performance Adjustment Amounts </w:t>
      </w:r>
      <w:r w:rsidR="07F63C3C">
        <w:t>are</w:t>
      </w:r>
      <w:r>
        <w:t xml:space="preserve"> set so that the Performance Reward Amount is capped at the Performance Reward Potential Pool.</w:t>
      </w:r>
    </w:p>
    <w:p w14:paraId="5484962F" w14:textId="4BFB337C" w:rsidR="00F66575" w:rsidRPr="002C041A" w:rsidRDefault="32C15EFF" w:rsidP="00DE68EA">
      <w:pPr>
        <w:pStyle w:val="NormalIndent"/>
      </w:pPr>
      <w:r>
        <w:t xml:space="preserve">Projects </w:t>
      </w:r>
      <w:r w:rsidR="32284773">
        <w:t>are</w:t>
      </w:r>
      <w:r>
        <w:t xml:space="preserve"> required to allocate at least 50</w:t>
      </w:r>
      <w:r w:rsidR="7865FA55" w:rsidRPr="2C5D2C8B">
        <w:rPr>
          <w:rFonts w:ascii="Calibri" w:hAnsi="Calibri" w:cs="Calibri"/>
        </w:rPr>
        <w:t> </w:t>
      </w:r>
      <w:r w:rsidR="2BEA0074">
        <w:t>per</w:t>
      </w:r>
      <w:r w:rsidR="7865FA55" w:rsidRPr="2C5D2C8B">
        <w:rPr>
          <w:rFonts w:ascii="Calibri" w:hAnsi="Calibri" w:cs="Calibri"/>
        </w:rPr>
        <w:t> </w:t>
      </w:r>
      <w:r w:rsidR="2BEA0074">
        <w:t>cent</w:t>
      </w:r>
      <w:r>
        <w:t xml:space="preserve"> of the Performance Reward Potential Pool to achiev</w:t>
      </w:r>
      <w:r w:rsidR="32284773">
        <w:t xml:space="preserve">ing </w:t>
      </w:r>
      <w:r>
        <w:t xml:space="preserve">a </w:t>
      </w:r>
      <w:r w:rsidR="32284773">
        <w:t>time-based</w:t>
      </w:r>
      <w:r>
        <w:t xml:space="preserve"> KRA</w:t>
      </w:r>
      <w:r w:rsidR="4FFDAFC7">
        <w:t xml:space="preserve"> if the </w:t>
      </w:r>
      <w:r w:rsidR="0687DCFA">
        <w:t>d</w:t>
      </w:r>
      <w:r w:rsidR="5855A4AD">
        <w:t xml:space="preserve">elayed </w:t>
      </w:r>
      <w:r w:rsidR="0687DCFA">
        <w:t>l</w:t>
      </w:r>
      <w:r w:rsidR="5855A4AD">
        <w:t xml:space="preserve">iquidated </w:t>
      </w:r>
      <w:r w:rsidR="0687DCFA">
        <w:t>d</w:t>
      </w:r>
      <w:r w:rsidR="5855A4AD">
        <w:t>amages regime is selected</w:t>
      </w:r>
      <w:r w:rsidR="4C0C5C82">
        <w:t>.</w:t>
      </w:r>
    </w:p>
    <w:p w14:paraId="00BDC7DA" w14:textId="53DCA653" w:rsidR="00543E23" w:rsidRPr="000458C6" w:rsidRDefault="00F66575" w:rsidP="00171513">
      <w:pPr>
        <w:pStyle w:val="Heading5"/>
      </w:pPr>
      <w:r>
        <w:t>Key Performance Score</w:t>
      </w:r>
    </w:p>
    <w:p w14:paraId="711BEA82" w14:textId="446688ED" w:rsidR="006C3332" w:rsidRDefault="32C15EFF" w:rsidP="0032157F">
      <w:pPr>
        <w:pStyle w:val="NormalIndent"/>
      </w:pPr>
      <w:r>
        <w:t xml:space="preserve">The procuring </w:t>
      </w:r>
      <w:r w:rsidR="16CD9D94">
        <w:t>agency</w:t>
      </w:r>
      <w:r>
        <w:t xml:space="preserve"> </w:t>
      </w:r>
      <w:r w:rsidR="2C0B0E8B">
        <w:t>is</w:t>
      </w:r>
      <w:r>
        <w:t xml:space="preserve"> required to update attachment</w:t>
      </w:r>
      <w:r w:rsidR="7865FA55" w:rsidRPr="2C5D2C8B">
        <w:rPr>
          <w:rFonts w:ascii="Calibri" w:hAnsi="Calibri" w:cs="Calibri"/>
        </w:rPr>
        <w:t> </w:t>
      </w:r>
      <w:r>
        <w:t xml:space="preserve">1 to </w:t>
      </w:r>
      <w:r w:rsidR="1133178F">
        <w:t>S</w:t>
      </w:r>
      <w:r>
        <w:t>chedule</w:t>
      </w:r>
      <w:r w:rsidR="7865FA55" w:rsidRPr="2C5D2C8B">
        <w:rPr>
          <w:rFonts w:ascii="Calibri" w:hAnsi="Calibri" w:cs="Calibri"/>
        </w:rPr>
        <w:t> </w:t>
      </w:r>
      <w:r w:rsidR="75A44CA0">
        <w:t>5</w:t>
      </w:r>
      <w:r>
        <w:t xml:space="preserve"> to include the methodology for calculating the </w:t>
      </w:r>
      <w:r w:rsidR="0C9053DD">
        <w:t>KPS</w:t>
      </w:r>
      <w:r>
        <w:t xml:space="preserve"> for each KPI</w:t>
      </w:r>
      <w:r w:rsidR="2AAADF0E">
        <w:t>.</w:t>
      </w:r>
      <w:bookmarkStart w:id="2022" w:name="_Ref132199204"/>
    </w:p>
    <w:p w14:paraId="77C3A3C4" w14:textId="6D139B72" w:rsidR="00543E23" w:rsidRDefault="00543E23" w:rsidP="00171513">
      <w:pPr>
        <w:pStyle w:val="Heading5"/>
      </w:pPr>
      <w:r>
        <w:t>Performance Reward Potential Pool</w:t>
      </w:r>
      <w:bookmarkEnd w:id="2022"/>
    </w:p>
    <w:p w14:paraId="276E9236" w14:textId="66136F87" w:rsidR="00543E23" w:rsidRDefault="5A1EBBD6" w:rsidP="0005402F">
      <w:pPr>
        <w:pStyle w:val="NormalIndent"/>
      </w:pPr>
      <w:r>
        <w:t>The Performance Reward Potential Pool is calculated as follows:</w:t>
      </w:r>
    </w:p>
    <w:p w14:paraId="51D1CFFA" w14:textId="5F416BF4" w:rsidR="002A524B" w:rsidRPr="002A524B" w:rsidRDefault="5A1EBBD6" w:rsidP="0005402F">
      <w:pPr>
        <w:pStyle w:val="Bulletindent"/>
      </w:pPr>
      <w:r>
        <w:t xml:space="preserve">if the Contractor </w:t>
      </w:r>
      <w:r w:rsidR="2BD85434">
        <w:t xml:space="preserve">is </w:t>
      </w:r>
      <w:r>
        <w:t xml:space="preserve">engaged in a Competitive TOC Process (see </w:t>
      </w:r>
      <w:r w:rsidR="77EB37E9">
        <w:t>below</w:t>
      </w:r>
      <w:r>
        <w:t>), then 3</w:t>
      </w:r>
      <w:r w:rsidR="7865FA55" w:rsidRPr="2C5D2C8B">
        <w:rPr>
          <w:rFonts w:ascii="Calibri" w:hAnsi="Calibri"/>
        </w:rPr>
        <w:t> </w:t>
      </w:r>
      <w:r w:rsidR="2BEA0074">
        <w:t>per</w:t>
      </w:r>
      <w:r w:rsidR="7865FA55" w:rsidRPr="2C5D2C8B">
        <w:rPr>
          <w:rFonts w:ascii="Calibri" w:hAnsi="Calibri"/>
        </w:rPr>
        <w:t> </w:t>
      </w:r>
      <w:r w:rsidR="2BEA0074">
        <w:t>cent</w:t>
      </w:r>
      <w:r>
        <w:t xml:space="preserve"> of the TOC (excluding </w:t>
      </w:r>
      <w:r w:rsidR="517BD94B">
        <w:t>COP</w:t>
      </w:r>
      <w:r>
        <w:t>)</w:t>
      </w:r>
      <w:r w:rsidR="2BD85434">
        <w:t>; and</w:t>
      </w:r>
    </w:p>
    <w:p w14:paraId="10E72287" w14:textId="3FBC16AC" w:rsidR="00543E23" w:rsidRDefault="5A1EBBD6" w:rsidP="0005402F">
      <w:pPr>
        <w:pStyle w:val="Bulletindent"/>
      </w:pPr>
      <w:r>
        <w:t xml:space="preserve">if the Contractor </w:t>
      </w:r>
      <w:r w:rsidR="2BD85434">
        <w:t xml:space="preserve">is </w:t>
      </w:r>
      <w:r>
        <w:t xml:space="preserve">engaged in a </w:t>
      </w:r>
      <w:r w:rsidR="05F82A29">
        <w:t>S</w:t>
      </w:r>
      <w:r>
        <w:t xml:space="preserve">ingle TOC </w:t>
      </w:r>
      <w:r w:rsidR="05F82A29">
        <w:t>P</w:t>
      </w:r>
      <w:r>
        <w:t xml:space="preserve">rocess (see </w:t>
      </w:r>
      <w:r w:rsidR="77EB37E9">
        <w:t>below</w:t>
      </w:r>
      <w:r>
        <w:t>), then:</w:t>
      </w:r>
    </w:p>
    <w:p w14:paraId="0E244A2C" w14:textId="064DB632" w:rsidR="00543E23" w:rsidRDefault="5A1EBBD6" w:rsidP="0005402F">
      <w:pPr>
        <w:pStyle w:val="Bulletindent2"/>
      </w:pPr>
      <w:r>
        <w:t>1.5</w:t>
      </w:r>
      <w:r w:rsidR="7865FA55" w:rsidRPr="2C5D2C8B">
        <w:rPr>
          <w:rFonts w:ascii="Calibri" w:hAnsi="Calibri"/>
        </w:rPr>
        <w:t> </w:t>
      </w:r>
      <w:r w:rsidR="128DCDFA">
        <w:t>per</w:t>
      </w:r>
      <w:r w:rsidR="7865FA55" w:rsidRPr="2C5D2C8B">
        <w:rPr>
          <w:rFonts w:ascii="Calibri" w:hAnsi="Calibri"/>
        </w:rPr>
        <w:t> </w:t>
      </w:r>
      <w:r w:rsidR="128DCDFA">
        <w:t>cent</w:t>
      </w:r>
      <w:r>
        <w:t xml:space="preserve"> of the TOC (excluding </w:t>
      </w:r>
      <w:r w:rsidR="517BD94B">
        <w:t>COP</w:t>
      </w:r>
      <w:r>
        <w:t>)</w:t>
      </w:r>
      <w:r w:rsidR="5E67764D">
        <w:t>;</w:t>
      </w:r>
      <w:r w:rsidR="05F82A29">
        <w:t xml:space="preserve"> </w:t>
      </w:r>
      <w:r w:rsidR="5E67764D">
        <w:t>and</w:t>
      </w:r>
    </w:p>
    <w:p w14:paraId="213E2525" w14:textId="731D9A0E" w:rsidR="00543E23" w:rsidRDefault="5A1EBBD6" w:rsidP="0005402F">
      <w:pPr>
        <w:pStyle w:val="Bulletindent2"/>
      </w:pPr>
      <w:r>
        <w:t>an additional 1.5</w:t>
      </w:r>
      <w:r w:rsidR="7865FA55" w:rsidRPr="2C5D2C8B">
        <w:rPr>
          <w:rFonts w:ascii="Calibri" w:hAnsi="Calibri"/>
        </w:rPr>
        <w:t> </w:t>
      </w:r>
      <w:r w:rsidR="128DCDFA">
        <w:t>per</w:t>
      </w:r>
      <w:r w:rsidR="7865FA55" w:rsidRPr="2C5D2C8B">
        <w:rPr>
          <w:rFonts w:ascii="Calibri" w:hAnsi="Calibri"/>
        </w:rPr>
        <w:t> </w:t>
      </w:r>
      <w:r w:rsidR="128DCDFA">
        <w:t>cent</w:t>
      </w:r>
      <w:r>
        <w:t xml:space="preserve"> of the TOC (excluding </w:t>
      </w:r>
      <w:r w:rsidR="517BD94B">
        <w:t>COP</w:t>
      </w:r>
      <w:r>
        <w:t>) if the Initial TOC is at least 5</w:t>
      </w:r>
      <w:r w:rsidR="7865FA55" w:rsidRPr="2C5D2C8B">
        <w:rPr>
          <w:rFonts w:ascii="Calibri" w:hAnsi="Calibri"/>
        </w:rPr>
        <w:t> </w:t>
      </w:r>
      <w:r w:rsidR="128DCDFA">
        <w:t>per</w:t>
      </w:r>
      <w:r w:rsidR="7865FA55" w:rsidRPr="2C5D2C8B">
        <w:rPr>
          <w:rFonts w:ascii="Calibri" w:hAnsi="Calibri" w:cs="Calibri"/>
        </w:rPr>
        <w:t> </w:t>
      </w:r>
      <w:r w:rsidR="128DCDFA">
        <w:t>cent</w:t>
      </w:r>
      <w:r>
        <w:t xml:space="preserve"> less than the Principal</w:t>
      </w:r>
      <w:r w:rsidR="629BCFA6">
        <w:t>’</w:t>
      </w:r>
      <w:r>
        <w:t>s Benchmark.</w:t>
      </w:r>
    </w:p>
    <w:p w14:paraId="6823C7E4" w14:textId="1FF451EF" w:rsidR="00543E23" w:rsidRDefault="5A1EBBD6" w:rsidP="0005402F">
      <w:pPr>
        <w:pStyle w:val="NormalIndent"/>
      </w:pPr>
      <w:r>
        <w:t xml:space="preserve">The Performance Reward Potential Pool </w:t>
      </w:r>
      <w:r w:rsidR="098EE0EF">
        <w:t>is</w:t>
      </w:r>
      <w:r>
        <w:t xml:space="preserve"> reduced by 50</w:t>
      </w:r>
      <w:r w:rsidR="7865FA55" w:rsidRPr="2C5D2C8B">
        <w:rPr>
          <w:rFonts w:ascii="Calibri" w:hAnsi="Calibri" w:cs="Calibri"/>
        </w:rPr>
        <w:t> </w:t>
      </w:r>
      <w:r w:rsidR="128DCDFA" w:rsidRPr="2C5D2C8B">
        <w:rPr>
          <w:rFonts w:cs="Calibri"/>
        </w:rPr>
        <w:t>per</w:t>
      </w:r>
      <w:r w:rsidR="7865FA55" w:rsidRPr="2C5D2C8B">
        <w:rPr>
          <w:rFonts w:ascii="Calibri" w:hAnsi="Calibri" w:cs="Calibri"/>
        </w:rPr>
        <w:t> </w:t>
      </w:r>
      <w:r w:rsidR="128DCDFA" w:rsidRPr="2C5D2C8B">
        <w:rPr>
          <w:rFonts w:cs="Calibri"/>
        </w:rPr>
        <w:t>cent</w:t>
      </w:r>
      <w:r>
        <w:t xml:space="preserve"> if there is an event that results in a fatality or total </w:t>
      </w:r>
      <w:r w:rsidR="29B8B200">
        <w:t xml:space="preserve">and </w:t>
      </w:r>
      <w:r>
        <w:t>permanent disability to any person.</w:t>
      </w:r>
    </w:p>
    <w:p w14:paraId="3FB872A9" w14:textId="22AD3673" w:rsidR="00543E23" w:rsidRDefault="00543E23" w:rsidP="00171513">
      <w:pPr>
        <w:pStyle w:val="Heading5"/>
      </w:pPr>
      <w:bookmarkStart w:id="2023" w:name="_Ref132195974"/>
      <w:r>
        <w:t>Competitive TOC Process</w:t>
      </w:r>
      <w:bookmarkEnd w:id="2023"/>
    </w:p>
    <w:p w14:paraId="22138866" w14:textId="6B564C03" w:rsidR="00543E23" w:rsidRDefault="5A1EBBD6" w:rsidP="0005402F">
      <w:pPr>
        <w:pStyle w:val="NormalIndent"/>
      </w:pPr>
      <w:r>
        <w:t xml:space="preserve">The Contractor </w:t>
      </w:r>
      <w:r w:rsidR="245C2040">
        <w:t>has</w:t>
      </w:r>
      <w:r>
        <w:t xml:space="preserve"> engaged in a Competitive TOC Process if the Principal simultaneously engaged:</w:t>
      </w:r>
    </w:p>
    <w:p w14:paraId="11903AEE" w14:textId="77896EA0" w:rsidR="002A524B" w:rsidRPr="002A524B" w:rsidRDefault="5A1EBBD6" w:rsidP="0005402F">
      <w:pPr>
        <w:pStyle w:val="Bulletindent"/>
      </w:pPr>
      <w:r>
        <w:t xml:space="preserve">the Contractor to prepare and submit to the Principal the Delivery Phase Offer under the ITC </w:t>
      </w:r>
      <w:r w:rsidR="16647881">
        <w:t>Development Deed</w:t>
      </w:r>
      <w:r w:rsidR="245C2040">
        <w:t>; and</w:t>
      </w:r>
    </w:p>
    <w:p w14:paraId="382407A0" w14:textId="5A2C1A37" w:rsidR="00543E23" w:rsidRDefault="5A1EBBD6" w:rsidP="0005402F">
      <w:pPr>
        <w:pStyle w:val="Bulletindent"/>
      </w:pPr>
      <w:r>
        <w:t xml:space="preserve">one or more </w:t>
      </w:r>
      <w:r w:rsidR="245C2040">
        <w:t>O</w:t>
      </w:r>
      <w:r>
        <w:t xml:space="preserve">ther </w:t>
      </w:r>
      <w:r w:rsidR="613CA4E8">
        <w:t>S</w:t>
      </w:r>
      <w:r>
        <w:t xml:space="preserve">hortlisted </w:t>
      </w:r>
      <w:r w:rsidR="62401EB5">
        <w:t>R</w:t>
      </w:r>
      <w:r>
        <w:t xml:space="preserve">espondents to prepare and submit to the Principal </w:t>
      </w:r>
      <w:r w:rsidR="4FE2CA69">
        <w:t>D</w:t>
      </w:r>
      <w:r>
        <w:t xml:space="preserve">elivery </w:t>
      </w:r>
      <w:r w:rsidR="4FE2CA69">
        <w:t>P</w:t>
      </w:r>
      <w:r>
        <w:t xml:space="preserve">hase </w:t>
      </w:r>
      <w:r w:rsidR="4FE2CA69">
        <w:t>O</w:t>
      </w:r>
      <w:r>
        <w:t xml:space="preserve">ffers (as defined in the relevant ITC </w:t>
      </w:r>
      <w:r w:rsidR="16647881">
        <w:t>Development Deed</w:t>
      </w:r>
      <w:r>
        <w:t xml:space="preserve">) under separate ITC </w:t>
      </w:r>
      <w:r w:rsidR="16647881">
        <w:t>Development Deed</w:t>
      </w:r>
      <w:r w:rsidR="4FC41844">
        <w:t>s</w:t>
      </w:r>
      <w:r w:rsidR="4D803BE7">
        <w:t xml:space="preserve"> </w:t>
      </w:r>
      <w:r>
        <w:t>for the Project.</w:t>
      </w:r>
    </w:p>
    <w:p w14:paraId="5945579F" w14:textId="50E2D35C" w:rsidR="00543E23" w:rsidRPr="00F251D2" w:rsidRDefault="00543E23" w:rsidP="00171513">
      <w:pPr>
        <w:pStyle w:val="Heading5"/>
      </w:pPr>
      <w:bookmarkStart w:id="2024" w:name="_Ref132195989"/>
      <w:r>
        <w:t>Single TOC Process</w:t>
      </w:r>
      <w:bookmarkEnd w:id="2024"/>
    </w:p>
    <w:p w14:paraId="543F4813" w14:textId="5B23A46F" w:rsidR="00543E23" w:rsidRDefault="5A1EBBD6" w:rsidP="0005402F">
      <w:pPr>
        <w:pStyle w:val="NormalIndent"/>
      </w:pPr>
      <w:r>
        <w:t xml:space="preserve">The Contractor </w:t>
      </w:r>
      <w:r w:rsidR="433DE07F">
        <w:t>has</w:t>
      </w:r>
      <w:r>
        <w:t xml:space="preserve"> engaged in a Single TOC Process if the Principal:</w:t>
      </w:r>
    </w:p>
    <w:p w14:paraId="2C3F643C" w14:textId="60D0A7CD" w:rsidR="002A524B" w:rsidRPr="002A524B" w:rsidRDefault="5A1EBBD6" w:rsidP="0005402F">
      <w:pPr>
        <w:pStyle w:val="Bulletindent"/>
      </w:pPr>
      <w:r>
        <w:t xml:space="preserve">engaged only the Contractor to prepare and submit to the Principal the Delivery Phase Offer under the ITC </w:t>
      </w:r>
      <w:r w:rsidR="16647881">
        <w:t>Development Deed</w:t>
      </w:r>
      <w:r w:rsidR="433DE07F">
        <w:t>; and</w:t>
      </w:r>
    </w:p>
    <w:p w14:paraId="7D9FB9BC" w14:textId="15516501" w:rsidR="00543E23" w:rsidRDefault="5A1EBBD6" w:rsidP="0005402F">
      <w:pPr>
        <w:pStyle w:val="Bulletindent"/>
      </w:pPr>
      <w:r>
        <w:t xml:space="preserve">did not engage any other </w:t>
      </w:r>
      <w:r w:rsidR="3E2B0AE3">
        <w:t>S</w:t>
      </w:r>
      <w:r>
        <w:t xml:space="preserve">hortlisted </w:t>
      </w:r>
      <w:r w:rsidR="3E2B0AE3">
        <w:t>R</w:t>
      </w:r>
      <w:r>
        <w:t xml:space="preserve">espondent to prepare and submit to the Principal any </w:t>
      </w:r>
      <w:r w:rsidR="05F82A29">
        <w:t>D</w:t>
      </w:r>
      <w:r>
        <w:t xml:space="preserve">elivery </w:t>
      </w:r>
      <w:r w:rsidR="05F82A29">
        <w:t>P</w:t>
      </w:r>
      <w:r>
        <w:t xml:space="preserve">hase </w:t>
      </w:r>
      <w:r w:rsidR="05F82A29">
        <w:t>O</w:t>
      </w:r>
      <w:r>
        <w:t xml:space="preserve">ffer under any other ITC </w:t>
      </w:r>
      <w:r w:rsidR="16647881">
        <w:t>Development Deed</w:t>
      </w:r>
      <w:r w:rsidR="4D803BE7">
        <w:t xml:space="preserve"> </w:t>
      </w:r>
      <w:r>
        <w:t>for the Project.</w:t>
      </w:r>
    </w:p>
    <w:p w14:paraId="7ACB7083" w14:textId="74FDA1C8" w:rsidR="00B75603" w:rsidRDefault="0F2B833E" w:rsidP="00CA140E">
      <w:pPr>
        <w:pStyle w:val="Heading3numbered"/>
      </w:pPr>
      <w:r>
        <w:t xml:space="preserve">Payment procedure for </w:t>
      </w:r>
      <w:r w:rsidR="77EB37E9">
        <w:t>Risk</w:t>
      </w:r>
      <w:r w:rsidR="092B47D4">
        <w:t xml:space="preserve"> Amount</w:t>
      </w:r>
      <w:r w:rsidR="77EB37E9">
        <w:t xml:space="preserve"> or Reward Amount</w:t>
      </w:r>
      <w:r w:rsidR="092B47D4">
        <w:t xml:space="preserve"> (clauses</w:t>
      </w:r>
      <w:r w:rsidR="7865FA55" w:rsidRPr="2C5D2C8B">
        <w:rPr>
          <w:rFonts w:ascii="Calibri" w:hAnsi="Calibri" w:cs="Calibri"/>
        </w:rPr>
        <w:t> </w:t>
      </w:r>
      <w:r w:rsidR="092B47D4">
        <w:t>1 and 30.5 of the ITC Delivery Deed)</w:t>
      </w:r>
    </w:p>
    <w:p w14:paraId="41990F67" w14:textId="05B43303" w:rsidR="00B75603" w:rsidRDefault="00951270" w:rsidP="00CA140E">
      <w:pPr>
        <w:pStyle w:val="Heading4numbered"/>
      </w:pPr>
      <w:r>
        <w:t>Calculation</w:t>
      </w:r>
    </w:p>
    <w:p w14:paraId="5B9EA9E4" w14:textId="1A82A335" w:rsidR="00951270" w:rsidRDefault="092B47D4" w:rsidP="0005402F">
      <w:pPr>
        <w:pStyle w:val="NormalIndent"/>
      </w:pPr>
      <w:r>
        <w:t>The Risk Amount or Reward Amount (Risk or Reward Amount) is calculated as follows</w:t>
      </w:r>
      <w:r w:rsidR="217D362F">
        <w:t>.</w:t>
      </w:r>
    </w:p>
    <w:p w14:paraId="7DAC68E0" w14:textId="08B66746" w:rsidR="00E977B3" w:rsidRDefault="63928FEC" w:rsidP="009F5C2E">
      <w:pPr>
        <w:pStyle w:val="Highlightbox"/>
        <w:ind w:left="3571" w:hanging="2707"/>
      </w:pPr>
      <w:r w:rsidRPr="001D14DC">
        <w:rPr>
          <w:rFonts w:asciiTheme="majorHAnsi" w:hAnsiTheme="majorHAnsi"/>
        </w:rPr>
        <w:t>Risk or Reward Amount</w:t>
      </w:r>
      <w:r w:rsidR="7865FA55" w:rsidRPr="2C5D2C8B">
        <w:rPr>
          <w:rFonts w:ascii="Calibri" w:hAnsi="Calibri" w:cs="Calibri"/>
        </w:rPr>
        <w:t> </w:t>
      </w:r>
      <w:r>
        <w:t xml:space="preserve">= </w:t>
      </w:r>
      <w:r w:rsidR="00E977B3">
        <w:tab/>
      </w:r>
      <w:r>
        <w:t>Gainshare Amount (if any)</w:t>
      </w:r>
      <w:r w:rsidR="7865FA55" w:rsidRPr="2C5D2C8B">
        <w:rPr>
          <w:rFonts w:ascii="Calibri" w:hAnsi="Calibri" w:cs="Calibri"/>
        </w:rPr>
        <w:t> </w:t>
      </w:r>
      <w:r>
        <w:t>+</w:t>
      </w:r>
      <w:r w:rsidR="7865FA55" w:rsidRPr="2C5D2C8B">
        <w:rPr>
          <w:rFonts w:ascii="Calibri" w:hAnsi="Calibri" w:cs="Calibri"/>
        </w:rPr>
        <w:t> </w:t>
      </w:r>
      <w:r>
        <w:t>Performance Reward Amount (if</w:t>
      </w:r>
      <w:r w:rsidR="7865FA55" w:rsidRPr="2C5D2C8B">
        <w:rPr>
          <w:rFonts w:ascii="Calibri" w:hAnsi="Calibri" w:cs="Calibri"/>
        </w:rPr>
        <w:t> </w:t>
      </w:r>
      <w:r>
        <w:t>any)</w:t>
      </w:r>
      <w:r w:rsidR="7865FA55" w:rsidRPr="2C5D2C8B">
        <w:rPr>
          <w:rFonts w:ascii="Calibri" w:hAnsi="Calibri" w:cs="Calibri"/>
        </w:rPr>
        <w:t> </w:t>
      </w:r>
      <w:r>
        <w:t>–</w:t>
      </w:r>
      <w:r w:rsidR="7865FA55" w:rsidRPr="2C5D2C8B">
        <w:rPr>
          <w:rFonts w:ascii="Calibri" w:hAnsi="Calibri" w:cs="Calibri"/>
        </w:rPr>
        <w:t> </w:t>
      </w:r>
      <w:r>
        <w:t>Painshare Amounts (if any)</w:t>
      </w:r>
    </w:p>
    <w:p w14:paraId="5D6393D2" w14:textId="177E9E03" w:rsidR="00951270" w:rsidRDefault="77EB37E9" w:rsidP="2C5D2C8B">
      <w:pPr>
        <w:pStyle w:val="NormalIndent"/>
      </w:pPr>
      <w:r>
        <w:t>Where the Risk or Reward Amount is</w:t>
      </w:r>
      <w:r w:rsidR="615A0622">
        <w:t xml:space="preserve"> </w:t>
      </w:r>
      <w:r>
        <w:t xml:space="preserve">a positive number, a Reward Amount </w:t>
      </w:r>
      <w:r w:rsidR="1A8EF50F">
        <w:t>is</w:t>
      </w:r>
      <w:r>
        <w:t xml:space="preserve"> calculated as follows</w:t>
      </w:r>
      <w:r w:rsidR="1A8EF50F">
        <w:t>.</w:t>
      </w:r>
    </w:p>
    <w:p w14:paraId="502AC2B8" w14:textId="725075BF" w:rsidR="00951270" w:rsidRPr="00E3338F" w:rsidRDefault="77EB37E9" w:rsidP="009F5C2E">
      <w:pPr>
        <w:pStyle w:val="Highlightbox"/>
        <w:ind w:left="2790" w:hanging="1926"/>
      </w:pPr>
      <w:r w:rsidRPr="001D14DC">
        <w:rPr>
          <w:rFonts w:asciiTheme="majorHAnsi" w:hAnsiTheme="majorHAnsi"/>
        </w:rPr>
        <w:t>Reward Amount</w:t>
      </w:r>
      <w:r w:rsidR="7865FA55" w:rsidRPr="2C5D2C8B">
        <w:rPr>
          <w:rFonts w:ascii="Calibri" w:hAnsi="Calibri" w:cs="Calibri"/>
        </w:rPr>
        <w:t> </w:t>
      </w:r>
      <w:r>
        <w:t>=</w:t>
      </w:r>
      <w:r w:rsidR="00951270">
        <w:tab/>
      </w:r>
      <w:r>
        <w:t>Risk or Reward Amount</w:t>
      </w:r>
    </w:p>
    <w:p w14:paraId="440B76B2" w14:textId="4E88B0B3" w:rsidR="002A524B" w:rsidRPr="002A524B" w:rsidRDefault="615A0622" w:rsidP="2C5D2C8B">
      <w:pPr>
        <w:pStyle w:val="NormalIndent"/>
      </w:pPr>
      <w:r>
        <w:t xml:space="preserve">Where the Risk or Reward Amount is </w:t>
      </w:r>
      <w:r w:rsidR="77EB37E9">
        <w:t>zero, there is no Risk Amount or Reward Amount</w:t>
      </w:r>
      <w:r>
        <w:t>.</w:t>
      </w:r>
    </w:p>
    <w:p w14:paraId="39E136CA" w14:textId="3918FE66" w:rsidR="00951270" w:rsidRDefault="615A0622" w:rsidP="2C5D2C8B">
      <w:pPr>
        <w:pStyle w:val="NormalIndent"/>
      </w:pPr>
      <w:r>
        <w:t xml:space="preserve">Where the Risk or Reward Amount is </w:t>
      </w:r>
      <w:r w:rsidR="77EB37E9">
        <w:t xml:space="preserve">a negative number, a Risk Amount </w:t>
      </w:r>
      <w:r>
        <w:t>is</w:t>
      </w:r>
      <w:r w:rsidR="77EB37E9">
        <w:t xml:space="preserve"> calculated as follows</w:t>
      </w:r>
      <w:r>
        <w:t>.</w:t>
      </w:r>
    </w:p>
    <w:p w14:paraId="60BD68DE" w14:textId="12CF890D" w:rsidR="00951270" w:rsidRDefault="77EB37E9" w:rsidP="009F5C2E">
      <w:pPr>
        <w:pStyle w:val="Highlightbox"/>
        <w:tabs>
          <w:tab w:val="clear" w:pos="270"/>
        </w:tabs>
        <w:ind w:left="2430" w:hanging="1566"/>
      </w:pPr>
      <w:r w:rsidRPr="001D14DC">
        <w:rPr>
          <w:rFonts w:asciiTheme="majorHAnsi" w:hAnsiTheme="majorHAnsi"/>
        </w:rPr>
        <w:t>Risk Amount</w:t>
      </w:r>
      <w:r w:rsidR="7865FA55" w:rsidRPr="2C5D2C8B">
        <w:rPr>
          <w:rFonts w:ascii="Calibri" w:hAnsi="Calibri" w:cs="Calibri"/>
          <w:i/>
        </w:rPr>
        <w:t> </w:t>
      </w:r>
      <w:r>
        <w:t>=</w:t>
      </w:r>
      <w:r w:rsidR="00951270">
        <w:tab/>
      </w:r>
      <w:r w:rsidRPr="2C5D2C8B">
        <w:rPr>
          <w:i/>
        </w:rPr>
        <w:t>Risk or Reward Amount</w:t>
      </w:r>
      <w:r w:rsidR="7865FA55" w:rsidRPr="2C5D2C8B">
        <w:rPr>
          <w:rFonts w:ascii="Calibri" w:hAnsi="Calibri" w:cs="Calibri"/>
          <w:i/>
        </w:rPr>
        <w:t> </w:t>
      </w:r>
      <w:r w:rsidR="2BE005B7" w:rsidRPr="2C5D2C8B">
        <w:rPr>
          <w:i/>
        </w:rPr>
        <w:t>x</w:t>
      </w:r>
      <w:r w:rsidR="7865FA55" w:rsidRPr="2C5D2C8B">
        <w:rPr>
          <w:rFonts w:ascii="Calibri" w:hAnsi="Calibri" w:cs="Calibri"/>
          <w:i/>
        </w:rPr>
        <w:t> </w:t>
      </w:r>
      <w:r w:rsidR="615A0622" w:rsidRPr="2C5D2C8B">
        <w:rPr>
          <w:i/>
        </w:rPr>
        <w:t>–</w:t>
      </w:r>
      <w:r w:rsidRPr="2C5D2C8B">
        <w:rPr>
          <w:i/>
        </w:rPr>
        <w:t>1,</w:t>
      </w:r>
      <w:r w:rsidR="4D803BE7">
        <w:t xml:space="preserve"> </w:t>
      </w:r>
      <w:r>
        <w:t>subject to the Primary Painshare Threshold</w:t>
      </w:r>
      <w:r w:rsidR="0F2B833E">
        <w:t xml:space="preserve"> (100</w:t>
      </w:r>
      <w:r w:rsidR="53C99D7A">
        <w:t xml:space="preserve">% </w:t>
      </w:r>
      <w:r w:rsidR="0F2B833E">
        <w:t xml:space="preserve">of </w:t>
      </w:r>
      <w:r w:rsidR="517BD94B">
        <w:t>COP</w:t>
      </w:r>
      <w:r w:rsidR="5B0771DF">
        <w:t xml:space="preserve"> </w:t>
      </w:r>
      <w:r w:rsidR="0F2B833E">
        <w:t>based on the TOC)</w:t>
      </w:r>
    </w:p>
    <w:p w14:paraId="7F48AD16" w14:textId="7DCD9930" w:rsidR="00951270" w:rsidRDefault="00F9708D" w:rsidP="008F1942">
      <w:pPr>
        <w:pStyle w:val="Heading4numbered"/>
      </w:pPr>
      <w:r>
        <w:t>Notice and determination</w:t>
      </w:r>
    </w:p>
    <w:p w14:paraId="4BA8BD7B" w14:textId="3218A108" w:rsidR="00951270" w:rsidRDefault="0F2B833E" w:rsidP="0005402F">
      <w:pPr>
        <w:pStyle w:val="NormalIndent"/>
      </w:pPr>
      <w:r>
        <w:t>Within 20 Business Days of the Calculation Date, the Contractor must deliver a notice to the Principal Representative detailing the Reward Amount or Risk Amount (if any) that it considers payable</w:t>
      </w:r>
      <w:r w:rsidR="4835DC4C">
        <w:t xml:space="preserve"> for the period from the Contract Date until the Calculation Date,</w:t>
      </w:r>
      <w:r>
        <w:t xml:space="preserve"> in accordance with the Risk </w:t>
      </w:r>
      <w:r w:rsidR="535F0289">
        <w:t>or</w:t>
      </w:r>
      <w:r>
        <w:t xml:space="preserve"> Reward Regime</w:t>
      </w:r>
      <w:r w:rsidR="4835DC4C">
        <w:t>. Within 10 Business Days of receipt of the Contractor</w:t>
      </w:r>
      <w:r w:rsidR="629BCFA6">
        <w:t>’</w:t>
      </w:r>
      <w:r w:rsidR="4835DC4C">
        <w:t>s notice, the Principal Representative determine</w:t>
      </w:r>
      <w:r w:rsidR="1DEEAD70">
        <w:t>s</w:t>
      </w:r>
      <w:r w:rsidR="4835DC4C">
        <w:t xml:space="preserve"> the Reward Amount or Risk Amount (if any) that is payable in accordance with the Risk </w:t>
      </w:r>
      <w:r w:rsidR="535F0289">
        <w:t>or</w:t>
      </w:r>
      <w:r w:rsidR="4835DC4C">
        <w:t xml:space="preserve"> Reward Regime</w:t>
      </w:r>
      <w:r w:rsidR="1DEEAD70">
        <w:t>.</w:t>
      </w:r>
      <w:r w:rsidR="4835DC4C">
        <w:t xml:space="preserve"> </w:t>
      </w:r>
      <w:r w:rsidR="1DEEAD70">
        <w:t>I</w:t>
      </w:r>
      <w:r w:rsidR="4835DC4C">
        <w:t>f there is:</w:t>
      </w:r>
    </w:p>
    <w:p w14:paraId="1FA56A45" w14:textId="136D1CC5" w:rsidR="002A524B" w:rsidRPr="002A524B" w:rsidRDefault="4835DC4C" w:rsidP="0005402F">
      <w:pPr>
        <w:pStyle w:val="Bulletindent"/>
      </w:pPr>
      <w:r>
        <w:t>a Reward Amount, that amount may be claimed by the Contractor in the next payment claim</w:t>
      </w:r>
      <w:r w:rsidR="59FFD2C2">
        <w:t>; or</w:t>
      </w:r>
    </w:p>
    <w:p w14:paraId="7FC9D9E2" w14:textId="6DF65EF2" w:rsidR="00B3279C" w:rsidRDefault="00B3279C" w:rsidP="0005402F">
      <w:pPr>
        <w:pStyle w:val="Bulletindent"/>
      </w:pPr>
      <w:r>
        <w:t>a Risk Amount, that amount must be paid by the Contractor within 20 Business Days of receipt of the Principal Representative</w:t>
      </w:r>
      <w:r w:rsidR="00633251">
        <w:t>’</w:t>
      </w:r>
      <w:r>
        <w:t>s determination.</w:t>
      </w:r>
    </w:p>
    <w:p w14:paraId="386C2FA8" w14:textId="65CE5F59" w:rsidR="00B3279C" w:rsidRDefault="00B3279C" w:rsidP="0005402F">
      <w:pPr>
        <w:pStyle w:val="NormalIndent"/>
      </w:pPr>
      <w:r>
        <w:t>Payment of any Reward Amount or Risk Amount pursuant to the process above is on account only.</w:t>
      </w:r>
    </w:p>
    <w:p w14:paraId="5C62F881" w14:textId="1FDF1877" w:rsidR="00DF2228" w:rsidRPr="000458C6" w:rsidRDefault="00DF2228" w:rsidP="008F1942">
      <w:pPr>
        <w:pStyle w:val="Heading2numbered"/>
      </w:pPr>
      <w:bookmarkStart w:id="2025" w:name="_Toc133577897"/>
      <w:bookmarkStart w:id="2026" w:name="_Toc145612592"/>
      <w:r w:rsidRPr="000458C6">
        <w:t>Principal</w:t>
      </w:r>
      <w:r w:rsidR="00633251">
        <w:t>’</w:t>
      </w:r>
      <w:r w:rsidR="00943DF1">
        <w:t>s</w:t>
      </w:r>
      <w:r w:rsidRPr="000458C6">
        <w:t xml:space="preserve"> KRAs</w:t>
      </w:r>
      <w:bookmarkEnd w:id="2025"/>
      <w:r w:rsidR="00A4731E">
        <w:t xml:space="preserve"> </w:t>
      </w:r>
      <w:r w:rsidR="00A4731E" w:rsidRPr="00A4731E">
        <w:t>(clause</w:t>
      </w:r>
      <w:r w:rsidR="00754976" w:rsidRPr="00754976">
        <w:rPr>
          <w:rFonts w:ascii="Calibri" w:hAnsi="Calibri" w:cs="Calibri"/>
        </w:rPr>
        <w:t> </w:t>
      </w:r>
      <w:r w:rsidR="00A4731E" w:rsidRPr="00A4731E">
        <w:t>4.6 of the ITC Delivery Deed)</w:t>
      </w:r>
      <w:bookmarkEnd w:id="2026"/>
    </w:p>
    <w:p w14:paraId="5BE44581" w14:textId="39E1823B" w:rsidR="00DF2228" w:rsidRDefault="2948BEAE" w:rsidP="0005402F">
      <w:pPr>
        <w:pStyle w:val="NormalIndent"/>
      </w:pPr>
      <w:r>
        <w:t>The parties agree</w:t>
      </w:r>
      <w:r w:rsidR="0C9F1046">
        <w:t xml:space="preserve"> on the</w:t>
      </w:r>
      <w:r>
        <w:t xml:space="preserve"> </w:t>
      </w:r>
      <w:r w:rsidR="21AE9526">
        <w:t>Principal</w:t>
      </w:r>
      <w:r w:rsidR="629BCFA6">
        <w:t>’</w:t>
      </w:r>
      <w:r w:rsidR="5CDFF18B">
        <w:t>s</w:t>
      </w:r>
      <w:r w:rsidR="2AAADF0E">
        <w:t xml:space="preserve"> KRAs </w:t>
      </w:r>
      <w:r>
        <w:t xml:space="preserve">in respect of the </w:t>
      </w:r>
      <w:r w:rsidR="5CDFF18B">
        <w:t>Principal</w:t>
      </w:r>
      <w:r w:rsidR="629BCFA6">
        <w:t>’</w:t>
      </w:r>
      <w:r w:rsidR="5CDFF18B">
        <w:t>s</w:t>
      </w:r>
      <w:r>
        <w:t xml:space="preserve"> engagement on certain matters. Achievement (or otherwise) of the </w:t>
      </w:r>
      <w:r w:rsidR="5CDFF18B">
        <w:t>Principal</w:t>
      </w:r>
      <w:r w:rsidR="629BCFA6">
        <w:t>’</w:t>
      </w:r>
      <w:r w:rsidR="5CDFF18B">
        <w:t>s</w:t>
      </w:r>
      <w:r>
        <w:t xml:space="preserve"> KRAs </w:t>
      </w:r>
      <w:r w:rsidR="0C9F1046">
        <w:t>is</w:t>
      </w:r>
      <w:r>
        <w:t xml:space="preserve"> </w:t>
      </w:r>
      <w:r w:rsidR="2AAADF0E">
        <w:t>monitored by the Senior Representatives Group</w:t>
      </w:r>
      <w:r w:rsidR="32A6D22F">
        <w:t xml:space="preserve"> and Executive Review Group</w:t>
      </w:r>
      <w:r w:rsidR="2AAADF0E">
        <w:t xml:space="preserve">, </w:t>
      </w:r>
      <w:r>
        <w:t xml:space="preserve">but a failure to achieve the </w:t>
      </w:r>
      <w:r w:rsidR="5CDFF18B">
        <w:t>Principal</w:t>
      </w:r>
      <w:r w:rsidR="629BCFA6">
        <w:t>’</w:t>
      </w:r>
      <w:r w:rsidR="5CDFF18B">
        <w:t>s</w:t>
      </w:r>
      <w:r>
        <w:t xml:space="preserve"> KRAs </w:t>
      </w:r>
      <w:r w:rsidR="0B1DCA9D">
        <w:t xml:space="preserve">does </w:t>
      </w:r>
      <w:r>
        <w:t>not entitle the Contractor to any relief</w:t>
      </w:r>
      <w:r w:rsidR="2AAADF0E">
        <w:t>.</w:t>
      </w:r>
      <w:r w:rsidR="7AD0CD50">
        <w:t xml:space="preserve"> More information on the application of the Principal’s KRA is available in the</w:t>
      </w:r>
      <w:r w:rsidR="209D1BA7">
        <w:t xml:space="preserve"> ITC</w:t>
      </w:r>
      <w:r w:rsidR="7AD0CD50">
        <w:t xml:space="preserve"> Commercial Principles</w:t>
      </w:r>
      <w:r w:rsidR="00E94F6D">
        <w:t xml:space="preserve"> available on</w:t>
      </w:r>
      <w:r w:rsidR="00DA4AC1">
        <w:t xml:space="preserve"> </w:t>
      </w:r>
      <w:r w:rsidR="00DA4AC1">
        <w:t xml:space="preserve"> </w:t>
      </w:r>
      <w:hyperlink r:id="rId64" w:history="1">
        <w:r w:rsidR="00DA4AC1">
          <w:rPr>
            <w:rStyle w:val="Hyperlink"/>
          </w:rPr>
          <w:t>Cost Reimbursable Procurement Category webpage</w:t>
        </w:r>
      </w:hyperlink>
      <w:r w:rsidR="7AD0CD50">
        <w:t>.</w:t>
      </w:r>
    </w:p>
    <w:p w14:paraId="34DE3A77" w14:textId="19F75C1F" w:rsidR="00E26C3B" w:rsidRPr="00E3338F" w:rsidRDefault="00E26C3B" w:rsidP="008F1942">
      <w:pPr>
        <w:pStyle w:val="Heading2numbered"/>
      </w:pPr>
      <w:bookmarkStart w:id="2027" w:name="_Toc133577898"/>
      <w:bookmarkStart w:id="2028" w:name="_Toc145612593"/>
      <w:r>
        <w:t>Cost planning and control</w:t>
      </w:r>
      <w:bookmarkEnd w:id="2027"/>
      <w:r w:rsidR="00A4731E">
        <w:t xml:space="preserve"> </w:t>
      </w:r>
      <w:r w:rsidR="00A4731E" w:rsidRPr="00A4731E">
        <w:t>(clause</w:t>
      </w:r>
      <w:r w:rsidR="00754976" w:rsidRPr="00754976">
        <w:rPr>
          <w:rFonts w:ascii="Calibri" w:hAnsi="Calibri" w:cs="Calibri"/>
        </w:rPr>
        <w:t> </w:t>
      </w:r>
      <w:r w:rsidR="00A4731E" w:rsidRPr="00A4731E">
        <w:t>21 of the ITC Delivery Deed)</w:t>
      </w:r>
      <w:bookmarkEnd w:id="2028"/>
    </w:p>
    <w:p w14:paraId="0605CB1B" w14:textId="7291C33C" w:rsidR="003163EC" w:rsidRDefault="296AF3E2" w:rsidP="0005402F">
      <w:pPr>
        <w:pStyle w:val="NormalIndent"/>
      </w:pPr>
      <w:r>
        <w:t>The ITC Delivery Deed requires the Contractor to institute a system of cost control. This system provides an oversight process for the Principal</w:t>
      </w:r>
      <w:r w:rsidR="55783F61">
        <w:t>,</w:t>
      </w:r>
      <w:r>
        <w:t xml:space="preserve"> as it includes monthly submissions of relevant cost information to the Principal</w:t>
      </w:r>
      <w:r w:rsidR="72A7D41A">
        <w:t xml:space="preserve"> Representative</w:t>
      </w:r>
      <w:r>
        <w:t xml:space="preserve"> for review.</w:t>
      </w:r>
    </w:p>
    <w:p w14:paraId="20BF8067" w14:textId="192A758C" w:rsidR="00E26C3B" w:rsidRDefault="003454BE" w:rsidP="0005402F">
      <w:pPr>
        <w:pStyle w:val="NormalIndent"/>
      </w:pPr>
      <w:r>
        <w:rPr>
          <w:color w:val="000000"/>
          <w:spacing w:val="2"/>
        </w:rPr>
        <w:t xml:space="preserve">At least once per Month, the Contractor must review and, where approved </w:t>
      </w:r>
      <w:r w:rsidR="74FD3DA6">
        <w:t>by the Principal Representative, amend the Cost Plan to take account of any item affecting or likely to affect a component of the Cost Plan.</w:t>
      </w:r>
      <w:r w:rsidR="296AF3E2">
        <w:t xml:space="preserve"> The Contractor must advise </w:t>
      </w:r>
      <w:r w:rsidR="74FD3DA6">
        <w:t xml:space="preserve">the Principal Representative </w:t>
      </w:r>
      <w:r w:rsidR="1BC9157A">
        <w:t>of</w:t>
      </w:r>
      <w:r w:rsidR="74FD3DA6">
        <w:t xml:space="preserve"> available </w:t>
      </w:r>
      <w:r w:rsidR="296AF3E2">
        <w:t xml:space="preserve">alternative steps </w:t>
      </w:r>
      <w:r w:rsidR="74FD3DA6">
        <w:t>where</w:t>
      </w:r>
      <w:r w:rsidR="296AF3E2">
        <w:t>:</w:t>
      </w:r>
    </w:p>
    <w:p w14:paraId="6DADAEBB" w14:textId="6A6B8AA2" w:rsidR="00E26C3B" w:rsidRDefault="296AF3E2" w:rsidP="0005402F">
      <w:pPr>
        <w:pStyle w:val="Bulletindent"/>
      </w:pPr>
      <w:r>
        <w:t xml:space="preserve">a tender for any part of </w:t>
      </w:r>
      <w:r w:rsidR="72A7D41A">
        <w:t>the Contractor</w:t>
      </w:r>
      <w:r w:rsidR="629BCFA6">
        <w:t>’</w:t>
      </w:r>
      <w:r w:rsidR="72A7D41A">
        <w:t>s Activities t</w:t>
      </w:r>
      <w:r>
        <w:t>o be performed by a Subcontractor exceeds the amount included for that work in the Cost Plan</w:t>
      </w:r>
      <w:r w:rsidR="0A849450">
        <w:t>;</w:t>
      </w:r>
    </w:p>
    <w:p w14:paraId="03CB0CA5" w14:textId="2CFC594E" w:rsidR="002A524B" w:rsidRPr="002A524B" w:rsidRDefault="7ECBA942" w:rsidP="00400321">
      <w:pPr>
        <w:pStyle w:val="Bulletindent"/>
        <w:keepNext/>
      </w:pPr>
      <w:r>
        <w:t>r</w:t>
      </w:r>
      <w:r w:rsidR="296AF3E2">
        <w:t xml:space="preserve">eimbursable Costs incurred </w:t>
      </w:r>
      <w:r w:rsidR="72A7D41A">
        <w:t>in respect of any Contractor</w:t>
      </w:r>
      <w:r w:rsidR="629BCFA6">
        <w:t>’</w:t>
      </w:r>
      <w:r w:rsidR="72A7D41A">
        <w:t xml:space="preserve">s Activities </w:t>
      </w:r>
      <w:r w:rsidR="296AF3E2">
        <w:t>exceed the amount allowed for in the cash</w:t>
      </w:r>
      <w:r w:rsidR="257551F3">
        <w:t xml:space="preserve"> </w:t>
      </w:r>
      <w:r w:rsidR="296AF3E2">
        <w:t xml:space="preserve">flow </w:t>
      </w:r>
      <w:r w:rsidR="3FA4EEBD">
        <w:t xml:space="preserve">that </w:t>
      </w:r>
      <w:r w:rsidR="296AF3E2">
        <w:t>forms part of the Cost Plan</w:t>
      </w:r>
      <w:r w:rsidR="7065FFCD">
        <w:t>,</w:t>
      </w:r>
      <w:r w:rsidR="296AF3E2">
        <w:t xml:space="preserve"> or the forecast final Reimbursable Costs of the </w:t>
      </w:r>
      <w:r w:rsidR="32A6D22F">
        <w:t>Contractor</w:t>
      </w:r>
      <w:r w:rsidR="629BCFA6">
        <w:t>’</w:t>
      </w:r>
      <w:r w:rsidR="32A6D22F">
        <w:t>s Activities a</w:t>
      </w:r>
      <w:r w:rsidR="296AF3E2">
        <w:t>ppears likely to exceed the total amount allowed for (including contingency) in the Cost Plan</w:t>
      </w:r>
      <w:r w:rsidR="7065FFCD">
        <w:t>; or</w:t>
      </w:r>
    </w:p>
    <w:p w14:paraId="35BCDE66" w14:textId="7511490B" w:rsidR="00E26C3B" w:rsidRDefault="296AF3E2" w:rsidP="0005402F">
      <w:pPr>
        <w:pStyle w:val="Bulletindent"/>
      </w:pPr>
      <w:r>
        <w:t xml:space="preserve">no tenders are received for any part of the </w:t>
      </w:r>
      <w:r w:rsidR="32A6D22F">
        <w:t>Contractor</w:t>
      </w:r>
      <w:r w:rsidR="629BCFA6">
        <w:t>’</w:t>
      </w:r>
      <w:r w:rsidR="32A6D22F">
        <w:t>s Activities</w:t>
      </w:r>
      <w:r>
        <w:t xml:space="preserve"> to be </w:t>
      </w:r>
      <w:r w:rsidR="0CF91D1B">
        <w:t>S</w:t>
      </w:r>
      <w:r>
        <w:t>ubcontracted.</w:t>
      </w:r>
    </w:p>
    <w:p w14:paraId="62054F51" w14:textId="0078D923" w:rsidR="002B5BB6" w:rsidRDefault="46386B8A" w:rsidP="008F1942">
      <w:pPr>
        <w:pStyle w:val="Heading2numbered"/>
      </w:pPr>
      <w:bookmarkStart w:id="2029" w:name="_Toc131690088"/>
      <w:bookmarkStart w:id="2030" w:name="_Toc131690089"/>
      <w:bookmarkStart w:id="2031" w:name="_Toc131690090"/>
      <w:bookmarkStart w:id="2032" w:name="_Toc131690091"/>
      <w:bookmarkStart w:id="2033" w:name="_Toc131690092"/>
      <w:bookmarkStart w:id="2034" w:name="_Toc131690093"/>
      <w:bookmarkStart w:id="2035" w:name="_Toc131430131"/>
      <w:bookmarkStart w:id="2036" w:name="_Toc131430850"/>
      <w:bookmarkStart w:id="2037" w:name="_Toc131431552"/>
      <w:bookmarkStart w:id="2038" w:name="_Toc131490039"/>
      <w:bookmarkStart w:id="2039" w:name="_Toc131502847"/>
      <w:bookmarkStart w:id="2040" w:name="_Toc131511666"/>
      <w:bookmarkStart w:id="2041" w:name="_Toc131523143"/>
      <w:bookmarkStart w:id="2042" w:name="_Toc131552865"/>
      <w:bookmarkStart w:id="2043" w:name="_Toc131553648"/>
      <w:bookmarkStart w:id="2044" w:name="_Toc131554447"/>
      <w:bookmarkStart w:id="2045" w:name="_Toc131555260"/>
      <w:bookmarkStart w:id="2046" w:name="_Toc131621504"/>
      <w:bookmarkStart w:id="2047" w:name="_Toc131684491"/>
      <w:bookmarkStart w:id="2048" w:name="_Toc131690094"/>
      <w:bookmarkStart w:id="2049" w:name="_Toc131929010"/>
      <w:bookmarkStart w:id="2050" w:name="_Toc132106132"/>
      <w:bookmarkStart w:id="2051" w:name="_Toc132106245"/>
      <w:bookmarkStart w:id="2052" w:name="_Toc132181164"/>
      <w:bookmarkStart w:id="2053" w:name="_Toc132181275"/>
      <w:bookmarkStart w:id="2054" w:name="_Toc131430132"/>
      <w:bookmarkStart w:id="2055" w:name="_Toc131430851"/>
      <w:bookmarkStart w:id="2056" w:name="_Toc131431553"/>
      <w:bookmarkStart w:id="2057" w:name="_Toc131490040"/>
      <w:bookmarkStart w:id="2058" w:name="_Toc131502848"/>
      <w:bookmarkStart w:id="2059" w:name="_Toc131511667"/>
      <w:bookmarkStart w:id="2060" w:name="_Toc131523144"/>
      <w:bookmarkStart w:id="2061" w:name="_Toc131552866"/>
      <w:bookmarkStart w:id="2062" w:name="_Toc131553649"/>
      <w:bookmarkStart w:id="2063" w:name="_Toc131554448"/>
      <w:bookmarkStart w:id="2064" w:name="_Toc131555261"/>
      <w:bookmarkStart w:id="2065" w:name="_Toc131621505"/>
      <w:bookmarkStart w:id="2066" w:name="_Toc131690095"/>
      <w:bookmarkStart w:id="2067" w:name="_Toc131430133"/>
      <w:bookmarkStart w:id="2068" w:name="_Toc131430852"/>
      <w:bookmarkStart w:id="2069" w:name="_Toc131431554"/>
      <w:bookmarkStart w:id="2070" w:name="_Toc131490041"/>
      <w:bookmarkStart w:id="2071" w:name="_Toc131502849"/>
      <w:bookmarkStart w:id="2072" w:name="_Toc131511668"/>
      <w:bookmarkStart w:id="2073" w:name="_Toc131523145"/>
      <w:bookmarkStart w:id="2074" w:name="_Toc131552867"/>
      <w:bookmarkStart w:id="2075" w:name="_Toc131553650"/>
      <w:bookmarkStart w:id="2076" w:name="_Toc131554449"/>
      <w:bookmarkStart w:id="2077" w:name="_Toc131555262"/>
      <w:bookmarkStart w:id="2078" w:name="_Toc131621506"/>
      <w:bookmarkStart w:id="2079" w:name="_Toc131690096"/>
      <w:bookmarkStart w:id="2080" w:name="_Toc131430134"/>
      <w:bookmarkStart w:id="2081" w:name="_Toc131430853"/>
      <w:bookmarkStart w:id="2082" w:name="_Toc131431555"/>
      <w:bookmarkStart w:id="2083" w:name="_Toc131490042"/>
      <w:bookmarkStart w:id="2084" w:name="_Toc131502850"/>
      <w:bookmarkStart w:id="2085" w:name="_Toc131511669"/>
      <w:bookmarkStart w:id="2086" w:name="_Toc131523146"/>
      <w:bookmarkStart w:id="2087" w:name="_Toc131552868"/>
      <w:bookmarkStart w:id="2088" w:name="_Toc131553651"/>
      <w:bookmarkStart w:id="2089" w:name="_Toc131554450"/>
      <w:bookmarkStart w:id="2090" w:name="_Toc131555263"/>
      <w:bookmarkStart w:id="2091" w:name="_Toc131621507"/>
      <w:bookmarkStart w:id="2092" w:name="_Toc131690097"/>
      <w:bookmarkStart w:id="2093" w:name="_Toc133577899"/>
      <w:bookmarkStart w:id="2094" w:name="_Toc145612594"/>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t>Adjustment Events</w:t>
      </w:r>
      <w:bookmarkEnd w:id="2093"/>
      <w:r w:rsidR="092B47D4">
        <w:t xml:space="preserve"> (clause</w:t>
      </w:r>
      <w:r w:rsidR="7865FA55" w:rsidRPr="2C5D2C8B">
        <w:rPr>
          <w:rFonts w:ascii="Calibri" w:hAnsi="Calibri" w:cs="Calibri"/>
        </w:rPr>
        <w:t> </w:t>
      </w:r>
      <w:r w:rsidR="092B47D4">
        <w:t xml:space="preserve">27 of, and </w:t>
      </w:r>
      <w:r w:rsidR="1133178F">
        <w:t>S</w:t>
      </w:r>
      <w:r w:rsidR="092B47D4">
        <w:t>chedule</w:t>
      </w:r>
      <w:r w:rsidR="7865FA55" w:rsidRPr="2C5D2C8B">
        <w:rPr>
          <w:rFonts w:ascii="Calibri" w:hAnsi="Calibri" w:cs="Calibri"/>
        </w:rPr>
        <w:t> </w:t>
      </w:r>
      <w:r w:rsidR="092B47D4">
        <w:t>15 to, the ITC Delivery Deed)</w:t>
      </w:r>
      <w:bookmarkEnd w:id="2094"/>
    </w:p>
    <w:p w14:paraId="378C454A" w14:textId="2BB607C2" w:rsidR="000F668B" w:rsidRDefault="48DEEB68" w:rsidP="008F1942">
      <w:pPr>
        <w:pStyle w:val="Heading3numbered"/>
      </w:pPr>
      <w:bookmarkStart w:id="2095" w:name="_Ref131510058"/>
      <w:r>
        <w:t xml:space="preserve">General </w:t>
      </w:r>
      <w:r w:rsidR="1EE8284D">
        <w:t>p</w:t>
      </w:r>
      <w:r>
        <w:t>rinciple</w:t>
      </w:r>
      <w:bookmarkEnd w:id="2095"/>
      <w:r w:rsidR="092B47D4">
        <w:t xml:space="preserve"> (clause 27.5</w:t>
      </w:r>
      <w:r w:rsidR="7865FA55" w:rsidRPr="2C5D2C8B">
        <w:rPr>
          <w:rFonts w:ascii="Calibri" w:hAnsi="Calibri" w:cs="Calibri"/>
        </w:rPr>
        <w:t> </w:t>
      </w:r>
      <w:r w:rsidR="092B47D4">
        <w:t xml:space="preserve">of, and </w:t>
      </w:r>
      <w:r w:rsidR="1133178F">
        <w:t>S</w:t>
      </w:r>
      <w:r w:rsidR="092B47D4">
        <w:t>chedule 15 to, the ITC Delivery Deed)</w:t>
      </w:r>
    </w:p>
    <w:p w14:paraId="44544B5C" w14:textId="21288AC1" w:rsidR="00277F2C" w:rsidRDefault="002B5BB6" w:rsidP="0005402F">
      <w:pPr>
        <w:pStyle w:val="NormalIndent"/>
      </w:pPr>
      <w:r>
        <w:t>T</w:t>
      </w:r>
      <w:r w:rsidRPr="00E7509A">
        <w:t>he</w:t>
      </w:r>
      <w:r w:rsidRPr="006620EF">
        <w:t xml:space="preserve"> ITC Delivery Deed provides a mechanism </w:t>
      </w:r>
      <w:r w:rsidR="00277F2C">
        <w:t xml:space="preserve">for </w:t>
      </w:r>
      <w:r w:rsidRPr="006620EF">
        <w:t>the</w:t>
      </w:r>
      <w:r w:rsidR="00277F2C">
        <w:t>:</w:t>
      </w:r>
    </w:p>
    <w:p w14:paraId="18968BD3" w14:textId="550AABDE" w:rsidR="00277F2C" w:rsidRDefault="2BE005B7" w:rsidP="0005402F">
      <w:pPr>
        <w:pStyle w:val="Bulletindent"/>
      </w:pPr>
      <w:r>
        <w:t>TOC</w:t>
      </w:r>
      <w:r w:rsidR="2C94C4C7">
        <w:t xml:space="preserve"> to be adjusted following an Adjustment Event (Cost)</w:t>
      </w:r>
      <w:r w:rsidR="6C15934E">
        <w:t>;</w:t>
      </w:r>
    </w:p>
    <w:p w14:paraId="68A5C351" w14:textId="7DD8658E" w:rsidR="002A524B" w:rsidRPr="002A524B" w:rsidRDefault="2BE005B7" w:rsidP="0005402F">
      <w:pPr>
        <w:pStyle w:val="Bulletindent"/>
      </w:pPr>
      <w:r>
        <w:t>KRA</w:t>
      </w:r>
      <w:r w:rsidR="0C9053DD">
        <w:t>s</w:t>
      </w:r>
      <w:r w:rsidR="2C94C4C7">
        <w:t xml:space="preserve"> to be adjusted following an Adjustment Event (KRA)</w:t>
      </w:r>
      <w:r w:rsidR="6C15934E">
        <w:t>; and</w:t>
      </w:r>
    </w:p>
    <w:p w14:paraId="6007B723" w14:textId="3902B867" w:rsidR="00B72432" w:rsidRDefault="2C94C4C7" w:rsidP="0005402F">
      <w:pPr>
        <w:pStyle w:val="Bulletindent"/>
      </w:pPr>
      <w:r>
        <w:t>Dates for Completion to be adjusted following an Adjustment Event (Time).</w:t>
      </w:r>
    </w:p>
    <w:p w14:paraId="0B4C825C" w14:textId="7A138D05" w:rsidR="004C15F6" w:rsidRDefault="14B243C2" w:rsidP="0005402F">
      <w:pPr>
        <w:pStyle w:val="NormalIndent"/>
      </w:pPr>
      <w:r>
        <w:t>As set out below in</w:t>
      </w:r>
      <w:r w:rsidR="38752859">
        <w:t xml:space="preserve"> </w:t>
      </w:r>
      <w:r w:rsidR="00B72432">
        <w:fldChar w:fldCharType="begin" w:fldLock="1"/>
      </w:r>
      <w:r w:rsidR="00B72432">
        <w:instrText xml:space="preserve"> REF _Ref143095532 \h </w:instrText>
      </w:r>
      <w:r w:rsidR="00B72432">
        <w:fldChar w:fldCharType="separate"/>
      </w:r>
      <w:r w:rsidR="00400321">
        <w:t xml:space="preserve">Table </w:t>
      </w:r>
      <w:r w:rsidR="00400321">
        <w:rPr>
          <w:noProof/>
        </w:rPr>
        <w:t>1</w:t>
      </w:r>
      <w:r w:rsidR="00B72432">
        <w:fldChar w:fldCharType="end"/>
      </w:r>
      <w:r>
        <w:t xml:space="preserve">, certain events </w:t>
      </w:r>
      <w:r w:rsidR="50992D83">
        <w:t xml:space="preserve">are </w:t>
      </w:r>
      <w:r>
        <w:t>only one type of Adjustment Event (</w:t>
      </w:r>
      <w:r w:rsidR="2848D62A">
        <w:t>e.g.</w:t>
      </w:r>
      <w:r>
        <w:t xml:space="preserve"> a Force Majeure Event </w:t>
      </w:r>
      <w:r w:rsidR="50992D83">
        <w:t xml:space="preserve">is </w:t>
      </w:r>
      <w:r>
        <w:t xml:space="preserve">only an Adjustment Event (Time)), while other events </w:t>
      </w:r>
      <w:r w:rsidR="50992D83">
        <w:t>are</w:t>
      </w:r>
      <w:r>
        <w:t xml:space="preserve"> two or three types of Adjustment Event (</w:t>
      </w:r>
      <w:r w:rsidR="2848D62A">
        <w:t>e.g.</w:t>
      </w:r>
      <w:r w:rsidR="1EF53A56">
        <w:t xml:space="preserve"> </w:t>
      </w:r>
      <w:r>
        <w:t xml:space="preserve">a breach by the Principal of a Principal Project Document </w:t>
      </w:r>
      <w:r w:rsidR="50992D83">
        <w:t>is</w:t>
      </w:r>
      <w:r>
        <w:t xml:space="preserve"> an Adjustment Event (Cost), an Adjustment Event (KRA) and an Adjustment Event (Time)).</w:t>
      </w:r>
    </w:p>
    <w:p w14:paraId="1FE0AD03" w14:textId="709C52B5" w:rsidR="004C15F6" w:rsidRPr="00BF4D49" w:rsidRDefault="00996FAE" w:rsidP="0005402F">
      <w:pPr>
        <w:pStyle w:val="NormalIndent"/>
      </w:pPr>
      <w:r>
        <w:rPr>
          <w:color w:val="000000"/>
          <w:spacing w:val="2"/>
        </w:rPr>
        <w:t>Adjustment Events are expected to be agreed between the procuring agency and the Shortlisted Respondent(s) during the Development Phase</w:t>
      </w:r>
      <w:r w:rsidR="3943F25B">
        <w:t xml:space="preserve">. Adjustment Events should consider the specific risks associated with the </w:t>
      </w:r>
      <w:r w:rsidR="14B243C2">
        <w:t>Project</w:t>
      </w:r>
      <w:r w:rsidR="3943F25B">
        <w:t xml:space="preserve"> and be as specific as possible to avoid ambiguity in delivery. </w:t>
      </w:r>
      <w:r w:rsidR="2345E799">
        <w:t xml:space="preserve">Given the </w:t>
      </w:r>
      <w:r w:rsidR="36FFE89D">
        <w:t>R</w:t>
      </w:r>
      <w:r w:rsidR="2345E799">
        <w:t xml:space="preserve">eimbursable </w:t>
      </w:r>
      <w:r w:rsidR="36FFE89D">
        <w:t>C</w:t>
      </w:r>
      <w:r w:rsidR="2345E799">
        <w:t>ost and risk</w:t>
      </w:r>
      <w:r w:rsidR="68AEA71F">
        <w:t>-</w:t>
      </w:r>
      <w:r w:rsidR="2345E799">
        <w:t xml:space="preserve">sharing nature of the contract, Adjustment Events should </w:t>
      </w:r>
      <w:r w:rsidR="2C66037A">
        <w:t xml:space="preserve">be limited to a small number of risks that cannot be </w:t>
      </w:r>
      <w:r w:rsidR="57A0DCCD">
        <w:t xml:space="preserve">reasonably </w:t>
      </w:r>
      <w:r w:rsidR="2C66037A">
        <w:t xml:space="preserve">managed </w:t>
      </w:r>
      <w:r w:rsidR="7A0E3A69">
        <w:t xml:space="preserve">or priced </w:t>
      </w:r>
      <w:r w:rsidR="2C66037A">
        <w:t>by the Contractor</w:t>
      </w:r>
      <w:r w:rsidR="61AD5BDC">
        <w:t>,</w:t>
      </w:r>
      <w:r w:rsidR="2F90CF0C">
        <w:t xml:space="preserve"> where it would </w:t>
      </w:r>
      <w:r w:rsidR="60867A50">
        <w:t>n</w:t>
      </w:r>
      <w:r w:rsidR="7DDC36DC">
        <w:t xml:space="preserve">ot </w:t>
      </w:r>
      <w:r w:rsidR="07CFE3CD">
        <w:t>be</w:t>
      </w:r>
      <w:r w:rsidR="7DDC36DC">
        <w:t xml:space="preserve"> </w:t>
      </w:r>
      <w:r w:rsidR="28648A0F">
        <w:t>VfM</w:t>
      </w:r>
      <w:r w:rsidR="2F90CF0C">
        <w:t xml:space="preserve"> </w:t>
      </w:r>
      <w:r w:rsidR="01DD587D">
        <w:t xml:space="preserve">for these risks, </w:t>
      </w:r>
      <w:r w:rsidR="092B47D4">
        <w:t xml:space="preserve">if </w:t>
      </w:r>
      <w:r w:rsidR="01DD587D">
        <w:t xml:space="preserve">they materialise, to be factored into </w:t>
      </w:r>
      <w:r w:rsidR="61AD5BDC">
        <w:t>a</w:t>
      </w:r>
      <w:r w:rsidR="02A19765">
        <w:t xml:space="preserve"> </w:t>
      </w:r>
      <w:r w:rsidR="092B47D4">
        <w:t>Gainshare/Painshare Adjustment</w:t>
      </w:r>
      <w:r w:rsidR="24CDA78B">
        <w:t>.</w:t>
      </w:r>
    </w:p>
    <w:p w14:paraId="739CADB5" w14:textId="656499A5" w:rsidR="004C15F6" w:rsidRPr="00BF4D49" w:rsidRDefault="3943F25B" w:rsidP="0005402F">
      <w:pPr>
        <w:pStyle w:val="NormalIndent"/>
      </w:pPr>
      <w:r>
        <w:t xml:space="preserve">Approval for Adjustment Events ultimately resides with the Principal. DTF </w:t>
      </w:r>
      <w:r w:rsidR="4F70CF4A">
        <w:t>should</w:t>
      </w:r>
      <w:r>
        <w:t xml:space="preserve"> be consulted on the appropriateness </w:t>
      </w:r>
      <w:r w:rsidR="61AD5BDC">
        <w:t xml:space="preserve">of </w:t>
      </w:r>
      <w:r>
        <w:t xml:space="preserve">additional Adjustment Events </w:t>
      </w:r>
      <w:r w:rsidR="61AD5BDC">
        <w:t xml:space="preserve">that </w:t>
      </w:r>
      <w:r>
        <w:t>are not specified in this guidance.</w:t>
      </w:r>
    </w:p>
    <w:p w14:paraId="00C0D07D" w14:textId="4B5BDE81" w:rsidR="002B5BB6" w:rsidRDefault="0092720B" w:rsidP="0005402F">
      <w:pPr>
        <w:pStyle w:val="NormalIndent"/>
      </w:pPr>
      <w:r>
        <w:fldChar w:fldCharType="begin" w:fldLock="1"/>
      </w:r>
      <w:r>
        <w:instrText xml:space="preserve"> REF _Ref143095532 \h </w:instrText>
      </w:r>
      <w:r>
        <w:fldChar w:fldCharType="separate"/>
      </w:r>
      <w:r w:rsidR="00400321">
        <w:t xml:space="preserve">Table </w:t>
      </w:r>
      <w:r w:rsidR="00400321">
        <w:rPr>
          <w:noProof/>
        </w:rPr>
        <w:t>1</w:t>
      </w:r>
      <w:r>
        <w:fldChar w:fldCharType="end"/>
      </w:r>
      <w:r w:rsidR="1AD6530B">
        <w:t xml:space="preserve"> </w:t>
      </w:r>
      <w:r w:rsidR="7383905E">
        <w:t>below summarises the</w:t>
      </w:r>
      <w:r w:rsidR="37C61DBE">
        <w:t xml:space="preserve"> standard Adjustment Events specified in </w:t>
      </w:r>
      <w:r w:rsidR="1133178F">
        <w:t>S</w:t>
      </w:r>
      <w:r w:rsidR="14B243C2">
        <w:t>chedule</w:t>
      </w:r>
      <w:r w:rsidR="7865FA55" w:rsidRPr="2C5D2C8B">
        <w:rPr>
          <w:rFonts w:ascii="Calibri" w:hAnsi="Calibri" w:cs="Calibri"/>
        </w:rPr>
        <w:t> </w:t>
      </w:r>
      <w:r w:rsidR="14B243C2">
        <w:t xml:space="preserve">15 to </w:t>
      </w:r>
      <w:r w:rsidR="37C61DBE">
        <w:t>the ITC Delivery Deed</w:t>
      </w:r>
      <w:r w:rsidR="7383905E">
        <w:t>.</w:t>
      </w:r>
    </w:p>
    <w:p w14:paraId="789D4910" w14:textId="0E60CBAC" w:rsidR="0092720B" w:rsidRPr="0092720B" w:rsidRDefault="0092720B" w:rsidP="00BA17E2">
      <w:pPr>
        <w:pStyle w:val="Captionindent"/>
      </w:pPr>
      <w:bookmarkStart w:id="2096" w:name="_Ref143095532"/>
      <w:r>
        <w:t xml:space="preserve">Table </w:t>
      </w:r>
      <w:r>
        <w:fldChar w:fldCharType="begin"/>
      </w:r>
      <w:r>
        <w:instrText>SEQ Table \* ARABIC</w:instrText>
      </w:r>
      <w:r>
        <w:fldChar w:fldCharType="separate"/>
      </w:r>
      <w:r w:rsidR="00131EE1">
        <w:rPr>
          <w:noProof/>
        </w:rPr>
        <w:t>1</w:t>
      </w:r>
      <w:r>
        <w:fldChar w:fldCharType="end"/>
      </w:r>
      <w:bookmarkEnd w:id="2096"/>
      <w:r>
        <w:t xml:space="preserve"> – </w:t>
      </w:r>
      <w:r w:rsidRPr="0092720B">
        <w:t>Adjustment Events for the ITC Delivery Deed</w:t>
      </w:r>
    </w:p>
    <w:tbl>
      <w:tblPr>
        <w:tblStyle w:val="DTFtexttableindent"/>
        <w:tblW w:w="8226" w:type="dxa"/>
        <w:tblInd w:w="792" w:type="dxa"/>
        <w:tblLayout w:type="fixed"/>
        <w:tblLook w:val="04A0" w:firstRow="1" w:lastRow="0" w:firstColumn="1" w:lastColumn="0" w:noHBand="0" w:noVBand="1"/>
      </w:tblPr>
      <w:tblGrid>
        <w:gridCol w:w="576"/>
        <w:gridCol w:w="4140"/>
        <w:gridCol w:w="1170"/>
        <w:gridCol w:w="1170"/>
        <w:gridCol w:w="1170"/>
      </w:tblGrid>
      <w:tr w:rsidR="00450A85" w:rsidRPr="0079411A" w14:paraId="7912D22C" w14:textId="77777777" w:rsidTr="009F5C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76" w:type="dxa"/>
            <w:hideMark/>
          </w:tcPr>
          <w:p w14:paraId="30B0C699" w14:textId="77777777" w:rsidR="00A0268A" w:rsidRPr="009F5C2E" w:rsidRDefault="00A0268A" w:rsidP="00400321">
            <w:pPr>
              <w:pStyle w:val="Tableheader"/>
              <w:rPr>
                <w:sz w:val="16"/>
                <w:szCs w:val="16"/>
              </w:rPr>
            </w:pPr>
            <w:r w:rsidRPr="009F5C2E">
              <w:rPr>
                <w:sz w:val="16"/>
                <w:szCs w:val="16"/>
              </w:rPr>
              <w:t>Item</w:t>
            </w:r>
          </w:p>
        </w:tc>
        <w:tc>
          <w:tcPr>
            <w:tcW w:w="4140" w:type="dxa"/>
            <w:hideMark/>
          </w:tcPr>
          <w:p w14:paraId="08BF98A7" w14:textId="4634E941" w:rsidR="00A0268A" w:rsidRPr="009F5C2E" w:rsidRDefault="00A0268A" w:rsidP="00512A8B">
            <w:pPr>
              <w:pStyle w:val="Tableheader"/>
              <w:cnfStyle w:val="100000000000" w:firstRow="1" w:lastRow="0" w:firstColumn="0" w:lastColumn="0" w:oddVBand="0" w:evenVBand="0" w:oddHBand="0" w:evenHBand="0" w:firstRowFirstColumn="0" w:firstRowLastColumn="0" w:lastRowFirstColumn="0" w:lastRowLastColumn="0"/>
              <w:rPr>
                <w:sz w:val="16"/>
                <w:szCs w:val="16"/>
              </w:rPr>
            </w:pPr>
            <w:r w:rsidRPr="009F5C2E">
              <w:rPr>
                <w:sz w:val="16"/>
                <w:szCs w:val="16"/>
              </w:rPr>
              <w:t>Event</w:t>
            </w:r>
          </w:p>
        </w:tc>
        <w:tc>
          <w:tcPr>
            <w:tcW w:w="1170" w:type="dxa"/>
            <w:hideMark/>
          </w:tcPr>
          <w:p w14:paraId="394FF391" w14:textId="6527BAE8" w:rsidR="00A0268A" w:rsidRPr="009F5C2E" w:rsidRDefault="00A0268A" w:rsidP="00512A8B">
            <w:pPr>
              <w:pStyle w:val="Tableheader"/>
              <w:cnfStyle w:val="100000000000" w:firstRow="1" w:lastRow="0" w:firstColumn="0" w:lastColumn="0" w:oddVBand="0" w:evenVBand="0" w:oddHBand="0" w:evenHBand="0" w:firstRowFirstColumn="0" w:firstRowLastColumn="0" w:lastRowFirstColumn="0" w:lastRowLastColumn="0"/>
              <w:rPr>
                <w:sz w:val="16"/>
                <w:szCs w:val="16"/>
              </w:rPr>
            </w:pPr>
            <w:r w:rsidRPr="009F5C2E">
              <w:rPr>
                <w:sz w:val="16"/>
                <w:szCs w:val="16"/>
              </w:rPr>
              <w:t>Adjustment Event (Cost)</w:t>
            </w:r>
          </w:p>
        </w:tc>
        <w:tc>
          <w:tcPr>
            <w:tcW w:w="1170" w:type="dxa"/>
            <w:hideMark/>
          </w:tcPr>
          <w:p w14:paraId="4B3FE4A8" w14:textId="5361841B" w:rsidR="00A0268A" w:rsidRPr="009F5C2E" w:rsidRDefault="00A0268A" w:rsidP="00512A8B">
            <w:pPr>
              <w:pStyle w:val="Tableheader"/>
              <w:cnfStyle w:val="100000000000" w:firstRow="1" w:lastRow="0" w:firstColumn="0" w:lastColumn="0" w:oddVBand="0" w:evenVBand="0" w:oddHBand="0" w:evenHBand="0" w:firstRowFirstColumn="0" w:firstRowLastColumn="0" w:lastRowFirstColumn="0" w:lastRowLastColumn="0"/>
              <w:rPr>
                <w:sz w:val="16"/>
                <w:szCs w:val="16"/>
              </w:rPr>
            </w:pPr>
            <w:r w:rsidRPr="009F5C2E">
              <w:rPr>
                <w:sz w:val="16"/>
                <w:szCs w:val="16"/>
              </w:rPr>
              <w:t>Adjustment Event (Time)</w:t>
            </w:r>
          </w:p>
        </w:tc>
        <w:tc>
          <w:tcPr>
            <w:tcW w:w="1170" w:type="dxa"/>
            <w:hideMark/>
          </w:tcPr>
          <w:p w14:paraId="6D33D8D8" w14:textId="1098B937" w:rsidR="00A0268A" w:rsidRPr="009F5C2E" w:rsidRDefault="00A0268A" w:rsidP="00512A8B">
            <w:pPr>
              <w:pStyle w:val="Tableheader"/>
              <w:cnfStyle w:val="100000000000" w:firstRow="1" w:lastRow="0" w:firstColumn="0" w:lastColumn="0" w:oddVBand="0" w:evenVBand="0" w:oddHBand="0" w:evenHBand="0" w:firstRowFirstColumn="0" w:firstRowLastColumn="0" w:lastRowFirstColumn="0" w:lastRowLastColumn="0"/>
              <w:rPr>
                <w:sz w:val="16"/>
                <w:szCs w:val="16"/>
              </w:rPr>
            </w:pPr>
            <w:r w:rsidRPr="009F5C2E">
              <w:rPr>
                <w:sz w:val="16"/>
                <w:szCs w:val="16"/>
              </w:rPr>
              <w:t>Adjustment Event (KRA)</w:t>
            </w:r>
          </w:p>
        </w:tc>
      </w:tr>
      <w:tr w:rsidR="00A0268A" w:rsidRPr="00A0268A" w14:paraId="2D21F9AC"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6215DDFD" w14:textId="77777777" w:rsidR="00A0268A" w:rsidRPr="009F5C2E" w:rsidRDefault="00A0268A" w:rsidP="00400321">
            <w:pPr>
              <w:pStyle w:val="Numpara"/>
              <w:keepNext/>
              <w:spacing w:before="60" w:after="60" w:line="252" w:lineRule="auto"/>
              <w:contextualSpacing w:val="0"/>
            </w:pPr>
          </w:p>
        </w:tc>
        <w:tc>
          <w:tcPr>
            <w:tcW w:w="4140" w:type="dxa"/>
          </w:tcPr>
          <w:p w14:paraId="136C4A8F" w14:textId="6A07FC58"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A breach by the Principal of any Principal Project Document</w:t>
            </w:r>
          </w:p>
        </w:tc>
        <w:tc>
          <w:tcPr>
            <w:tcW w:w="1170" w:type="dxa"/>
            <w:hideMark/>
          </w:tcPr>
          <w:p w14:paraId="3C750539"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r w:rsidRPr="000774D4">
              <w:rPr>
                <w:szCs w:val="17"/>
              </w:rPr>
              <w:t>*</w:t>
            </w:r>
          </w:p>
        </w:tc>
        <w:tc>
          <w:tcPr>
            <w:tcW w:w="1170" w:type="dxa"/>
            <w:hideMark/>
          </w:tcPr>
          <w:p w14:paraId="70563B2A"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3728A3D5"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r>
      <w:tr w:rsidR="00450A85" w:rsidRPr="00A0268A" w14:paraId="459CCD41"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0B74066B" w14:textId="77777777" w:rsidR="00A0268A" w:rsidRPr="009F5C2E" w:rsidRDefault="00A0268A" w:rsidP="00AB543D">
            <w:pPr>
              <w:pStyle w:val="Numpara"/>
              <w:spacing w:before="60" w:after="60" w:line="252" w:lineRule="auto"/>
              <w:contextualSpacing w:val="0"/>
            </w:pPr>
          </w:p>
        </w:tc>
        <w:tc>
          <w:tcPr>
            <w:tcW w:w="4140" w:type="dxa"/>
            <w:hideMark/>
          </w:tcPr>
          <w:p w14:paraId="7D26DC8E" w14:textId="36C3DD80" w:rsidR="00A0268A" w:rsidRPr="009F5C2E" w:rsidRDefault="617E05B5" w:rsidP="009F5C2E">
            <w:pPr>
              <w:pStyle w:val="Tabletext"/>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 xml:space="preserve">An act or omission of the Principal when acting in connection with the Project, or any Principal Associate, in each case other than any act or omission </w:t>
            </w:r>
            <w:r w:rsidR="7FD10ADA" w:rsidRPr="009F5C2E">
              <w:rPr>
                <w:sz w:val="16"/>
                <w:szCs w:val="16"/>
              </w:rPr>
              <w:t xml:space="preserve">that </w:t>
            </w:r>
            <w:r w:rsidRPr="009F5C2E">
              <w:rPr>
                <w:sz w:val="16"/>
                <w:szCs w:val="16"/>
              </w:rPr>
              <w:t>is:</w:t>
            </w:r>
          </w:p>
          <w:p w14:paraId="56E841CC" w14:textId="71C2FAAE" w:rsidR="00A0268A" w:rsidRPr="009F5C2E" w:rsidRDefault="617E05B5" w:rsidP="00AB543D">
            <w:pPr>
              <w:pStyle w:val="Tablebullet"/>
              <w:cnfStyle w:val="000000010000" w:firstRow="0" w:lastRow="0" w:firstColumn="0" w:lastColumn="0" w:oddVBand="0" w:evenVBand="0" w:oddHBand="0" w:evenHBand="1" w:firstRowFirstColumn="0" w:firstRowLastColumn="0" w:lastRowFirstColumn="0" w:lastRowLastColumn="0"/>
            </w:pPr>
            <w:r w:rsidRPr="009F5C2E">
              <w:t>a Permitted Act</w:t>
            </w:r>
            <w:r w:rsidR="7FD10ADA" w:rsidRPr="009F5C2E">
              <w:t>;</w:t>
            </w:r>
            <w:r w:rsidR="386772D5" w:rsidRPr="009F5C2E">
              <w:t xml:space="preserve"> or</w:t>
            </w:r>
          </w:p>
          <w:p w14:paraId="27312606" w14:textId="4BA00880" w:rsidR="00A0268A" w:rsidRPr="009F5C2E" w:rsidRDefault="617E05B5" w:rsidP="00AB543D">
            <w:pPr>
              <w:pStyle w:val="Tablebullet"/>
              <w:cnfStyle w:val="000000010000" w:firstRow="0" w:lastRow="0" w:firstColumn="0" w:lastColumn="0" w:oddVBand="0" w:evenVBand="0" w:oddHBand="0" w:evenHBand="1" w:firstRowFirstColumn="0" w:firstRowLastColumn="0" w:lastRowFirstColumn="0" w:lastRowLastColumn="0"/>
            </w:pPr>
            <w:r w:rsidRPr="009F5C2E">
              <w:t>an Act where an Authority is acting in accordance with its statutory powers</w:t>
            </w:r>
          </w:p>
        </w:tc>
        <w:tc>
          <w:tcPr>
            <w:tcW w:w="1170" w:type="dxa"/>
            <w:hideMark/>
          </w:tcPr>
          <w:p w14:paraId="238C71C6"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r w:rsidRPr="000774D4">
              <w:rPr>
                <w:szCs w:val="17"/>
              </w:rPr>
              <w:t>*</w:t>
            </w:r>
          </w:p>
        </w:tc>
        <w:tc>
          <w:tcPr>
            <w:tcW w:w="1170" w:type="dxa"/>
            <w:hideMark/>
          </w:tcPr>
          <w:p w14:paraId="5DF5783E"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2D12CF05"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r>
      <w:tr w:rsidR="00A0268A" w:rsidRPr="00A0268A" w14:paraId="6A5985E3"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2B7B19AC" w14:textId="77777777" w:rsidR="00A0268A" w:rsidRPr="009F5C2E" w:rsidRDefault="00A0268A" w:rsidP="00AB543D">
            <w:pPr>
              <w:pStyle w:val="Numpara"/>
              <w:spacing w:before="60" w:after="60" w:line="252" w:lineRule="auto"/>
              <w:contextualSpacing w:val="0"/>
            </w:pPr>
          </w:p>
        </w:tc>
        <w:tc>
          <w:tcPr>
            <w:tcW w:w="4140" w:type="dxa"/>
            <w:hideMark/>
          </w:tcPr>
          <w:p w14:paraId="2C9493E8" w14:textId="1C26B524"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Cessation or suspension of any part of the Contractor</w:t>
            </w:r>
            <w:r w:rsidR="629BCFA6" w:rsidRPr="009F5C2E">
              <w:rPr>
                <w:sz w:val="16"/>
                <w:szCs w:val="16"/>
              </w:rPr>
              <w:t>’</w:t>
            </w:r>
            <w:r w:rsidRPr="009F5C2E">
              <w:rPr>
                <w:sz w:val="16"/>
                <w:szCs w:val="16"/>
              </w:rPr>
              <w:t>s Activities in connection with a Heritage Claim or Native Title Claim</w:t>
            </w:r>
          </w:p>
        </w:tc>
        <w:tc>
          <w:tcPr>
            <w:tcW w:w="1170" w:type="dxa"/>
            <w:hideMark/>
          </w:tcPr>
          <w:p w14:paraId="5AFAFC81"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r w:rsidRPr="000774D4">
              <w:rPr>
                <w:szCs w:val="17"/>
              </w:rPr>
              <w:t>*</w:t>
            </w:r>
          </w:p>
        </w:tc>
        <w:tc>
          <w:tcPr>
            <w:tcW w:w="1170" w:type="dxa"/>
            <w:hideMark/>
          </w:tcPr>
          <w:p w14:paraId="69B5B6CE"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7B32E3C9"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r>
      <w:tr w:rsidR="00450A85" w:rsidRPr="00A0268A" w14:paraId="48F8A50C"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077236A7" w14:textId="77777777" w:rsidR="00A0268A" w:rsidRPr="009F5C2E" w:rsidRDefault="00A0268A" w:rsidP="00AB543D">
            <w:pPr>
              <w:pStyle w:val="Numpara"/>
              <w:spacing w:before="60" w:after="60" w:line="252" w:lineRule="auto"/>
              <w:contextualSpacing w:val="0"/>
            </w:pPr>
          </w:p>
        </w:tc>
        <w:tc>
          <w:tcPr>
            <w:tcW w:w="4140" w:type="dxa"/>
            <w:hideMark/>
          </w:tcPr>
          <w:p w14:paraId="43A74855" w14:textId="6ABAA6D2"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A material change to the way in which the Contractor</w:t>
            </w:r>
            <w:r w:rsidR="629BCFA6" w:rsidRPr="009F5C2E">
              <w:rPr>
                <w:sz w:val="16"/>
                <w:szCs w:val="16"/>
              </w:rPr>
              <w:t>’</w:t>
            </w:r>
            <w:r w:rsidRPr="009F5C2E">
              <w:rPr>
                <w:sz w:val="16"/>
                <w:szCs w:val="16"/>
              </w:rPr>
              <w:t xml:space="preserve">s Activities </w:t>
            </w:r>
            <w:r w:rsidR="386772D5" w:rsidRPr="009F5C2E">
              <w:rPr>
                <w:sz w:val="16"/>
                <w:szCs w:val="16"/>
              </w:rPr>
              <w:t xml:space="preserve">are </w:t>
            </w:r>
            <w:r w:rsidRPr="009F5C2E">
              <w:rPr>
                <w:sz w:val="16"/>
                <w:szCs w:val="16"/>
              </w:rPr>
              <w:t>carried out in connection with a Heritage Claim</w:t>
            </w:r>
            <w:r w:rsidR="7FC3FE7E" w:rsidRPr="009F5C2E">
              <w:rPr>
                <w:sz w:val="16"/>
                <w:szCs w:val="16"/>
              </w:rPr>
              <w:t xml:space="preserve"> or</w:t>
            </w:r>
            <w:r w:rsidRPr="009F5C2E">
              <w:rPr>
                <w:sz w:val="16"/>
                <w:szCs w:val="16"/>
              </w:rPr>
              <w:t xml:space="preserve"> Native Title Claim</w:t>
            </w:r>
            <w:r w:rsidR="04097B9A" w:rsidRPr="009F5C2E">
              <w:rPr>
                <w:sz w:val="16"/>
                <w:szCs w:val="16"/>
              </w:rPr>
              <w:t>,</w:t>
            </w:r>
            <w:r w:rsidRPr="009F5C2E">
              <w:rPr>
                <w:sz w:val="16"/>
                <w:szCs w:val="16"/>
              </w:rPr>
              <w:t xml:space="preserve"> unless such change is the subject of a Variation Order </w:t>
            </w:r>
            <w:r w:rsidR="386772D5" w:rsidRPr="009F5C2E">
              <w:rPr>
                <w:sz w:val="16"/>
                <w:szCs w:val="16"/>
              </w:rPr>
              <w:t>(o</w:t>
            </w:r>
            <w:r w:rsidRPr="009F5C2E">
              <w:rPr>
                <w:sz w:val="16"/>
                <w:szCs w:val="16"/>
              </w:rPr>
              <w:t>n a project-by-project basis, this may be extended to include Artefacts</w:t>
            </w:r>
            <w:r w:rsidR="386772D5" w:rsidRPr="009F5C2E">
              <w:rPr>
                <w:sz w:val="16"/>
                <w:szCs w:val="16"/>
              </w:rPr>
              <w:t>)</w:t>
            </w:r>
          </w:p>
        </w:tc>
        <w:tc>
          <w:tcPr>
            <w:tcW w:w="1170" w:type="dxa"/>
            <w:hideMark/>
          </w:tcPr>
          <w:p w14:paraId="038ED068"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r w:rsidRPr="000774D4">
              <w:rPr>
                <w:szCs w:val="17"/>
              </w:rPr>
              <w:t>*</w:t>
            </w:r>
          </w:p>
        </w:tc>
        <w:tc>
          <w:tcPr>
            <w:tcW w:w="1170" w:type="dxa"/>
            <w:hideMark/>
          </w:tcPr>
          <w:p w14:paraId="18DDCBFF"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0FE7C18B"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r>
      <w:tr w:rsidR="00A0268A" w:rsidRPr="00A0268A" w14:paraId="6E9734B7"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05E09601" w14:textId="77777777" w:rsidR="00A0268A" w:rsidRPr="009F5C2E" w:rsidRDefault="00A0268A" w:rsidP="00AB543D">
            <w:pPr>
              <w:pStyle w:val="Numpara"/>
              <w:spacing w:before="60" w:after="60" w:line="252" w:lineRule="auto"/>
              <w:contextualSpacing w:val="0"/>
            </w:pPr>
          </w:p>
        </w:tc>
        <w:tc>
          <w:tcPr>
            <w:tcW w:w="4140" w:type="dxa"/>
            <w:hideMark/>
          </w:tcPr>
          <w:p w14:paraId="13E75345" w14:textId="2DA3DE86"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 xml:space="preserve">Industrial Action </w:t>
            </w:r>
            <w:r w:rsidR="386772D5" w:rsidRPr="009F5C2E">
              <w:rPr>
                <w:sz w:val="16"/>
                <w:szCs w:val="16"/>
              </w:rPr>
              <w:t xml:space="preserve">that </w:t>
            </w:r>
            <w:r w:rsidRPr="009F5C2E">
              <w:rPr>
                <w:sz w:val="16"/>
                <w:szCs w:val="16"/>
              </w:rPr>
              <w:t>only occurs at or in the direct vicinity of the Site and is a direct result of an act or omission of the Principal, which is not a Permitted Act, undertaken as part of any Interface Works or by an Authority acting in accordance with its statutory powers</w:t>
            </w:r>
          </w:p>
        </w:tc>
        <w:tc>
          <w:tcPr>
            <w:tcW w:w="1170" w:type="dxa"/>
            <w:hideMark/>
          </w:tcPr>
          <w:p w14:paraId="2C724CAB"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37F4045A"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2757CE6F"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r>
      <w:tr w:rsidR="00450A85" w:rsidRPr="00A0268A" w14:paraId="26F40904"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39CE39C1" w14:textId="77777777" w:rsidR="00A0268A" w:rsidRPr="009F5C2E" w:rsidRDefault="00A0268A" w:rsidP="00AB543D">
            <w:pPr>
              <w:pStyle w:val="Numpara"/>
              <w:spacing w:before="60" w:after="60" w:line="252" w:lineRule="auto"/>
              <w:contextualSpacing w:val="0"/>
            </w:pPr>
          </w:p>
        </w:tc>
        <w:tc>
          <w:tcPr>
            <w:tcW w:w="4140" w:type="dxa"/>
            <w:hideMark/>
          </w:tcPr>
          <w:p w14:paraId="378A82E5" w14:textId="1710FCA6"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A direction by the Principal Representative to accelerate where the Contractor incurs more or less cost than would otherwise have been incurred, except to the extent the need for acceleration arises in connection with any Contractor breach of or non-compliance with the Project Documents</w:t>
            </w:r>
          </w:p>
        </w:tc>
        <w:tc>
          <w:tcPr>
            <w:tcW w:w="1170" w:type="dxa"/>
            <w:hideMark/>
          </w:tcPr>
          <w:p w14:paraId="57CC669A"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578912DC"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c>
          <w:tcPr>
            <w:tcW w:w="1170" w:type="dxa"/>
            <w:hideMark/>
          </w:tcPr>
          <w:p w14:paraId="40A577DC"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r>
      <w:tr w:rsidR="00A0268A" w:rsidRPr="00A0268A" w14:paraId="42947FC5"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7B0AACFA" w14:textId="77777777" w:rsidR="00A0268A" w:rsidRPr="009F5C2E" w:rsidRDefault="00A0268A" w:rsidP="00AB543D">
            <w:pPr>
              <w:pStyle w:val="Numpara"/>
              <w:spacing w:before="60" w:after="60" w:line="252" w:lineRule="auto"/>
              <w:contextualSpacing w:val="0"/>
            </w:pPr>
          </w:p>
        </w:tc>
        <w:tc>
          <w:tcPr>
            <w:tcW w:w="4140" w:type="dxa"/>
            <w:hideMark/>
          </w:tcPr>
          <w:p w14:paraId="639ADA72" w14:textId="6234C8B0"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 xml:space="preserve">The Reimbursable </w:t>
            </w:r>
            <w:r w:rsidR="416B4B47" w:rsidRPr="009F5C2E">
              <w:rPr>
                <w:sz w:val="16"/>
                <w:szCs w:val="16"/>
              </w:rPr>
              <w:t>C</w:t>
            </w:r>
            <w:r w:rsidRPr="009F5C2E">
              <w:rPr>
                <w:sz w:val="16"/>
                <w:szCs w:val="16"/>
              </w:rPr>
              <w:t>osts of a Provisional Sum Item or Provisional Quantity Item exceed the relevant Provisional Sum included in the TOC</w:t>
            </w:r>
          </w:p>
        </w:tc>
        <w:tc>
          <w:tcPr>
            <w:tcW w:w="1170" w:type="dxa"/>
            <w:hideMark/>
          </w:tcPr>
          <w:p w14:paraId="46BB2958"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152DFE52"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c>
          <w:tcPr>
            <w:tcW w:w="1170" w:type="dxa"/>
          </w:tcPr>
          <w:p w14:paraId="2082521A"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r>
      <w:tr w:rsidR="00450A85" w:rsidRPr="00A0268A" w14:paraId="39C7D6A6"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55F6779D" w14:textId="77777777" w:rsidR="00A0268A" w:rsidRPr="009F5C2E" w:rsidRDefault="00A0268A" w:rsidP="00AB543D">
            <w:pPr>
              <w:pStyle w:val="Numpara"/>
              <w:spacing w:before="60" w:after="60" w:line="252" w:lineRule="auto"/>
              <w:contextualSpacing w:val="0"/>
            </w:pPr>
          </w:p>
        </w:tc>
        <w:tc>
          <w:tcPr>
            <w:tcW w:w="4140" w:type="dxa"/>
            <w:hideMark/>
          </w:tcPr>
          <w:p w14:paraId="6B57B413" w14:textId="5FE3A076"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Suspension of the Contractor</w:t>
            </w:r>
            <w:r w:rsidR="629BCFA6" w:rsidRPr="009F5C2E">
              <w:rPr>
                <w:sz w:val="16"/>
                <w:szCs w:val="16"/>
              </w:rPr>
              <w:t>’</w:t>
            </w:r>
            <w:r w:rsidRPr="009F5C2E">
              <w:rPr>
                <w:sz w:val="16"/>
                <w:szCs w:val="16"/>
              </w:rPr>
              <w:t>s Activities not caused by a Contractor Act or Omission or Force Majeure Event</w:t>
            </w:r>
          </w:p>
        </w:tc>
        <w:tc>
          <w:tcPr>
            <w:tcW w:w="1170" w:type="dxa"/>
            <w:hideMark/>
          </w:tcPr>
          <w:p w14:paraId="1EA42847"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1AA9EA83"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03965858"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r>
      <w:tr w:rsidR="00A0268A" w:rsidRPr="00A0268A" w14:paraId="47B0EC5D"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42827E5D" w14:textId="77777777" w:rsidR="00A0268A" w:rsidRPr="009F5C2E" w:rsidRDefault="00A0268A" w:rsidP="00AB543D">
            <w:pPr>
              <w:pStyle w:val="Numpara"/>
              <w:spacing w:before="60" w:after="60" w:line="252" w:lineRule="auto"/>
              <w:contextualSpacing w:val="0"/>
            </w:pPr>
          </w:p>
        </w:tc>
        <w:tc>
          <w:tcPr>
            <w:tcW w:w="4140" w:type="dxa"/>
            <w:hideMark/>
          </w:tcPr>
          <w:p w14:paraId="23368A62" w14:textId="53DCFB91"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highlight w:val="cyan"/>
              </w:rPr>
            </w:pPr>
            <w:r w:rsidRPr="009F5C2E">
              <w:rPr>
                <w:sz w:val="16"/>
                <w:szCs w:val="16"/>
              </w:rPr>
              <w:t>Due to a material change in the terms of any Insurances (Principal), the Contractor is required to take action to maintain an equivalent level of insurance coverage^</w:t>
            </w:r>
          </w:p>
        </w:tc>
        <w:tc>
          <w:tcPr>
            <w:tcW w:w="1170" w:type="dxa"/>
            <w:hideMark/>
          </w:tcPr>
          <w:p w14:paraId="7E6787D9"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64D37D27"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20751B9C"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r>
      <w:tr w:rsidR="00450A85" w:rsidRPr="00A0268A" w14:paraId="525E69F4"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69688A91" w14:textId="77777777" w:rsidR="00A0268A" w:rsidRPr="009F5C2E" w:rsidRDefault="00A0268A" w:rsidP="00AB543D">
            <w:pPr>
              <w:pStyle w:val="Numpara"/>
              <w:spacing w:before="60" w:after="60" w:line="252" w:lineRule="auto"/>
              <w:contextualSpacing w:val="0"/>
            </w:pPr>
            <w:bookmarkStart w:id="2097" w:name="_Ref132292409"/>
          </w:p>
        </w:tc>
        <w:bookmarkEnd w:id="2097"/>
        <w:tc>
          <w:tcPr>
            <w:tcW w:w="4140" w:type="dxa"/>
            <w:hideMark/>
          </w:tcPr>
          <w:p w14:paraId="6A98D442" w14:textId="76A41C8C"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 xml:space="preserve">A Change in Mandatory Requirements </w:t>
            </w:r>
            <w:r w:rsidR="7AA02F60" w:rsidRPr="009F5C2E">
              <w:rPr>
                <w:sz w:val="16"/>
                <w:szCs w:val="16"/>
              </w:rPr>
              <w:t xml:space="preserve">that </w:t>
            </w:r>
            <w:r w:rsidRPr="009F5C2E">
              <w:rPr>
                <w:sz w:val="16"/>
                <w:szCs w:val="16"/>
              </w:rPr>
              <w:t>results in a Scope Variation</w:t>
            </w:r>
          </w:p>
        </w:tc>
        <w:tc>
          <w:tcPr>
            <w:tcW w:w="1170" w:type="dxa"/>
            <w:hideMark/>
          </w:tcPr>
          <w:p w14:paraId="0413E449"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0A29851D"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r w:rsidRPr="000774D4">
              <w:rPr>
                <w:szCs w:val="17"/>
              </w:rPr>
              <w:t>**</w:t>
            </w:r>
          </w:p>
        </w:tc>
        <w:tc>
          <w:tcPr>
            <w:tcW w:w="1170" w:type="dxa"/>
            <w:hideMark/>
          </w:tcPr>
          <w:p w14:paraId="75E44CAC"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r>
      <w:tr w:rsidR="00A0268A" w:rsidRPr="00A0268A" w14:paraId="0F867A6B"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0B139F11" w14:textId="77777777" w:rsidR="00A0268A" w:rsidRPr="009F5C2E" w:rsidRDefault="00A0268A" w:rsidP="00AB543D">
            <w:pPr>
              <w:pStyle w:val="Numpara"/>
              <w:spacing w:before="60" w:after="60" w:line="252" w:lineRule="auto"/>
              <w:contextualSpacing w:val="0"/>
            </w:pPr>
          </w:p>
        </w:tc>
        <w:tc>
          <w:tcPr>
            <w:tcW w:w="4140" w:type="dxa"/>
            <w:hideMark/>
          </w:tcPr>
          <w:p w14:paraId="0ACA1876" w14:textId="2467D682"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A Scope Variation directed under clause</w:t>
            </w:r>
            <w:r w:rsidR="7865FA55" w:rsidRPr="009F5C2E">
              <w:rPr>
                <w:rFonts w:ascii="Calibri" w:hAnsi="Calibri" w:cs="Calibri"/>
                <w:sz w:val="16"/>
                <w:szCs w:val="16"/>
              </w:rPr>
              <w:t> </w:t>
            </w:r>
            <w:r w:rsidRPr="009F5C2E">
              <w:rPr>
                <w:sz w:val="16"/>
                <w:szCs w:val="16"/>
              </w:rPr>
              <w:t>3</w:t>
            </w:r>
            <w:r w:rsidR="092B47D4" w:rsidRPr="009F5C2E">
              <w:rPr>
                <w:sz w:val="16"/>
                <w:szCs w:val="16"/>
              </w:rPr>
              <w:t>5</w:t>
            </w:r>
            <w:r w:rsidRPr="009F5C2E">
              <w:rPr>
                <w:sz w:val="16"/>
                <w:szCs w:val="16"/>
              </w:rPr>
              <w:t>.1 of the ITC Delivery Deed</w:t>
            </w:r>
          </w:p>
        </w:tc>
        <w:tc>
          <w:tcPr>
            <w:tcW w:w="1170" w:type="dxa"/>
            <w:hideMark/>
          </w:tcPr>
          <w:p w14:paraId="06190CB6"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0A094B2E"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2195EBDE"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r>
      <w:tr w:rsidR="00450A85" w:rsidRPr="00A0268A" w14:paraId="0D8ED2F1"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hideMark/>
          </w:tcPr>
          <w:p w14:paraId="35131B63" w14:textId="77777777" w:rsidR="00A0268A" w:rsidRPr="009F5C2E" w:rsidRDefault="00A0268A" w:rsidP="00AB543D">
            <w:pPr>
              <w:pStyle w:val="Numpara"/>
              <w:spacing w:before="60" w:after="60" w:line="252" w:lineRule="auto"/>
              <w:contextualSpacing w:val="0"/>
            </w:pPr>
            <w:r w:rsidRPr="009F5C2E">
              <w:t xml:space="preserve"> </w:t>
            </w:r>
          </w:p>
        </w:tc>
        <w:tc>
          <w:tcPr>
            <w:tcW w:w="4140" w:type="dxa"/>
            <w:hideMark/>
          </w:tcPr>
          <w:p w14:paraId="390E6780" w14:textId="0BA45409"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 xml:space="preserve">On a </w:t>
            </w:r>
            <w:r w:rsidR="7AA02F60" w:rsidRPr="009F5C2E">
              <w:rPr>
                <w:sz w:val="16"/>
                <w:szCs w:val="16"/>
              </w:rPr>
              <w:t>p</w:t>
            </w:r>
            <w:r w:rsidRPr="009F5C2E">
              <w:rPr>
                <w:sz w:val="16"/>
                <w:szCs w:val="16"/>
              </w:rPr>
              <w:t>roject</w:t>
            </w:r>
            <w:r w:rsidR="257551F3" w:rsidRPr="009F5C2E">
              <w:rPr>
                <w:sz w:val="16"/>
                <w:szCs w:val="16"/>
              </w:rPr>
              <w:t>-</w:t>
            </w:r>
            <w:r w:rsidR="2BE005B7" w:rsidRPr="009F5C2E">
              <w:rPr>
                <w:sz w:val="16"/>
                <w:szCs w:val="16"/>
              </w:rPr>
              <w:t>s</w:t>
            </w:r>
            <w:r w:rsidR="257551F3" w:rsidRPr="009F5C2E">
              <w:rPr>
                <w:sz w:val="16"/>
                <w:szCs w:val="16"/>
              </w:rPr>
              <w:t>pecific</w:t>
            </w:r>
            <w:r w:rsidRPr="009F5C2E">
              <w:rPr>
                <w:sz w:val="16"/>
                <w:szCs w:val="16"/>
              </w:rPr>
              <w:t xml:space="preserve"> basis, a breach of a Direct Interface Deed by a Direct Interface Party</w:t>
            </w:r>
            <w:r w:rsidR="048849B8" w:rsidRPr="009F5C2E">
              <w:rPr>
                <w:sz w:val="16"/>
                <w:szCs w:val="16"/>
              </w:rPr>
              <w:t>^^</w:t>
            </w:r>
          </w:p>
        </w:tc>
        <w:tc>
          <w:tcPr>
            <w:tcW w:w="1170" w:type="dxa"/>
          </w:tcPr>
          <w:p w14:paraId="78A57EBA" w14:textId="0B240DAD" w:rsidR="00A0268A" w:rsidRPr="000774D4" w:rsidRDefault="000E66B1"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Pr>
                <w:szCs w:val="17"/>
              </w:rPr>
              <w:t>^^</w:t>
            </w:r>
          </w:p>
        </w:tc>
        <w:tc>
          <w:tcPr>
            <w:tcW w:w="1170" w:type="dxa"/>
            <w:hideMark/>
          </w:tcPr>
          <w:p w14:paraId="7FFB8E9E" w14:textId="099F5E2D" w:rsidR="00A0268A" w:rsidRPr="000774D4" w:rsidRDefault="000E66B1"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Pr>
                <w:szCs w:val="17"/>
              </w:rPr>
              <w:t>^^</w:t>
            </w:r>
          </w:p>
        </w:tc>
        <w:tc>
          <w:tcPr>
            <w:tcW w:w="1170" w:type="dxa"/>
          </w:tcPr>
          <w:p w14:paraId="709B36B6" w14:textId="57FC3FA3" w:rsidR="00A0268A" w:rsidRPr="000774D4" w:rsidRDefault="000E66B1"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Pr>
                <w:szCs w:val="17"/>
              </w:rPr>
              <w:t>^^</w:t>
            </w:r>
          </w:p>
        </w:tc>
      </w:tr>
      <w:tr w:rsidR="00A0268A" w:rsidRPr="00A0268A" w14:paraId="3AC27D38"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3B3F0D8A" w14:textId="77777777" w:rsidR="00A0268A" w:rsidRPr="009F5C2E" w:rsidRDefault="00A0268A" w:rsidP="00AB543D">
            <w:pPr>
              <w:pStyle w:val="Numpara"/>
              <w:spacing w:before="60" w:after="60" w:line="252" w:lineRule="auto"/>
              <w:contextualSpacing w:val="0"/>
            </w:pPr>
            <w:bookmarkStart w:id="2098" w:name="_Ref132295082"/>
          </w:p>
        </w:tc>
        <w:bookmarkEnd w:id="2098"/>
        <w:tc>
          <w:tcPr>
            <w:tcW w:w="4140" w:type="dxa"/>
            <w:hideMark/>
          </w:tcPr>
          <w:p w14:paraId="7CF7447D" w14:textId="7E999556"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A Force Majeure Event</w:t>
            </w:r>
          </w:p>
        </w:tc>
        <w:tc>
          <w:tcPr>
            <w:tcW w:w="1170" w:type="dxa"/>
          </w:tcPr>
          <w:p w14:paraId="350B7C0D"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c>
          <w:tcPr>
            <w:tcW w:w="1170" w:type="dxa"/>
            <w:hideMark/>
          </w:tcPr>
          <w:p w14:paraId="14A2D651"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4604A1DD"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r>
      <w:tr w:rsidR="00450A85" w:rsidRPr="00A0268A" w14:paraId="2E5B890E"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524A9054" w14:textId="77777777" w:rsidR="00A0268A" w:rsidRPr="009F5C2E" w:rsidRDefault="00A0268A" w:rsidP="00AB543D">
            <w:pPr>
              <w:pStyle w:val="Numpara"/>
              <w:spacing w:before="60" w:after="60" w:line="252" w:lineRule="auto"/>
              <w:contextualSpacing w:val="0"/>
            </w:pPr>
          </w:p>
        </w:tc>
        <w:tc>
          <w:tcPr>
            <w:tcW w:w="4140" w:type="dxa"/>
            <w:hideMark/>
          </w:tcPr>
          <w:p w14:paraId="118FCF32" w14:textId="179D5F00"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Any act, event or circumstance or any other event expressly stated to be an Adjustment Event (Cost) in the ITC Delivery Deed or the Adjustment Event Guidelines</w:t>
            </w:r>
          </w:p>
        </w:tc>
        <w:tc>
          <w:tcPr>
            <w:tcW w:w="1170" w:type="dxa"/>
            <w:hideMark/>
          </w:tcPr>
          <w:p w14:paraId="550C5B1F"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c>
          <w:tcPr>
            <w:tcW w:w="1170" w:type="dxa"/>
            <w:hideMark/>
          </w:tcPr>
          <w:p w14:paraId="5610A9AC"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c>
          <w:tcPr>
            <w:tcW w:w="1170" w:type="dxa"/>
          </w:tcPr>
          <w:p w14:paraId="584A1D86"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r>
      <w:tr w:rsidR="00A0268A" w:rsidRPr="00A0268A" w14:paraId="18F14840" w14:textId="77777777" w:rsidTr="009F5C2E">
        <w:tc>
          <w:tcPr>
            <w:cnfStyle w:val="001000000000" w:firstRow="0" w:lastRow="0" w:firstColumn="1" w:lastColumn="0" w:oddVBand="0" w:evenVBand="0" w:oddHBand="0" w:evenHBand="0" w:firstRowFirstColumn="0" w:firstRowLastColumn="0" w:lastRowFirstColumn="0" w:lastRowLastColumn="0"/>
            <w:tcW w:w="576" w:type="dxa"/>
          </w:tcPr>
          <w:p w14:paraId="08A59CBB" w14:textId="77777777" w:rsidR="00A0268A" w:rsidRPr="009F5C2E" w:rsidRDefault="00A0268A" w:rsidP="00AB543D">
            <w:pPr>
              <w:pStyle w:val="Numpara"/>
              <w:spacing w:before="60" w:after="60" w:line="252" w:lineRule="auto"/>
              <w:contextualSpacing w:val="0"/>
            </w:pPr>
          </w:p>
        </w:tc>
        <w:tc>
          <w:tcPr>
            <w:tcW w:w="4140" w:type="dxa"/>
            <w:hideMark/>
          </w:tcPr>
          <w:p w14:paraId="547A5FB7" w14:textId="6BBDD086" w:rsidR="00A0268A" w:rsidRPr="009F5C2E" w:rsidRDefault="617E05B5" w:rsidP="009F5C2E">
            <w:pPr>
              <w:pStyle w:val="Tabletext"/>
              <w:spacing w:line="252" w:lineRule="auto"/>
              <w:cnfStyle w:val="000000000000" w:firstRow="0" w:lastRow="0" w:firstColumn="0" w:lastColumn="0" w:oddVBand="0" w:evenVBand="0" w:oddHBand="0" w:evenHBand="0" w:firstRowFirstColumn="0" w:firstRowLastColumn="0" w:lastRowFirstColumn="0" w:lastRowLastColumn="0"/>
              <w:rPr>
                <w:sz w:val="16"/>
                <w:szCs w:val="16"/>
              </w:rPr>
            </w:pPr>
            <w:r w:rsidRPr="009F5C2E">
              <w:rPr>
                <w:sz w:val="16"/>
                <w:szCs w:val="16"/>
              </w:rPr>
              <w:t xml:space="preserve">Any act, event or circumstance </w:t>
            </w:r>
            <w:r w:rsidR="7AA02F60" w:rsidRPr="009F5C2E">
              <w:rPr>
                <w:sz w:val="16"/>
                <w:szCs w:val="16"/>
              </w:rPr>
              <w:t xml:space="preserve">or </w:t>
            </w:r>
            <w:r w:rsidRPr="009F5C2E">
              <w:rPr>
                <w:sz w:val="16"/>
                <w:szCs w:val="16"/>
              </w:rPr>
              <w:t>any other event expressly stated to be an Adjustment Event (Time) in the ITC Delivery Deed or the Adjustment Event Guidelines</w:t>
            </w:r>
          </w:p>
        </w:tc>
        <w:tc>
          <w:tcPr>
            <w:tcW w:w="1170" w:type="dxa"/>
          </w:tcPr>
          <w:p w14:paraId="75B6C8A4"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c>
          <w:tcPr>
            <w:tcW w:w="1170" w:type="dxa"/>
            <w:hideMark/>
          </w:tcPr>
          <w:p w14:paraId="003C41A1"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r w:rsidRPr="000774D4">
              <w:rPr>
                <w:rFonts w:ascii="Wingdings" w:eastAsia="Wingdings" w:hAnsi="Wingdings" w:cs="Wingdings"/>
                <w:szCs w:val="17"/>
              </w:rPr>
              <w:t>ü</w:t>
            </w:r>
          </w:p>
        </w:tc>
        <w:tc>
          <w:tcPr>
            <w:tcW w:w="1170" w:type="dxa"/>
          </w:tcPr>
          <w:p w14:paraId="22AE6F51" w14:textId="77777777" w:rsidR="00A0268A" w:rsidRPr="000774D4" w:rsidRDefault="00A0268A" w:rsidP="00BA2095">
            <w:pPr>
              <w:spacing w:after="0"/>
              <w:jc w:val="center"/>
              <w:cnfStyle w:val="000000000000" w:firstRow="0" w:lastRow="0" w:firstColumn="0" w:lastColumn="0" w:oddVBand="0" w:evenVBand="0" w:oddHBand="0" w:evenHBand="0" w:firstRowFirstColumn="0" w:firstRowLastColumn="0" w:lastRowFirstColumn="0" w:lastRowLastColumn="0"/>
              <w:rPr>
                <w:szCs w:val="17"/>
              </w:rPr>
            </w:pPr>
          </w:p>
        </w:tc>
      </w:tr>
      <w:tr w:rsidR="00450A85" w:rsidRPr="00A0268A" w14:paraId="718D9CCC" w14:textId="77777777" w:rsidTr="009F5C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14:paraId="7B6D8E99" w14:textId="77777777" w:rsidR="00A0268A" w:rsidRPr="009F5C2E" w:rsidRDefault="00A0268A" w:rsidP="00AB543D">
            <w:pPr>
              <w:pStyle w:val="Numpara"/>
              <w:spacing w:before="60" w:after="60" w:line="252" w:lineRule="auto"/>
              <w:contextualSpacing w:val="0"/>
            </w:pPr>
          </w:p>
        </w:tc>
        <w:tc>
          <w:tcPr>
            <w:tcW w:w="4140" w:type="dxa"/>
            <w:hideMark/>
          </w:tcPr>
          <w:p w14:paraId="35046B22" w14:textId="246DD081" w:rsidR="00A0268A" w:rsidRPr="009F5C2E" w:rsidRDefault="617E05B5" w:rsidP="009F5C2E">
            <w:pPr>
              <w:pStyle w:val="Tabletext"/>
              <w:spacing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9F5C2E">
              <w:rPr>
                <w:sz w:val="16"/>
                <w:szCs w:val="16"/>
              </w:rPr>
              <w:t xml:space="preserve">Any act, event or circumstance </w:t>
            </w:r>
            <w:r w:rsidR="633ABF5C" w:rsidRPr="009F5C2E">
              <w:rPr>
                <w:sz w:val="16"/>
                <w:szCs w:val="16"/>
              </w:rPr>
              <w:t xml:space="preserve">or </w:t>
            </w:r>
            <w:r w:rsidRPr="009F5C2E">
              <w:rPr>
                <w:sz w:val="16"/>
                <w:szCs w:val="16"/>
              </w:rPr>
              <w:t>any other event expressly stated to be an Adjustment Event (KRA) in the ITC Delivery Deed or the Adjustment Event Guidelines</w:t>
            </w:r>
          </w:p>
        </w:tc>
        <w:tc>
          <w:tcPr>
            <w:tcW w:w="1170" w:type="dxa"/>
          </w:tcPr>
          <w:p w14:paraId="058ED265"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c>
          <w:tcPr>
            <w:tcW w:w="1170" w:type="dxa"/>
          </w:tcPr>
          <w:p w14:paraId="532A1467"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p>
        </w:tc>
        <w:tc>
          <w:tcPr>
            <w:tcW w:w="1170" w:type="dxa"/>
            <w:hideMark/>
          </w:tcPr>
          <w:p w14:paraId="105D979A" w14:textId="77777777" w:rsidR="00A0268A" w:rsidRPr="000774D4" w:rsidRDefault="00A0268A" w:rsidP="00BA2095">
            <w:pPr>
              <w:spacing w:after="0"/>
              <w:jc w:val="center"/>
              <w:cnfStyle w:val="000000010000" w:firstRow="0" w:lastRow="0" w:firstColumn="0" w:lastColumn="0" w:oddVBand="0" w:evenVBand="0" w:oddHBand="0" w:evenHBand="1" w:firstRowFirstColumn="0" w:firstRowLastColumn="0" w:lastRowFirstColumn="0" w:lastRowLastColumn="0"/>
              <w:rPr>
                <w:szCs w:val="17"/>
              </w:rPr>
            </w:pPr>
            <w:r w:rsidRPr="000774D4">
              <w:rPr>
                <w:rFonts w:ascii="Wingdings" w:eastAsia="Wingdings" w:hAnsi="Wingdings" w:cs="Wingdings"/>
                <w:szCs w:val="17"/>
              </w:rPr>
              <w:t>ü</w:t>
            </w:r>
          </w:p>
        </w:tc>
      </w:tr>
    </w:tbl>
    <w:p w14:paraId="60C5449B" w14:textId="28B93FED" w:rsidR="00A0268A" w:rsidRPr="0095430B" w:rsidRDefault="00A0268A" w:rsidP="009F5C2E">
      <w:pPr>
        <w:pStyle w:val="NoteNormalindent"/>
        <w:rPr>
          <w:lang w:bidi="mn-Mong-MN"/>
        </w:rPr>
      </w:pPr>
      <w:r w:rsidRPr="0095430B">
        <w:rPr>
          <w:lang w:bidi="mn-Mong-MN"/>
        </w:rPr>
        <w:t>Note</w:t>
      </w:r>
      <w:r w:rsidR="00943DF1" w:rsidRPr="0095430B">
        <w:rPr>
          <w:lang w:bidi="mn-Mong-MN"/>
        </w:rPr>
        <w:t>s</w:t>
      </w:r>
      <w:r w:rsidRPr="0095430B">
        <w:rPr>
          <w:lang w:bidi="mn-Mong-MN"/>
        </w:rPr>
        <w:t>:</w:t>
      </w:r>
    </w:p>
    <w:p w14:paraId="0AE5C9F3" w14:textId="5FE0B25C" w:rsidR="00A0268A" w:rsidRPr="00175278" w:rsidRDefault="617E05B5" w:rsidP="009F5C2E">
      <w:pPr>
        <w:pStyle w:val="NoteNormalindent"/>
        <w:rPr>
          <w:lang w:bidi="mn-Mong-MN"/>
        </w:rPr>
      </w:pPr>
      <w:r w:rsidRPr="2C5D2C8B">
        <w:rPr>
          <w:lang w:bidi="mn-Mong-MN"/>
        </w:rPr>
        <w:t>* These acts, events or circumstances only constitute an Adjustment Event (Cost) where the Contractor has been granted an extension of time to a Date for Completion in accordance with clause</w:t>
      </w:r>
      <w:r w:rsidR="7865FA55" w:rsidRPr="2C5D2C8B">
        <w:rPr>
          <w:rFonts w:ascii="Calibri" w:hAnsi="Calibri" w:cs="Calibri"/>
          <w:lang w:bidi="mn-Mong-MN"/>
        </w:rPr>
        <w:t> </w:t>
      </w:r>
      <w:r w:rsidR="092B47D4" w:rsidRPr="2C5D2C8B">
        <w:rPr>
          <w:lang w:bidi="mn-Mong-MN"/>
        </w:rPr>
        <w:t>27.8</w:t>
      </w:r>
      <w:r w:rsidRPr="2C5D2C8B">
        <w:rPr>
          <w:lang w:bidi="mn-Mong-MN"/>
        </w:rPr>
        <w:t xml:space="preserve"> of the ITC Delivery Deed</w:t>
      </w:r>
      <w:r w:rsidR="45932803" w:rsidRPr="2C5D2C8B">
        <w:rPr>
          <w:lang w:bidi="mn-Mong-MN"/>
        </w:rPr>
        <w:t>,</w:t>
      </w:r>
      <w:r w:rsidRPr="2C5D2C8B">
        <w:rPr>
          <w:lang w:bidi="mn-Mong-MN"/>
        </w:rPr>
        <w:t xml:space="preserve"> and the adjustment to the TOC only appl</w:t>
      </w:r>
      <w:r w:rsidR="4F76F29B" w:rsidRPr="2C5D2C8B">
        <w:rPr>
          <w:lang w:bidi="mn-Mong-MN"/>
        </w:rPr>
        <w:t>ies</w:t>
      </w:r>
      <w:r w:rsidRPr="2C5D2C8B">
        <w:rPr>
          <w:lang w:bidi="mn-Mong-MN"/>
        </w:rPr>
        <w:t xml:space="preserve"> to time</w:t>
      </w:r>
      <w:r w:rsidR="4F76F29B" w:rsidRPr="2C5D2C8B">
        <w:rPr>
          <w:lang w:bidi="mn-Mong-MN"/>
        </w:rPr>
        <w:t>-</w:t>
      </w:r>
      <w:r w:rsidRPr="2C5D2C8B">
        <w:rPr>
          <w:lang w:bidi="mn-Mong-MN"/>
        </w:rPr>
        <w:t>related costs.</w:t>
      </w:r>
    </w:p>
    <w:p w14:paraId="2C812860" w14:textId="27FB48B7" w:rsidR="00A0268A" w:rsidRPr="00175278" w:rsidRDefault="617E05B5" w:rsidP="009F5C2E">
      <w:pPr>
        <w:pStyle w:val="NoteNormalindent"/>
        <w:rPr>
          <w:lang w:bidi="mn-Mong-MN"/>
        </w:rPr>
      </w:pPr>
      <w:r w:rsidRPr="2C5D2C8B">
        <w:rPr>
          <w:lang w:bidi="mn-Mong-MN"/>
        </w:rPr>
        <w:t>** These acts, events or circumstances only constitute an Adjustment Event (Cost) where they also constitute a Scope Variation under the ITC Delivery Deed.</w:t>
      </w:r>
    </w:p>
    <w:p w14:paraId="71F6AE15" w14:textId="2BA4E4C3" w:rsidR="00A0268A" w:rsidRPr="000774D4" w:rsidRDefault="00A0268A" w:rsidP="009F5C2E">
      <w:pPr>
        <w:pStyle w:val="NoteNormalindent"/>
        <w:rPr>
          <w:lang w:bidi="mn-Mong-MN"/>
        </w:rPr>
      </w:pPr>
      <w:r w:rsidRPr="00175278">
        <w:rPr>
          <w:lang w:bidi="mn-Mong-MN"/>
        </w:rPr>
        <w:t xml:space="preserve">^ Item </w:t>
      </w:r>
      <w:r>
        <w:rPr>
          <w:lang w:bidi="mn-Mong-MN"/>
        </w:rPr>
        <w:t>9</w:t>
      </w:r>
      <w:r w:rsidRPr="00175278">
        <w:rPr>
          <w:lang w:bidi="mn-Mong-MN"/>
        </w:rPr>
        <w:t xml:space="preserve"> in relation to Insurances (Principal) is to be considered on a project</w:t>
      </w:r>
      <w:r w:rsidR="007C277D">
        <w:rPr>
          <w:lang w:bidi="mn-Mong-MN"/>
        </w:rPr>
        <w:t>-specific</w:t>
      </w:r>
      <w:r w:rsidRPr="000E66B1">
        <w:rPr>
          <w:lang w:bidi="mn-Mong-MN"/>
        </w:rPr>
        <w:t xml:space="preserve"> basis</w:t>
      </w:r>
      <w:r w:rsidRPr="000774D4">
        <w:rPr>
          <w:lang w:bidi="mn-Mong-MN"/>
        </w:rPr>
        <w:t>.</w:t>
      </w:r>
    </w:p>
    <w:p w14:paraId="09A0AA44" w14:textId="5F392738" w:rsidR="000E66B1" w:rsidRDefault="048849B8" w:rsidP="009F5C2E">
      <w:pPr>
        <w:pStyle w:val="NoteNormalindent"/>
        <w:rPr>
          <w:lang w:bidi="mn-Mong-MN"/>
        </w:rPr>
      </w:pPr>
      <w:r w:rsidRPr="2C5D2C8B">
        <w:rPr>
          <w:lang w:bidi="mn-Mong-MN"/>
        </w:rPr>
        <w:t>^</w:t>
      </w:r>
      <w:r w:rsidR="6C8796E5" w:rsidRPr="2C5D2C8B">
        <w:rPr>
          <w:lang w:bidi="mn-Mong-MN"/>
        </w:rPr>
        <w:t>^</w:t>
      </w:r>
      <w:r w:rsidRPr="2C5D2C8B">
        <w:rPr>
          <w:lang w:bidi="mn-Mong-MN"/>
        </w:rPr>
        <w:t xml:space="preserve"> Item 12 in relation to breach of a Direct Interface Deed by a Direct Interface Party is to be considered on a project</w:t>
      </w:r>
      <w:r w:rsidR="0C9053DD" w:rsidRPr="2C5D2C8B">
        <w:rPr>
          <w:lang w:bidi="mn-Mong-MN"/>
        </w:rPr>
        <w:t>-specific</w:t>
      </w:r>
      <w:r w:rsidRPr="2C5D2C8B">
        <w:rPr>
          <w:lang w:bidi="mn-Mong-MN"/>
        </w:rPr>
        <w:t xml:space="preserve"> basis, including whether the entitlement </w:t>
      </w:r>
      <w:r w:rsidR="1C923763" w:rsidRPr="2C5D2C8B">
        <w:rPr>
          <w:lang w:bidi="mn-Mong-MN"/>
        </w:rPr>
        <w:t>is</w:t>
      </w:r>
      <w:r w:rsidRPr="2C5D2C8B">
        <w:rPr>
          <w:lang w:bidi="mn-Mong-MN"/>
        </w:rPr>
        <w:t xml:space="preserve"> time or cost</w:t>
      </w:r>
      <w:r w:rsidR="2BE005B7" w:rsidRPr="2C5D2C8B">
        <w:rPr>
          <w:lang w:bidi="mn-Mong-MN"/>
        </w:rPr>
        <w:t xml:space="preserve"> </w:t>
      </w:r>
      <w:r w:rsidR="36FFE89D" w:rsidRPr="2C5D2C8B">
        <w:rPr>
          <w:lang w:bidi="mn-Mong-MN"/>
        </w:rPr>
        <w:t>(</w:t>
      </w:r>
      <w:r w:rsidR="2BE005B7" w:rsidRPr="2C5D2C8B">
        <w:rPr>
          <w:lang w:bidi="mn-Mong-MN"/>
        </w:rPr>
        <w:t>or both</w:t>
      </w:r>
      <w:r w:rsidR="36FFE89D" w:rsidRPr="2C5D2C8B">
        <w:rPr>
          <w:lang w:bidi="mn-Mong-MN"/>
        </w:rPr>
        <w:t>)</w:t>
      </w:r>
      <w:r w:rsidRPr="2C5D2C8B">
        <w:rPr>
          <w:lang w:bidi="mn-Mong-MN"/>
        </w:rPr>
        <w:t>.</w:t>
      </w:r>
    </w:p>
    <w:p w14:paraId="2EA27E9D" w14:textId="77777777" w:rsidR="00400321" w:rsidRDefault="00400321" w:rsidP="009F5C2E">
      <w:pPr>
        <w:pStyle w:val="NoteNormalindent"/>
        <w:rPr>
          <w:lang w:bidi="mn-Mong-MN"/>
        </w:rPr>
      </w:pPr>
    </w:p>
    <w:p w14:paraId="7BA04788" w14:textId="5AB980C4" w:rsidR="000F668B" w:rsidRPr="005F1B15" w:rsidRDefault="48DEEB68" w:rsidP="00400321">
      <w:pPr>
        <w:pStyle w:val="Heading3numbered"/>
      </w:pPr>
      <w:r>
        <w:t xml:space="preserve">Adjustment Events and </w:t>
      </w:r>
      <w:r w:rsidR="6D9E32C2">
        <w:t>n</w:t>
      </w:r>
      <w:r>
        <w:t>otice of claim</w:t>
      </w:r>
      <w:r w:rsidR="092B47D4">
        <w:t xml:space="preserve"> (clauses</w:t>
      </w:r>
      <w:r w:rsidR="7865FA55" w:rsidRPr="2C5D2C8B">
        <w:rPr>
          <w:rFonts w:ascii="Calibri" w:hAnsi="Calibri" w:cs="Calibri"/>
        </w:rPr>
        <w:t> </w:t>
      </w:r>
      <w:r w:rsidR="092B47D4">
        <w:t>27.6, 27.7, 27.8 and 27.9 of the ITC Delivery Deed)</w:t>
      </w:r>
    </w:p>
    <w:p w14:paraId="4801EB5B" w14:textId="10FF3102" w:rsidR="00DB2AF8" w:rsidRDefault="00DB2AF8" w:rsidP="00491992">
      <w:pPr>
        <w:pStyle w:val="Heading4numbered"/>
      </w:pPr>
      <w:r>
        <w:t>Notice of claim</w:t>
      </w:r>
    </w:p>
    <w:p w14:paraId="534E8499" w14:textId="10FE0571" w:rsidR="00700256" w:rsidRDefault="32A6D22F" w:rsidP="0005402F">
      <w:pPr>
        <w:pStyle w:val="NormalIndent"/>
      </w:pPr>
      <w:r>
        <w:t>If an Adjustment Event occurs</w:t>
      </w:r>
      <w:r w:rsidR="799A1EC1">
        <w:t>,</w:t>
      </w:r>
      <w:r>
        <w:t xml:space="preserve"> and the Contractor wishes to claim an extension of time to the relevant Date for Completion or an adjustment to the TOC or the KRAs, the Contractor must submit a notice of claim to the Principal and the Principal Representative</w:t>
      </w:r>
      <w:r w:rsidR="6C8796E5">
        <w:t xml:space="preserve"> within the time required under the ITC Delivery Deed and must continue to update the Principal and the Principal Representative in respect of the relevant Adjustment Event.</w:t>
      </w:r>
    </w:p>
    <w:p w14:paraId="36A09646" w14:textId="10CD9957" w:rsidR="00DB2AF8" w:rsidRDefault="6D9E32C2" w:rsidP="00491992">
      <w:pPr>
        <w:pStyle w:val="Heading4numbered"/>
      </w:pPr>
      <w:bookmarkStart w:id="2099" w:name="_Ref132977859"/>
      <w:r>
        <w:t xml:space="preserve">Conditions </w:t>
      </w:r>
      <w:r w:rsidR="0C3D61B9">
        <w:t>P</w:t>
      </w:r>
      <w:r>
        <w:t>recedent to extension</w:t>
      </w:r>
      <w:bookmarkEnd w:id="2099"/>
    </w:p>
    <w:p w14:paraId="21737A04" w14:textId="7577EA0C" w:rsidR="00AC146C" w:rsidRDefault="00AC146C" w:rsidP="00400321">
      <w:pPr>
        <w:pStyle w:val="NormalIndent"/>
        <w:keepNext/>
      </w:pPr>
      <w:r>
        <w:t xml:space="preserve">In the case of an extension of time, it is a </w:t>
      </w:r>
      <w:r w:rsidR="00665978">
        <w:t>C</w:t>
      </w:r>
      <w:r>
        <w:t xml:space="preserve">ondition </w:t>
      </w:r>
      <w:r w:rsidR="00665978">
        <w:t>P</w:t>
      </w:r>
      <w:r>
        <w:t>recedent to the Contractor</w:t>
      </w:r>
      <w:r w:rsidR="00633251">
        <w:t>’</w:t>
      </w:r>
      <w:r>
        <w:t>s entitlement that the Contractor:</w:t>
      </w:r>
    </w:p>
    <w:p w14:paraId="7DCD85FD" w14:textId="207B046B" w:rsidR="00AC146C" w:rsidRDefault="6C8796E5" w:rsidP="00400321">
      <w:pPr>
        <w:pStyle w:val="Bulletindent"/>
        <w:keepNext/>
      </w:pPr>
      <w:r>
        <w:t>can demonstrate that it has been or will be delayed from carrying out the Contractor</w:t>
      </w:r>
      <w:r w:rsidR="629BCFA6">
        <w:t>’</w:t>
      </w:r>
      <w:r>
        <w:t xml:space="preserve">s Activities by the relevant Adjustment Event (Time) in a manner </w:t>
      </w:r>
      <w:r w:rsidR="358D0A21">
        <w:t xml:space="preserve">that </w:t>
      </w:r>
      <w:r>
        <w:t>has delayed or will delay the achievement of Completion</w:t>
      </w:r>
      <w:r w:rsidR="358D0A21">
        <w:t>;</w:t>
      </w:r>
    </w:p>
    <w:p w14:paraId="37D9E5D5" w14:textId="24025785" w:rsidR="002A524B" w:rsidRPr="002A524B" w:rsidRDefault="6C8796E5" w:rsidP="0005402F">
      <w:pPr>
        <w:pStyle w:val="Bulletindent"/>
      </w:pPr>
      <w:r>
        <w:t>can demonstrate that the relevant Adjustment Event (Time) has caused or will cause activities on the critical path contained in the then current Program to be delayed</w:t>
      </w:r>
      <w:r w:rsidR="0E365580">
        <w:t>; and</w:t>
      </w:r>
    </w:p>
    <w:p w14:paraId="4801B97F" w14:textId="1D84E301" w:rsidR="00DB2AF8" w:rsidRDefault="6C8796E5" w:rsidP="0005402F">
      <w:pPr>
        <w:pStyle w:val="Bulletindent"/>
      </w:pPr>
      <w:r>
        <w:t xml:space="preserve">submits an updated Program to the Principal and the Principal Representative </w:t>
      </w:r>
      <w:r w:rsidR="0E365580">
        <w:t xml:space="preserve">that </w:t>
      </w:r>
      <w:r>
        <w:t>complies with the requirements of the ITC Delivery Deed, take</w:t>
      </w:r>
      <w:r w:rsidR="4F746D33">
        <w:t>s</w:t>
      </w:r>
      <w:r>
        <w:t xml:space="preserve"> into account the impact of the relevant Adjustment Event (Time) and contains a level of detail sufficient to enable the Principal Representative to determine the Contractor</w:t>
      </w:r>
      <w:r w:rsidR="629BCFA6">
        <w:t>’</w:t>
      </w:r>
      <w:r>
        <w:t>s entitlement to an extension of time.</w:t>
      </w:r>
    </w:p>
    <w:p w14:paraId="5FC797CF" w14:textId="0E654732" w:rsidR="00AC146C" w:rsidRDefault="00DB2AF8" w:rsidP="0095430B">
      <w:pPr>
        <w:pStyle w:val="Heading4numbered"/>
      </w:pPr>
      <w:r>
        <w:t>Claim determined by Principal Representative</w:t>
      </w:r>
    </w:p>
    <w:p w14:paraId="59098170" w14:textId="6AE34E59" w:rsidR="00827AF2" w:rsidRDefault="00827AF2" w:rsidP="00171513">
      <w:pPr>
        <w:pStyle w:val="Heading5"/>
      </w:pPr>
      <w:r>
        <w:t>Extension of time</w:t>
      </w:r>
    </w:p>
    <w:p w14:paraId="47375986" w14:textId="3B62D170" w:rsidR="00827AF2" w:rsidRDefault="00827AF2" w:rsidP="0005402F">
      <w:pPr>
        <w:pStyle w:val="NormalIndent"/>
      </w:pPr>
      <w:r w:rsidRPr="00827AF2">
        <w:t>If</w:t>
      </w:r>
      <w:r>
        <w:t>:</w:t>
      </w:r>
    </w:p>
    <w:p w14:paraId="7C612048" w14:textId="0D2E54DE" w:rsidR="00827AF2" w:rsidRDefault="19710E9B" w:rsidP="0005402F">
      <w:pPr>
        <w:pStyle w:val="Bulletindent"/>
      </w:pPr>
      <w:r>
        <w:t xml:space="preserve">the </w:t>
      </w:r>
      <w:r w:rsidR="0C3D61B9">
        <w:t>C</w:t>
      </w:r>
      <w:r>
        <w:t xml:space="preserve">ondition </w:t>
      </w:r>
      <w:r w:rsidR="0C3D61B9">
        <w:t>P</w:t>
      </w:r>
      <w:r>
        <w:t xml:space="preserve">recedent set out in section </w:t>
      </w:r>
      <w:r w:rsidR="00827AF2">
        <w:fldChar w:fldCharType="begin" w:fldLock="1"/>
      </w:r>
      <w:r w:rsidR="00827AF2">
        <w:instrText xml:space="preserve"> REF _Ref132977859 \r \h </w:instrText>
      </w:r>
      <w:r w:rsidR="00827AF2">
        <w:fldChar w:fldCharType="separate"/>
      </w:r>
      <w:r w:rsidR="00400321">
        <w:t>5.5.2.2</w:t>
      </w:r>
      <w:r w:rsidR="00827AF2">
        <w:fldChar w:fldCharType="end"/>
      </w:r>
      <w:r>
        <w:t xml:space="preserve"> </w:t>
      </w:r>
      <w:r w:rsidR="4B8468F0">
        <w:t>is</w:t>
      </w:r>
      <w:r>
        <w:t xml:space="preserve"> satisfied</w:t>
      </w:r>
      <w:r w:rsidR="193BED0F">
        <w:t>;</w:t>
      </w:r>
    </w:p>
    <w:p w14:paraId="79E2B1C4" w14:textId="21C56F5A" w:rsidR="002A524B" w:rsidRPr="002A524B" w:rsidRDefault="19710E9B" w:rsidP="0005402F">
      <w:pPr>
        <w:pStyle w:val="Bulletindent"/>
      </w:pPr>
      <w:r>
        <w:t>the Principal Representative has not given an interim determination of the Contractor</w:t>
      </w:r>
      <w:r w:rsidR="629BCFA6">
        <w:t>’</w:t>
      </w:r>
      <w:r>
        <w:t>s entitlement to an extension of time pursuant to clause</w:t>
      </w:r>
      <w:r w:rsidR="7865FA55" w:rsidRPr="2C5D2C8B">
        <w:rPr>
          <w:rFonts w:ascii="Calibri" w:hAnsi="Calibri"/>
        </w:rPr>
        <w:t> </w:t>
      </w:r>
      <w:r>
        <w:t>27.8</w:t>
      </w:r>
      <w:r w:rsidR="092B47D4">
        <w:t xml:space="preserve"> of the ITC Delivery Deed</w:t>
      </w:r>
      <w:r>
        <w:t xml:space="preserve"> (see below)</w:t>
      </w:r>
      <w:r w:rsidR="193BED0F">
        <w:t>;</w:t>
      </w:r>
      <w:r w:rsidR="4E2D0262">
        <w:t xml:space="preserve"> and</w:t>
      </w:r>
    </w:p>
    <w:p w14:paraId="33A3D96B" w14:textId="225EB03C" w:rsidR="008C0D49" w:rsidRDefault="19710E9B" w:rsidP="0005402F">
      <w:pPr>
        <w:pStyle w:val="Bulletindent"/>
      </w:pPr>
      <w:r>
        <w:t>the Principal Representative has not issued a direction under clause</w:t>
      </w:r>
      <w:r w:rsidR="7865FA55" w:rsidRPr="2C5D2C8B">
        <w:rPr>
          <w:rFonts w:ascii="Calibri" w:hAnsi="Calibri"/>
        </w:rPr>
        <w:t> </w:t>
      </w:r>
      <w:r>
        <w:t>27.12</w:t>
      </w:r>
      <w:r w:rsidR="092B47D4">
        <w:t xml:space="preserve"> of the ITC Delivery Deed</w:t>
      </w:r>
      <w:r>
        <w:t xml:space="preserve"> to accelerate the Contractor</w:t>
      </w:r>
      <w:r w:rsidR="629BCFA6">
        <w:t>’</w:t>
      </w:r>
      <w:r>
        <w:t>s Activities beforehand (or the parties agree the adjustment to the TOC or KRAs)</w:t>
      </w:r>
      <w:r w:rsidR="4E2D0262">
        <w:t>;</w:t>
      </w:r>
    </w:p>
    <w:p w14:paraId="0AEF4C8F" w14:textId="3C26228A" w:rsidR="00827AF2" w:rsidRDefault="00827AF2" w:rsidP="0005402F">
      <w:pPr>
        <w:pStyle w:val="NormalIndent"/>
      </w:pPr>
      <w:r>
        <w:t>the Principal Representative must:</w:t>
      </w:r>
    </w:p>
    <w:p w14:paraId="70A5EA1F" w14:textId="1722690C" w:rsidR="002A524B" w:rsidRPr="002A524B" w:rsidRDefault="19710E9B" w:rsidP="0005402F">
      <w:pPr>
        <w:pStyle w:val="Bulletindent"/>
      </w:pPr>
      <w:r>
        <w:t>extend the relevant Date for Completion</w:t>
      </w:r>
      <w:r w:rsidR="00384842">
        <w:t xml:space="preserve"> </w:t>
      </w:r>
      <w:r>
        <w:t>(if at all) in accordance with the determination of the Principal Representative</w:t>
      </w:r>
      <w:r w:rsidR="4E8FBB41">
        <w:t>; and</w:t>
      </w:r>
    </w:p>
    <w:p w14:paraId="7E8FB76F" w14:textId="0722D226" w:rsidR="00827AF2" w:rsidRDefault="19710E9B" w:rsidP="0005402F">
      <w:pPr>
        <w:pStyle w:val="Bulletindent"/>
      </w:pPr>
      <w:r>
        <w:t>adjust the TOC or KRAs</w:t>
      </w:r>
      <w:r w:rsidR="00384842">
        <w:t xml:space="preserve"> (i</w:t>
      </w:r>
      <w:r>
        <w:t>f at all) in accordance with the determination of the Principal Representative</w:t>
      </w:r>
      <w:r w:rsidR="2FD83959">
        <w:t>;</w:t>
      </w:r>
    </w:p>
    <w:p w14:paraId="6A7D2B76" w14:textId="2406DBB0" w:rsidR="00827AF2" w:rsidRDefault="00827AF2" w:rsidP="0037417B">
      <w:pPr>
        <w:pStyle w:val="NormalIndent"/>
      </w:pPr>
      <w:r>
        <w:t>within 10 Business Days after the later of:</w:t>
      </w:r>
    </w:p>
    <w:p w14:paraId="06B21323" w14:textId="6BD49350" w:rsidR="002A524B" w:rsidRPr="002A524B" w:rsidRDefault="19710E9B" w:rsidP="0005402F">
      <w:pPr>
        <w:pStyle w:val="Bulletindent"/>
      </w:pPr>
      <w:r>
        <w:t>receipt of a notice of claim from the Contractor</w:t>
      </w:r>
      <w:r w:rsidR="2FD83959">
        <w:t>; or</w:t>
      </w:r>
    </w:p>
    <w:p w14:paraId="19BEB051" w14:textId="0E705679" w:rsidR="00827AF2" w:rsidRDefault="00827AF2" w:rsidP="0005402F">
      <w:pPr>
        <w:pStyle w:val="Bulletindent"/>
      </w:pPr>
      <w:r>
        <w:t>where the Principal Representative determines that the updated Program submitted with the notice of claim is non-compliant, receipt of a compliant updated Program.</w:t>
      </w:r>
    </w:p>
    <w:p w14:paraId="516580BE" w14:textId="178923D6" w:rsidR="00827AF2" w:rsidRDefault="00827AF2" w:rsidP="00171513">
      <w:pPr>
        <w:pStyle w:val="Heading5"/>
      </w:pPr>
      <w:r>
        <w:t>Interim determinations</w:t>
      </w:r>
    </w:p>
    <w:p w14:paraId="03307780" w14:textId="36B93E93" w:rsidR="00827AF2" w:rsidRDefault="19710E9B" w:rsidP="0005402F">
      <w:pPr>
        <w:pStyle w:val="NormalIndent"/>
      </w:pPr>
      <w:r>
        <w:t>Where the Contractor is entitled to an extension of time, and the effects of the relevant Adjustment Event (Time) are continuing, the Principal Representative, if it is reasonably able to do so, give</w:t>
      </w:r>
      <w:r w:rsidR="3B1196CE">
        <w:t>s</w:t>
      </w:r>
      <w:r>
        <w:t xml:space="preserve"> interim determinations (on an interim basis) of the Contractor</w:t>
      </w:r>
      <w:r w:rsidR="629BCFA6">
        <w:t>’</w:t>
      </w:r>
      <w:r>
        <w:t>s entitlement to an extension of time until the Contractor is able to submit a final notice of claim.</w:t>
      </w:r>
    </w:p>
    <w:p w14:paraId="56938689" w14:textId="7B29F7E2" w:rsidR="00827AF2" w:rsidRPr="00827AF2" w:rsidRDefault="19710E9B" w:rsidP="0005402F">
      <w:pPr>
        <w:pStyle w:val="NormalIndent"/>
      </w:pPr>
      <w:r>
        <w:t>Where the Principal Representative gives interim determinations of the Contractor</w:t>
      </w:r>
      <w:r w:rsidR="629BCFA6">
        <w:t>’</w:t>
      </w:r>
      <w:r>
        <w:t xml:space="preserve">s entitlement to an extension of time in respect of an Adjustment Event (Time) that is also an Adjustment Event (TOC) or Adjustment Event (KRA), the Principal Representative </w:t>
      </w:r>
      <w:r w:rsidR="3B1196CE">
        <w:t xml:space="preserve">does </w:t>
      </w:r>
      <w:r>
        <w:t xml:space="preserve">not give interim determinations of the adjustment to the TOC or the KRAs. The adjustment to the TOC or the KRAs (if any) </w:t>
      </w:r>
      <w:r w:rsidR="55EE91B0">
        <w:t xml:space="preserve">is </w:t>
      </w:r>
      <w:r>
        <w:t>only determined once the Contractor submits its final notice of claim.</w:t>
      </w:r>
    </w:p>
    <w:p w14:paraId="1568DA41" w14:textId="05300374" w:rsidR="00DB2AF8" w:rsidRDefault="00DB2AF8" w:rsidP="0095430B">
      <w:pPr>
        <w:pStyle w:val="Heading4numbered"/>
      </w:pPr>
      <w:r>
        <w:t>Unilateral extensions</w:t>
      </w:r>
    </w:p>
    <w:p w14:paraId="675A236B" w14:textId="64A9F210" w:rsidR="00AC146C" w:rsidRDefault="6C8796E5" w:rsidP="0005402F">
      <w:pPr>
        <w:pStyle w:val="NormalIndent"/>
      </w:pPr>
      <w:r>
        <w:t>The Principal may unilaterally extend a Date for Completion or adjust the TOC or a KRA regardless of whether the Contractor has made, or is entitled to make, a claim in respect of an Adjustment Event. If the Principal exercises such power in respect of an Adjustment Event (Time), Adjustment Event (Cost) or Adjustment Event (KRA) for which, but for the exercise of the Principal</w:t>
      </w:r>
      <w:r w:rsidR="629BCFA6">
        <w:t>’</w:t>
      </w:r>
      <w:r>
        <w:t>s powers, the Contractor would be entitled to an extension of time to a Date for Completion or adjustment to the TOC or KRAs, and the Contractor disputes the determination made by the Principal, the Contractor may refer the dispute to expert determination within 10 Business Days after the Principal exercises its power.</w:t>
      </w:r>
    </w:p>
    <w:p w14:paraId="7A815999" w14:textId="74A7390F" w:rsidR="008044C1" w:rsidRDefault="1054429A" w:rsidP="0095430B">
      <w:pPr>
        <w:pStyle w:val="Heading2numbered"/>
      </w:pPr>
      <w:bookmarkStart w:id="2100" w:name="_Ref492895575"/>
      <w:bookmarkStart w:id="2101" w:name="_Toc133577900"/>
      <w:bookmarkStart w:id="2102" w:name="_Toc145612595"/>
      <w:r>
        <w:t>Defects</w:t>
      </w:r>
      <w:bookmarkEnd w:id="2100"/>
      <w:bookmarkEnd w:id="2101"/>
      <w:r w:rsidR="092B47D4">
        <w:t xml:space="preserve"> (clauses</w:t>
      </w:r>
      <w:r w:rsidR="7865FA55" w:rsidRPr="2C5D2C8B">
        <w:rPr>
          <w:rFonts w:ascii="Calibri" w:hAnsi="Calibri" w:cs="Calibri"/>
        </w:rPr>
        <w:t> </w:t>
      </w:r>
      <w:r w:rsidR="092B47D4">
        <w:t>1 and 28 of the ITC Delivery Deed)</w:t>
      </w:r>
      <w:bookmarkEnd w:id="2102"/>
    </w:p>
    <w:p w14:paraId="5D5AA957" w14:textId="3B0A8684" w:rsidR="00DB2AF8" w:rsidRDefault="6D9E32C2" w:rsidP="0095430B">
      <w:pPr>
        <w:pStyle w:val="Heading3numbered"/>
      </w:pPr>
      <w:r>
        <w:t>General principle</w:t>
      </w:r>
      <w:r w:rsidR="2A940FD2">
        <w:t>s</w:t>
      </w:r>
      <w:r w:rsidR="092B47D4">
        <w:t xml:space="preserve"> (clause</w:t>
      </w:r>
      <w:r w:rsidR="7865FA55" w:rsidRPr="2C5D2C8B">
        <w:rPr>
          <w:rFonts w:ascii="Calibri" w:hAnsi="Calibri" w:cs="Calibri"/>
        </w:rPr>
        <w:t> </w:t>
      </w:r>
      <w:r w:rsidR="092B47D4">
        <w:t>1 of the ITC Delivery Deed)</w:t>
      </w:r>
    </w:p>
    <w:p w14:paraId="55A07624" w14:textId="4F132BAF" w:rsidR="009433A6" w:rsidRPr="002C041A" w:rsidRDefault="009433A6" w:rsidP="0095430B">
      <w:pPr>
        <w:pStyle w:val="Heading4numbered"/>
      </w:pPr>
      <w:r>
        <w:t>Defect</w:t>
      </w:r>
    </w:p>
    <w:p w14:paraId="60007DE8" w14:textId="6894372A" w:rsidR="008044C1" w:rsidRDefault="1054429A" w:rsidP="0005402F">
      <w:pPr>
        <w:pStyle w:val="NormalIndent"/>
      </w:pPr>
      <w:r>
        <w:t xml:space="preserve">The definition of </w:t>
      </w:r>
      <w:r w:rsidR="61C76C8F">
        <w:t>‘</w:t>
      </w:r>
      <w:r>
        <w:t>Defect</w:t>
      </w:r>
      <w:r w:rsidR="61C76C8F">
        <w:t>’</w:t>
      </w:r>
      <w:r>
        <w:t xml:space="preserve"> </w:t>
      </w:r>
      <w:r w:rsidR="2A940FD2">
        <w:t xml:space="preserve">expressly </w:t>
      </w:r>
      <w:r>
        <w:t>excludes damage</w:t>
      </w:r>
      <w:r w:rsidR="2A940FD2">
        <w:t xml:space="preserve"> to the Works or the Returned Assets</w:t>
      </w:r>
      <w:r>
        <w:t xml:space="preserve">. There is a separate regime in the ITC Delivery Deed for damage that reflects that damage is typically an </w:t>
      </w:r>
      <w:r w:rsidR="0FC80A7C">
        <w:t>I</w:t>
      </w:r>
      <w:r>
        <w:t xml:space="preserve">nsured </w:t>
      </w:r>
      <w:r w:rsidR="0FC80A7C">
        <w:t>R</w:t>
      </w:r>
      <w:r>
        <w:t>isk</w:t>
      </w:r>
      <w:r w:rsidR="2A9D63C3">
        <w:t>,</w:t>
      </w:r>
      <w:r>
        <w:t xml:space="preserve"> while Defects are not.</w:t>
      </w:r>
    </w:p>
    <w:p w14:paraId="2A50421D" w14:textId="39C0399F" w:rsidR="00202DEC" w:rsidRDefault="2A940FD2" w:rsidP="0095430B">
      <w:pPr>
        <w:pStyle w:val="Heading4numbered"/>
      </w:pPr>
      <w:r>
        <w:t>Defects Liability Period</w:t>
      </w:r>
    </w:p>
    <w:p w14:paraId="1625A582" w14:textId="1374EAF5" w:rsidR="00D42566" w:rsidRDefault="2C56F697" w:rsidP="0005402F">
      <w:pPr>
        <w:pStyle w:val="NormalIndent"/>
      </w:pPr>
      <w:r>
        <w:t xml:space="preserve">The ITC Delivery Deed provides for a </w:t>
      </w:r>
      <w:r w:rsidR="1D5EDB4F">
        <w:t>DLP</w:t>
      </w:r>
      <w:r>
        <w:t xml:space="preserve"> of 12</w:t>
      </w:r>
      <w:r w:rsidR="7C7060A8">
        <w:t xml:space="preserve"> or </w:t>
      </w:r>
      <w:r>
        <w:t xml:space="preserve">24 </w:t>
      </w:r>
      <w:r w:rsidR="785C3D28">
        <w:t>M</w:t>
      </w:r>
      <w:r>
        <w:t xml:space="preserve">onths commencing on the Date of Practical Completion. Any </w:t>
      </w:r>
      <w:r w:rsidR="411BC864">
        <w:t>W</w:t>
      </w:r>
      <w:r>
        <w:t xml:space="preserve">orks </w:t>
      </w:r>
      <w:r w:rsidR="411BC864">
        <w:t xml:space="preserve">rectified during the </w:t>
      </w:r>
      <w:r w:rsidR="1D5EDB4F">
        <w:t>DLP</w:t>
      </w:r>
      <w:r w:rsidR="411BC864">
        <w:t xml:space="preserve"> </w:t>
      </w:r>
      <w:r>
        <w:t>are subject to a further 12</w:t>
      </w:r>
      <w:r w:rsidR="6B3EDEBE">
        <w:t>-m</w:t>
      </w:r>
      <w:r>
        <w:t xml:space="preserve">onth </w:t>
      </w:r>
      <w:r w:rsidR="1D5EDB4F">
        <w:t>DLP</w:t>
      </w:r>
      <w:r w:rsidR="411BC864">
        <w:t xml:space="preserve"> from the date of rectification,</w:t>
      </w:r>
      <w:r>
        <w:t xml:space="preserve"> with a cap on the overall </w:t>
      </w:r>
      <w:r w:rsidR="1D5EDB4F">
        <w:t>DLP</w:t>
      </w:r>
      <w:r>
        <w:t xml:space="preserve"> of 24</w:t>
      </w:r>
      <w:r w:rsidR="7C7060A8">
        <w:t xml:space="preserve"> or </w:t>
      </w:r>
      <w:r>
        <w:t xml:space="preserve">36 </w:t>
      </w:r>
      <w:r w:rsidR="785C3D28">
        <w:t>M</w:t>
      </w:r>
      <w:r>
        <w:t>onths after the Date of Practical Completion.</w:t>
      </w:r>
    </w:p>
    <w:p w14:paraId="729D7C69" w14:textId="0D0A5796" w:rsidR="00202DEC" w:rsidRDefault="778EFF92" w:rsidP="0095430B">
      <w:pPr>
        <w:pStyle w:val="Heading4numbered"/>
      </w:pPr>
      <w:r>
        <w:t xml:space="preserve">Overview of the </w:t>
      </w:r>
      <w:r w:rsidR="2A940FD2">
        <w:t>Defects regime</w:t>
      </w:r>
      <w:r w:rsidR="092B47D4">
        <w:t xml:space="preserve"> (clause</w:t>
      </w:r>
      <w:r w:rsidR="7865FA55" w:rsidRPr="2C5D2C8B">
        <w:rPr>
          <w:rFonts w:ascii="Calibri" w:hAnsi="Calibri" w:cs="Calibri"/>
        </w:rPr>
        <w:t> </w:t>
      </w:r>
      <w:r w:rsidR="092B47D4">
        <w:t>28 of the ITC Delivery Deed)</w:t>
      </w:r>
    </w:p>
    <w:p w14:paraId="3DE4AC85" w14:textId="2C268330" w:rsidR="003B606F" w:rsidRDefault="003B606F" w:rsidP="00171513">
      <w:pPr>
        <w:pStyle w:val="Heading5"/>
      </w:pPr>
      <w:r>
        <w:t>Defects in the Works</w:t>
      </w:r>
    </w:p>
    <w:p w14:paraId="708A6320" w14:textId="717DE8DF" w:rsidR="003B606F" w:rsidRDefault="31860223" w:rsidP="0005402F">
      <w:pPr>
        <w:pStyle w:val="NormalIndent"/>
      </w:pPr>
      <w:r>
        <w:t xml:space="preserve">The Contractor must promptly rectify all Defects in the Works as soon as they are identified, unless the Defect is a Defect </w:t>
      </w:r>
      <w:r w:rsidR="6873511C">
        <w:t xml:space="preserve">that </w:t>
      </w:r>
      <w:r>
        <w:t>the Principal accepts or rectifies.</w:t>
      </w:r>
    </w:p>
    <w:p w14:paraId="4A874BA8" w14:textId="77794247" w:rsidR="003B606F" w:rsidRDefault="31860223" w:rsidP="0005402F">
      <w:pPr>
        <w:pStyle w:val="NormalIndent"/>
      </w:pPr>
      <w:r>
        <w:t>Before the Principal agrees or determines to accept or rectify an</w:t>
      </w:r>
      <w:r w:rsidR="04613AEF">
        <w:t>y</w:t>
      </w:r>
      <w:r>
        <w:t xml:space="preserve"> Defects in the Works, the Principal may require the Principal Representative to determine the cost necessary to rectify the relevant Defect and the relevant diminution in the value of the Works as a consequence of the Defect. The Principal may also require to the Contractor to provide details of the Defect, including the impact of the Defect on the Operations, the Works or other assets in the vicinity of the Works, whether the Defect can be rectified</w:t>
      </w:r>
      <w:r w:rsidR="0DFCEDCE">
        <w:t>,</w:t>
      </w:r>
      <w:r>
        <w:t xml:space="preserve"> and the work required to rectify the Defect if it is capable of rectification</w:t>
      </w:r>
      <w:r w:rsidR="53ABB68C">
        <w:t>.</w:t>
      </w:r>
    </w:p>
    <w:p w14:paraId="0BD96B4C" w14:textId="1B959FF8" w:rsidR="00E67501" w:rsidRDefault="00E67501" w:rsidP="0005402F">
      <w:pPr>
        <w:pStyle w:val="NormalIndent"/>
      </w:pPr>
      <w:r>
        <w:t>If the Principal accepts or rectifies (or engage</w:t>
      </w:r>
      <w:r w:rsidR="00FE1AF8">
        <w:t>s</w:t>
      </w:r>
      <w:r>
        <w:t xml:space="preserve"> others to rectify) a Defect in the Works, the greater of:</w:t>
      </w:r>
    </w:p>
    <w:p w14:paraId="26AD80E1" w14:textId="02F89615" w:rsidR="002A524B" w:rsidRPr="002A524B" w:rsidRDefault="53ABB68C" w:rsidP="0005402F">
      <w:pPr>
        <w:pStyle w:val="Bulletindent"/>
      </w:pPr>
      <w:r>
        <w:t>the costs necessary to rectify that Defect</w:t>
      </w:r>
      <w:r w:rsidR="1845EA39">
        <w:t>; or</w:t>
      </w:r>
    </w:p>
    <w:p w14:paraId="3AB19529" w14:textId="41FBC8F4" w:rsidR="00ED676D" w:rsidRDefault="53ABB68C" w:rsidP="0005402F">
      <w:pPr>
        <w:pStyle w:val="Bulletindent"/>
      </w:pPr>
      <w:r>
        <w:t>the relevant diminution in value of the Works as a consequence of that Defect</w:t>
      </w:r>
    </w:p>
    <w:p w14:paraId="1807356B" w14:textId="1FAC32D2" w:rsidR="00E67501" w:rsidRDefault="31808C7C" w:rsidP="2C5D2C8B">
      <w:pPr>
        <w:pStyle w:val="NormalIndent"/>
      </w:pPr>
      <w:r>
        <w:t xml:space="preserve">as determined by the Principal Representative, </w:t>
      </w:r>
      <w:r w:rsidR="53ABB68C">
        <w:t>will be a debt due and payable by the Contractor to the Principal</w:t>
      </w:r>
      <w:r w:rsidR="04613AEF">
        <w:t>.</w:t>
      </w:r>
    </w:p>
    <w:p w14:paraId="3A3F5A8B" w14:textId="296C6DC2" w:rsidR="003B606F" w:rsidRDefault="003B606F" w:rsidP="00171513">
      <w:pPr>
        <w:pStyle w:val="Heading5"/>
      </w:pPr>
      <w:r>
        <w:t>Defects in Returned Assets</w:t>
      </w:r>
    </w:p>
    <w:p w14:paraId="647A9CB4" w14:textId="5DCB30EB" w:rsidR="00FF42CE" w:rsidRDefault="04613AEF" w:rsidP="0005402F">
      <w:pPr>
        <w:pStyle w:val="NormalIndent"/>
      </w:pPr>
      <w:r>
        <w:t xml:space="preserve">The Contractor must rectify </w:t>
      </w:r>
      <w:r w:rsidR="7FEE0F5D">
        <w:t xml:space="preserve">Defects in the Returned Assets identified during the Returned Asset DLP in accordance with </w:t>
      </w:r>
      <w:r>
        <w:t xml:space="preserve">the </w:t>
      </w:r>
      <w:r w:rsidR="6C4B2ADC">
        <w:t>P</w:t>
      </w:r>
      <w:r>
        <w:t>rogram reviewed by the Principal in accordance with the Review Procedures.</w:t>
      </w:r>
      <w:r w:rsidR="7FEE0F5D">
        <w:t xml:space="preserve"> </w:t>
      </w:r>
      <w:r>
        <w:t>If the Principal Representative determines that the Contractor has failed to do</w:t>
      </w:r>
      <w:r w:rsidR="291E9E53">
        <w:t xml:space="preserve"> so</w:t>
      </w:r>
      <w:r>
        <w:t>, the Principal may elect to accept or rectify (or engage others to rectify) the relevant Defect.</w:t>
      </w:r>
    </w:p>
    <w:p w14:paraId="2674E3E9" w14:textId="274C82A1" w:rsidR="00247629" w:rsidRDefault="528DBD46" w:rsidP="0005402F">
      <w:pPr>
        <w:pStyle w:val="NormalIndent"/>
      </w:pPr>
      <w:r>
        <w:t>Before the Principal agrees to accept or rectify any Defect in a Returned Asset, the Principal may require the Principal Representative to determine the cost necessary to rectify the relevant Defe</w:t>
      </w:r>
      <w:r w:rsidR="75ACAE50">
        <w:t xml:space="preserve">ct and the </w:t>
      </w:r>
      <w:r w:rsidR="778EFF92">
        <w:t xml:space="preserve">relevant </w:t>
      </w:r>
      <w:r w:rsidR="75ACAE50">
        <w:t>diminution in the value of the Returned Asset and any Works as a consequence of the Defect. The Principal may also require the Contractor to provide details of the Defect, including the impact of the Defect on the Returned Asset or other assets in the vicinity of the Returned Asset, whether the Defect can be rectified</w:t>
      </w:r>
      <w:r w:rsidR="2812A729">
        <w:t>,</w:t>
      </w:r>
      <w:r w:rsidR="75ACAE50">
        <w:t xml:space="preserve"> and the work required to rectify the Defect if it is capable of rectification</w:t>
      </w:r>
      <w:r w:rsidR="778EFF92">
        <w:t>.</w:t>
      </w:r>
    </w:p>
    <w:p w14:paraId="3669F505" w14:textId="43663FF3" w:rsidR="007B40DD" w:rsidRDefault="007B40DD" w:rsidP="00400321">
      <w:pPr>
        <w:pStyle w:val="NormalIndent"/>
        <w:keepNext/>
      </w:pPr>
      <w:r>
        <w:t>If the Principal accepts or rectifies (or engage</w:t>
      </w:r>
      <w:r w:rsidR="007A07E3">
        <w:t>s</w:t>
      </w:r>
      <w:r>
        <w:t xml:space="preserve"> others to rectify) a Defect in the Returned Works, the greater of:</w:t>
      </w:r>
    </w:p>
    <w:p w14:paraId="4E6A35EC" w14:textId="1CF2474E" w:rsidR="002A524B" w:rsidRPr="002A524B" w:rsidRDefault="778EFF92" w:rsidP="00400321">
      <w:pPr>
        <w:pStyle w:val="Bulletindent"/>
        <w:keepNext/>
      </w:pPr>
      <w:r>
        <w:t>the costs necessary to rectify that Defect</w:t>
      </w:r>
      <w:r w:rsidR="2812A729">
        <w:t>; or</w:t>
      </w:r>
    </w:p>
    <w:p w14:paraId="32D62595" w14:textId="0BED1C5E" w:rsidR="007B40DD" w:rsidRDefault="007B40DD" w:rsidP="00400321">
      <w:pPr>
        <w:pStyle w:val="Bulletindent"/>
        <w:keepNext/>
      </w:pPr>
      <w:r>
        <w:t>the relevant diminution in value of the Works or relevant Returned Assets as a consequence of that Defect</w:t>
      </w:r>
    </w:p>
    <w:p w14:paraId="73E0843A" w14:textId="2FF455A8" w:rsidR="007B40DD" w:rsidRDefault="778EFF92" w:rsidP="0005402F">
      <w:pPr>
        <w:pStyle w:val="NormalIndent"/>
      </w:pPr>
      <w:r>
        <w:t>as determined by the Principal Representative</w:t>
      </w:r>
      <w:r w:rsidR="7371D94D">
        <w:t>,</w:t>
      </w:r>
      <w:r>
        <w:t xml:space="preserve"> will be a debt due and payable by the Contractor to the Principal.</w:t>
      </w:r>
    </w:p>
    <w:p w14:paraId="597ACD3F" w14:textId="2FBF5AB6" w:rsidR="003B606F" w:rsidRDefault="003B606F" w:rsidP="00171513">
      <w:pPr>
        <w:pStyle w:val="Heading5"/>
      </w:pPr>
      <w:r>
        <w:t>Reimbursable Costs</w:t>
      </w:r>
    </w:p>
    <w:p w14:paraId="20E0748A" w14:textId="4DC3B48B" w:rsidR="00E67501" w:rsidRDefault="53ABB68C" w:rsidP="0005402F">
      <w:pPr>
        <w:pStyle w:val="NormalIndent"/>
      </w:pPr>
      <w:r>
        <w:t xml:space="preserve">The </w:t>
      </w:r>
      <w:r w:rsidR="04613AEF">
        <w:t>Contractor</w:t>
      </w:r>
      <w:r w:rsidR="629BCFA6">
        <w:t>’</w:t>
      </w:r>
      <w:r w:rsidR="04613AEF">
        <w:t xml:space="preserve">s </w:t>
      </w:r>
      <w:r>
        <w:t>cost of rectifying Defects prior to the Date of Practical Completion</w:t>
      </w:r>
      <w:r w:rsidR="1F7E79CD">
        <w:t>,</w:t>
      </w:r>
      <w:r>
        <w:t xml:space="preserve"> where the Principal has not given the Contractor notice of the Defect</w:t>
      </w:r>
      <w:r w:rsidR="1F7E79CD">
        <w:t>,</w:t>
      </w:r>
      <w:r>
        <w:t xml:space="preserve"> will be a Reimbursable Cost. However, the </w:t>
      </w:r>
      <w:r w:rsidR="04613AEF">
        <w:t>Contractor</w:t>
      </w:r>
      <w:r w:rsidR="629BCFA6">
        <w:t>’</w:t>
      </w:r>
      <w:r w:rsidR="04613AEF">
        <w:t xml:space="preserve">s </w:t>
      </w:r>
      <w:r>
        <w:t>cost of rectifying Defects:</w:t>
      </w:r>
    </w:p>
    <w:p w14:paraId="32094079" w14:textId="5D9BEBB0" w:rsidR="002A524B" w:rsidRPr="002A524B" w:rsidRDefault="53ABB68C" w:rsidP="0005402F">
      <w:pPr>
        <w:pStyle w:val="Bulletindent"/>
      </w:pPr>
      <w:r>
        <w:t>prior to the Date of Practical Completion</w:t>
      </w:r>
      <w:r w:rsidR="1F7E79CD">
        <w:t>,</w:t>
      </w:r>
      <w:r>
        <w:t xml:space="preserve"> where the Principal has given the Contractor notice of the Defect</w:t>
      </w:r>
      <w:r w:rsidR="1F7E79CD">
        <w:t>; or</w:t>
      </w:r>
    </w:p>
    <w:p w14:paraId="40FE9043" w14:textId="06FB2834" w:rsidR="00E67501" w:rsidRDefault="00E67501" w:rsidP="0005402F">
      <w:pPr>
        <w:pStyle w:val="Bulletindent"/>
      </w:pPr>
      <w:r>
        <w:t>following the Date of Practical Completion</w:t>
      </w:r>
    </w:p>
    <w:p w14:paraId="771C4EE4" w14:textId="01A8B8D2" w:rsidR="00E67501" w:rsidRDefault="00E67501" w:rsidP="009F5C2E">
      <w:pPr>
        <w:pStyle w:val="NormalIndent"/>
      </w:pPr>
      <w:r>
        <w:t>will not be Reimbursable Costs.</w:t>
      </w:r>
    </w:p>
    <w:p w14:paraId="02FCAD92" w14:textId="78E3FBDB" w:rsidR="00456473" w:rsidRDefault="00456473" w:rsidP="00171513">
      <w:pPr>
        <w:pStyle w:val="Heading5"/>
      </w:pPr>
      <w:r>
        <w:t>Performance security</w:t>
      </w:r>
    </w:p>
    <w:p w14:paraId="1ED4D2E0" w14:textId="6A6E1267" w:rsidR="005457A1" w:rsidRDefault="75ACAE50" w:rsidP="0005402F">
      <w:pPr>
        <w:pStyle w:val="NormalIndent"/>
      </w:pPr>
      <w:r>
        <w:t xml:space="preserve">The Contractor is required to provide </w:t>
      </w:r>
      <w:r w:rsidR="7F45DB6A">
        <w:t>the</w:t>
      </w:r>
      <w:r w:rsidR="778EFF92">
        <w:t xml:space="preserve"> DLP Bond (one or more Performance Bonds with an aggregate face value of 2.5</w:t>
      </w:r>
      <w:r w:rsidR="7865FA55" w:rsidRPr="2C5D2C8B">
        <w:rPr>
          <w:rFonts w:ascii="Calibri" w:hAnsi="Calibri" w:cs="Calibri"/>
        </w:rPr>
        <w:t> </w:t>
      </w:r>
      <w:r w:rsidR="2BEA0074">
        <w:t>per</w:t>
      </w:r>
      <w:r w:rsidR="7865FA55" w:rsidRPr="2C5D2C8B">
        <w:rPr>
          <w:rFonts w:ascii="Calibri" w:hAnsi="Calibri" w:cs="Calibri"/>
        </w:rPr>
        <w:t> </w:t>
      </w:r>
      <w:r w:rsidR="2BEA0074">
        <w:t>cent</w:t>
      </w:r>
      <w:r w:rsidR="778EFF92">
        <w:t xml:space="preserve"> of the TOC)</w:t>
      </w:r>
      <w:r w:rsidR="7F45DB6A">
        <w:t xml:space="preserve"> to the Principal on or before the Condition Precedent Deadline. The Principal must release the DLP Bond within 10 Business Days after the date </w:t>
      </w:r>
      <w:r w:rsidR="38D2E393">
        <w:t xml:space="preserve">that </w:t>
      </w:r>
      <w:r w:rsidR="7F45DB6A">
        <w:t xml:space="preserve">is 24 </w:t>
      </w:r>
      <w:r w:rsidR="785C3D28">
        <w:t>M</w:t>
      </w:r>
      <w:r w:rsidR="7F45DB6A">
        <w:t>onths after the Date of Practical Completion unless, at that date, the Contractor has not corrected Defects previously notified by the Principal</w:t>
      </w:r>
      <w:r w:rsidR="27864DF0">
        <w:t>.</w:t>
      </w:r>
      <w:r w:rsidR="629C06FC">
        <w:t xml:space="preserve"> </w:t>
      </w:r>
      <w:r w:rsidR="27864DF0">
        <w:t>In that</w:t>
      </w:r>
      <w:r w:rsidR="629C06FC">
        <w:t xml:space="preserve"> case</w:t>
      </w:r>
      <w:r w:rsidR="27864DF0">
        <w:t>,</w:t>
      </w:r>
      <w:r w:rsidR="629C06FC">
        <w:t xml:space="preserve"> </w:t>
      </w:r>
      <w:r w:rsidR="7F45DB6A">
        <w:t>the Principal</w:t>
      </w:r>
      <w:r w:rsidR="629BCFA6">
        <w:t>’</w:t>
      </w:r>
      <w:r w:rsidR="7F45DB6A">
        <w:t xml:space="preserve">s entitlement to the DLP Bond </w:t>
      </w:r>
      <w:r w:rsidR="27864DF0">
        <w:t>is</w:t>
      </w:r>
      <w:r w:rsidR="7F45DB6A">
        <w:t xml:space="preserve"> reduced to the Outstanding Defect Cost Amount (the higher of a monetary threshold </w:t>
      </w:r>
      <w:r w:rsidR="27864DF0">
        <w:t xml:space="preserve">or </w:t>
      </w:r>
      <w:r w:rsidR="7F45DB6A">
        <w:t>a specified percentage of the reasonable cost of completing the rectification of the relevant Defects)</w:t>
      </w:r>
      <w:r w:rsidR="629C06FC">
        <w:t xml:space="preserve">. </w:t>
      </w:r>
      <w:r w:rsidR="7F45DB6A">
        <w:t>The Principal</w:t>
      </w:r>
      <w:r w:rsidR="629BCFA6">
        <w:t>’</w:t>
      </w:r>
      <w:r w:rsidR="7F45DB6A">
        <w:t>s entitlement to the Security for the Outstanding Defect Cost Amount cease</w:t>
      </w:r>
      <w:r w:rsidR="27864DF0">
        <w:t>s</w:t>
      </w:r>
      <w:r w:rsidR="7F45DB6A">
        <w:t xml:space="preserve"> 20 Business Days after the Date of Close-out</w:t>
      </w:r>
      <w:r w:rsidR="27864DF0">
        <w:t>,</w:t>
      </w:r>
      <w:r w:rsidR="7F45DB6A">
        <w:t xml:space="preserve"> after which the Principal must release </w:t>
      </w:r>
      <w:r w:rsidR="27864DF0">
        <w:t xml:space="preserve">the </w:t>
      </w:r>
      <w:r w:rsidR="7F45DB6A">
        <w:t>Security to the Contractor.</w:t>
      </w:r>
    </w:p>
    <w:p w14:paraId="638BADF8" w14:textId="5C534956" w:rsidR="008044C1" w:rsidRDefault="008044C1" w:rsidP="0095430B">
      <w:pPr>
        <w:pStyle w:val="Heading3numbered"/>
      </w:pPr>
      <w:bookmarkStart w:id="2103" w:name="_Ref487463108"/>
      <w:r>
        <w:t>Project</w:t>
      </w:r>
      <w:r w:rsidR="007C277D">
        <w:t>-specific</w:t>
      </w:r>
      <w:r>
        <w:t xml:space="preserve"> amendments</w:t>
      </w:r>
      <w:bookmarkEnd w:id="2103"/>
    </w:p>
    <w:p w14:paraId="257F3E6F" w14:textId="116EE96F" w:rsidR="008044C1" w:rsidRDefault="4EF927CB" w:rsidP="0005402F">
      <w:pPr>
        <w:pStyle w:val="NormalIndent"/>
      </w:pPr>
      <w:r>
        <w:t>T</w:t>
      </w:r>
      <w:r w:rsidR="1054429A">
        <w:t xml:space="preserve">he ITC Delivery Deed provides that the Returned Asset DLP </w:t>
      </w:r>
      <w:r w:rsidR="2F99D1C1">
        <w:t>is</w:t>
      </w:r>
      <w:r w:rsidR="1054429A">
        <w:t xml:space="preserve"> 24 Months from the Date of Practical Completion. This may not be appropriate for Returned Assets handed back well before Practical Completion or for Returned Assets handed back after Practical Completion.</w:t>
      </w:r>
    </w:p>
    <w:p w14:paraId="6271C16C" w14:textId="32579900" w:rsidR="00133040" w:rsidRDefault="1054429A" w:rsidP="0005402F">
      <w:pPr>
        <w:pStyle w:val="NormalIndent"/>
      </w:pPr>
      <w:r>
        <w:t xml:space="preserve">The ITC Delivery Deed may also include a more detailed regime for managing and accepting non-conformances. These are typically design non-conformances </w:t>
      </w:r>
      <w:r w:rsidR="196360C3">
        <w:t>that</w:t>
      </w:r>
      <w:r>
        <w:t xml:space="preserve">, if progressed, will result in Defects </w:t>
      </w:r>
      <w:r w:rsidR="196360C3">
        <w:t xml:space="preserve">that </w:t>
      </w:r>
      <w:r>
        <w:t>are not practicable for the Contractor to rectify. Any such regime should work consistently with the terms of the ITC Delivery Deed in respect of Defects.</w:t>
      </w:r>
    </w:p>
    <w:p w14:paraId="1667C6AC" w14:textId="6D9A647C" w:rsidR="002B5BB6" w:rsidRDefault="7383905E" w:rsidP="0095430B">
      <w:pPr>
        <w:pStyle w:val="Heading2numbered"/>
      </w:pPr>
      <w:bookmarkStart w:id="2104" w:name="_Toc66867391"/>
      <w:bookmarkStart w:id="2105" w:name="_Toc66868317"/>
      <w:bookmarkStart w:id="2106" w:name="_Toc66867392"/>
      <w:bookmarkStart w:id="2107" w:name="_Toc66868318"/>
      <w:bookmarkStart w:id="2108" w:name="_Toc66867393"/>
      <w:bookmarkStart w:id="2109" w:name="_Toc66868319"/>
      <w:bookmarkStart w:id="2110" w:name="_Toc66867394"/>
      <w:bookmarkStart w:id="2111" w:name="_Toc66868320"/>
      <w:bookmarkStart w:id="2112" w:name="_Toc66867395"/>
      <w:bookmarkStart w:id="2113" w:name="_Toc66868321"/>
      <w:bookmarkStart w:id="2114" w:name="_Toc66867396"/>
      <w:bookmarkStart w:id="2115" w:name="_Toc66868322"/>
      <w:bookmarkStart w:id="2116" w:name="_Toc66867397"/>
      <w:bookmarkStart w:id="2117" w:name="_Toc66868323"/>
      <w:bookmarkStart w:id="2118" w:name="_Toc66867398"/>
      <w:bookmarkStart w:id="2119" w:name="_Toc66868324"/>
      <w:bookmarkStart w:id="2120" w:name="_Toc66867399"/>
      <w:bookmarkStart w:id="2121" w:name="_Toc66868325"/>
      <w:bookmarkStart w:id="2122" w:name="_Toc66867400"/>
      <w:bookmarkStart w:id="2123" w:name="_Toc66868326"/>
      <w:bookmarkStart w:id="2124" w:name="_Toc66867401"/>
      <w:bookmarkStart w:id="2125" w:name="_Toc66868327"/>
      <w:bookmarkStart w:id="2126" w:name="_Toc66867402"/>
      <w:bookmarkStart w:id="2127" w:name="_Toc66868328"/>
      <w:bookmarkStart w:id="2128" w:name="_Toc133577901"/>
      <w:bookmarkStart w:id="2129" w:name="_Ref477365655"/>
      <w:bookmarkStart w:id="2130" w:name="_Toc507712192"/>
      <w:bookmarkStart w:id="2131" w:name="_Toc145612596"/>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r>
        <w:t>Subcontracting and third party arrangements</w:t>
      </w:r>
      <w:bookmarkEnd w:id="2128"/>
      <w:r w:rsidR="4EF927CB">
        <w:t xml:space="preserve"> </w:t>
      </w:r>
      <w:bookmarkEnd w:id="2129"/>
      <w:bookmarkEnd w:id="2130"/>
      <w:r w:rsidR="4EF927CB">
        <w:t>(clause</w:t>
      </w:r>
      <w:r w:rsidR="7865FA55" w:rsidRPr="2C5D2C8B">
        <w:rPr>
          <w:rFonts w:ascii="Calibri" w:hAnsi="Calibri" w:cs="Calibri"/>
        </w:rPr>
        <w:t> </w:t>
      </w:r>
      <w:r w:rsidR="4EF927CB">
        <w:t>8 of the ITC Delivery Deed)</w:t>
      </w:r>
      <w:bookmarkEnd w:id="2131"/>
    </w:p>
    <w:p w14:paraId="263D7154" w14:textId="7F6E4ADA" w:rsidR="002B5BB6" w:rsidRDefault="002B5BB6" w:rsidP="0095430B">
      <w:pPr>
        <w:pStyle w:val="Heading3numbered"/>
      </w:pPr>
      <w:r>
        <w:t>General principle</w:t>
      </w:r>
    </w:p>
    <w:p w14:paraId="1E3169E0" w14:textId="16A2557D" w:rsidR="002B5BB6" w:rsidRDefault="7383905E" w:rsidP="0005402F">
      <w:pPr>
        <w:pStyle w:val="NormalIndent"/>
      </w:pPr>
      <w:r>
        <w:t>The Principal</w:t>
      </w:r>
      <w:r w:rsidR="629BCFA6">
        <w:t>’</w:t>
      </w:r>
      <w:r>
        <w:t xml:space="preserve">s intention is to ensure that it has full visibility of contractual arrangements and access to documentation in connection with the Project, and appropriate rights in respect of those arrangements. There are two key principles that underlie the </w:t>
      </w:r>
      <w:r w:rsidR="024F9B4B">
        <w:t>S</w:t>
      </w:r>
      <w:r>
        <w:t>ubcontracting provisions in the ITC Delivery Deed:</w:t>
      </w:r>
    </w:p>
    <w:p w14:paraId="5B849D02" w14:textId="637572DD" w:rsidR="002A524B" w:rsidRPr="002A524B" w:rsidRDefault="7383905E" w:rsidP="0005402F">
      <w:pPr>
        <w:pStyle w:val="Bulletindent"/>
      </w:pPr>
      <w:r>
        <w:t>the Contractor is ultimately responsible for the delivery of the Project, regardless of the acts or omissions of its Subcontractors</w:t>
      </w:r>
      <w:r w:rsidR="6376A346">
        <w:t>; and</w:t>
      </w:r>
    </w:p>
    <w:p w14:paraId="154593AA" w14:textId="58353634" w:rsidR="002B5BB6" w:rsidRPr="009F52B0" w:rsidRDefault="7383905E" w:rsidP="0005402F">
      <w:pPr>
        <w:pStyle w:val="Bulletindent"/>
      </w:pPr>
      <w:r>
        <w:t>notwithstanding the above, there are certain minimal levels of control that the Principal requires over subcontracting arrangements</w:t>
      </w:r>
      <w:r w:rsidR="465D898C">
        <w:t>,</w:t>
      </w:r>
      <w:r>
        <w:t xml:space="preserve"> given the criticality of some Subcontracts to the successful delivery of the Project</w:t>
      </w:r>
      <w:r w:rsidR="21061577">
        <w:t xml:space="preserve"> </w:t>
      </w:r>
      <w:r w:rsidR="5B55AA35">
        <w:t xml:space="preserve">(these </w:t>
      </w:r>
      <w:r>
        <w:t>are to ensure that the Principal</w:t>
      </w:r>
      <w:r w:rsidR="629BCFA6">
        <w:t>’</w:t>
      </w:r>
      <w:r>
        <w:t>s rights are acknowledged by Subcontractors, the Principal has rights to secure continuity of the Project in circumstances of the Contractor becoming insolvent, and statutory protections for the Subcontractor market are upheld</w:t>
      </w:r>
      <w:r w:rsidR="5B55AA35">
        <w:t>)</w:t>
      </w:r>
      <w:r>
        <w:t>.</w:t>
      </w:r>
    </w:p>
    <w:p w14:paraId="293E9210" w14:textId="24650F8E" w:rsidR="002B5BB6" w:rsidRDefault="7383905E" w:rsidP="0095430B">
      <w:pPr>
        <w:pStyle w:val="Heading3numbered"/>
      </w:pPr>
      <w:r>
        <w:t>General Subcontracting requirements</w:t>
      </w:r>
      <w:r w:rsidR="4EF927CB">
        <w:t xml:space="preserve"> (clause</w:t>
      </w:r>
      <w:r w:rsidR="7865FA55" w:rsidRPr="2C5D2C8B">
        <w:rPr>
          <w:rFonts w:ascii="Calibri" w:hAnsi="Calibri" w:cs="Calibri"/>
        </w:rPr>
        <w:t> </w:t>
      </w:r>
      <w:r w:rsidR="4EF927CB">
        <w:t>8 of the ITC Delivery Deed)</w:t>
      </w:r>
    </w:p>
    <w:p w14:paraId="60763738" w14:textId="63CD8CE6" w:rsidR="002B5BB6" w:rsidRPr="00584BD1" w:rsidRDefault="7383905E" w:rsidP="0005402F">
      <w:pPr>
        <w:pStyle w:val="NormalIndent"/>
      </w:pPr>
      <w:r>
        <w:t xml:space="preserve">Subcontracting requirements are </w:t>
      </w:r>
      <w:r w:rsidR="3CCDC8E3">
        <w:t xml:space="preserve">specifically </w:t>
      </w:r>
      <w:r>
        <w:t>contained in clause</w:t>
      </w:r>
      <w:r w:rsidR="7865FA55" w:rsidRPr="2C5D2C8B">
        <w:rPr>
          <w:rFonts w:ascii="Calibri" w:hAnsi="Calibri" w:cs="Calibri"/>
        </w:rPr>
        <w:t> </w:t>
      </w:r>
      <w:r w:rsidR="2F6A7F50">
        <w:t>8</w:t>
      </w:r>
      <w:r w:rsidR="4EF927CB">
        <w:t xml:space="preserve"> </w:t>
      </w:r>
      <w:r>
        <w:t xml:space="preserve">and </w:t>
      </w:r>
      <w:r w:rsidR="0C3D8688">
        <w:t xml:space="preserve">generally </w:t>
      </w:r>
      <w:r>
        <w:t>throughout the ITC Delivery Deed. In summary, the provisions primarily focus on the following matters:</w:t>
      </w:r>
    </w:p>
    <w:p w14:paraId="32313D28" w14:textId="528780CA" w:rsidR="002B5BB6" w:rsidRPr="00584BD1" w:rsidRDefault="7383905E" w:rsidP="0005402F">
      <w:pPr>
        <w:pStyle w:val="Bulletindent"/>
      </w:pPr>
      <w:r>
        <w:t>the Contractor</w:t>
      </w:r>
      <w:r w:rsidR="629BCFA6">
        <w:t>’</w:t>
      </w:r>
      <w:r w:rsidR="0C3D8688">
        <w:t>s</w:t>
      </w:r>
      <w:r>
        <w:t xml:space="preserve"> responsibility for Subcontractors</w:t>
      </w:r>
      <w:r w:rsidR="3B73797F">
        <w:t>;</w:t>
      </w:r>
    </w:p>
    <w:p w14:paraId="2603EAE5" w14:textId="373BA430" w:rsidR="002B5BB6" w:rsidRDefault="7383905E" w:rsidP="0005402F">
      <w:pPr>
        <w:pStyle w:val="Bulletindent"/>
      </w:pPr>
      <w:r>
        <w:t>approval of Subcontractors</w:t>
      </w:r>
      <w:r w:rsidR="3B73797F">
        <w:t>;</w:t>
      </w:r>
    </w:p>
    <w:p w14:paraId="7F5711FA" w14:textId="4E13BF31" w:rsidR="002B5BB6" w:rsidRPr="00584BD1" w:rsidRDefault="7383905E" w:rsidP="0005402F">
      <w:pPr>
        <w:pStyle w:val="Bulletindent"/>
      </w:pPr>
      <w:r>
        <w:t>award of Subcontracts</w:t>
      </w:r>
      <w:r w:rsidR="3B73797F">
        <w:t>;</w:t>
      </w:r>
    </w:p>
    <w:p w14:paraId="36F48B2C" w14:textId="4EE270E7" w:rsidR="00FD318B" w:rsidRPr="00584BD1" w:rsidRDefault="1FBB9149" w:rsidP="0005402F">
      <w:pPr>
        <w:pStyle w:val="Bulletindent"/>
      </w:pPr>
      <w:r>
        <w:t>prescribed terms the Contractor must ensure each Subcontract contains</w:t>
      </w:r>
      <w:r w:rsidR="3B73797F">
        <w:t>;</w:t>
      </w:r>
    </w:p>
    <w:p w14:paraId="4A59AC44" w14:textId="295F4D0C" w:rsidR="002B5BB6" w:rsidRPr="00584BD1" w:rsidRDefault="7383905E" w:rsidP="0005402F">
      <w:pPr>
        <w:pStyle w:val="Bulletindent"/>
      </w:pPr>
      <w:r>
        <w:t xml:space="preserve">access to and approval of </w:t>
      </w:r>
      <w:r w:rsidR="024F9B4B">
        <w:t>S</w:t>
      </w:r>
      <w:r>
        <w:t>ubcontracting contractual documentation and access to project documentation, sites and assets</w:t>
      </w:r>
      <w:r w:rsidR="4967E2DB">
        <w:t>;</w:t>
      </w:r>
    </w:p>
    <w:p w14:paraId="6D327DB3" w14:textId="02026AC7" w:rsidR="002B5BB6" w:rsidRDefault="7383905E" w:rsidP="0005402F">
      <w:pPr>
        <w:pStyle w:val="Bulletindent"/>
      </w:pPr>
      <w:r>
        <w:t xml:space="preserve">consistency between </w:t>
      </w:r>
      <w:r w:rsidR="024F9B4B">
        <w:t>S</w:t>
      </w:r>
      <w:r>
        <w:t>ubcontracting arrangements and ITC Delivery Deed requirements and Standards</w:t>
      </w:r>
      <w:r w:rsidR="4967E2DB">
        <w:t>;</w:t>
      </w:r>
    </w:p>
    <w:p w14:paraId="450D236E" w14:textId="72CA74EE" w:rsidR="002B5BB6" w:rsidRPr="00584BD1" w:rsidRDefault="1FBB9149" w:rsidP="0005402F">
      <w:pPr>
        <w:pStyle w:val="Bulletindent"/>
      </w:pPr>
      <w:r>
        <w:t>specific requirements for</w:t>
      </w:r>
      <w:r w:rsidR="7383905E">
        <w:t xml:space="preserve"> Significant Subcontract</w:t>
      </w:r>
      <w:r w:rsidR="2E47284A">
        <w:t>s</w:t>
      </w:r>
      <w:r w:rsidR="1E3BA39E">
        <w:t>;</w:t>
      </w:r>
    </w:p>
    <w:p w14:paraId="2414FFEA" w14:textId="3D9E589C" w:rsidR="002B5BB6" w:rsidRPr="00584BD1" w:rsidRDefault="7383905E" w:rsidP="0005402F">
      <w:pPr>
        <w:pStyle w:val="Bulletindent"/>
      </w:pPr>
      <w:r>
        <w:t xml:space="preserve">changes to or significant impacts on </w:t>
      </w:r>
      <w:r w:rsidR="024F9B4B">
        <w:t>S</w:t>
      </w:r>
      <w:r>
        <w:t>ubcontracting arrangements</w:t>
      </w:r>
      <w:r w:rsidR="1E3BA39E">
        <w:t>;</w:t>
      </w:r>
    </w:p>
    <w:p w14:paraId="54AA7C63" w14:textId="4DC714E5" w:rsidR="002B5BB6" w:rsidRPr="00584BD1" w:rsidRDefault="7383905E" w:rsidP="0005402F">
      <w:pPr>
        <w:pStyle w:val="Bulletindent"/>
      </w:pPr>
      <w:r>
        <w:t>direct contracting requirements between the Principal and Subcontractors</w:t>
      </w:r>
      <w:r w:rsidR="1E3BA39E">
        <w:t>;</w:t>
      </w:r>
    </w:p>
    <w:p w14:paraId="2B72CDA3" w14:textId="621DC675" w:rsidR="002B5BB6" w:rsidRPr="00584BD1" w:rsidRDefault="7383905E" w:rsidP="0005402F">
      <w:pPr>
        <w:pStyle w:val="Bulletindent"/>
      </w:pPr>
      <w:r>
        <w:t>S</w:t>
      </w:r>
      <w:r w:rsidRPr="00584BD1">
        <w:t>ubcontractor termination entitlements</w:t>
      </w:r>
      <w:r w:rsidR="002400EA">
        <w:t>;</w:t>
      </w:r>
    </w:p>
    <w:p w14:paraId="6E47C0BA" w14:textId="0C8BB1ED" w:rsidR="002B5BB6" w:rsidRPr="00584BD1" w:rsidRDefault="7383905E" w:rsidP="009F5C2E">
      <w:pPr>
        <w:pStyle w:val="Bulletindent"/>
        <w:keepNext/>
      </w:pPr>
      <w:r>
        <w:t xml:space="preserve">payments of amounts owed to Subcontractors, including addressing matters dealt with under the </w:t>
      </w:r>
      <w:r w:rsidR="49718498" w:rsidRPr="2C5D2C8B">
        <w:rPr>
          <w:i/>
          <w:iCs/>
        </w:rPr>
        <w:t>Building and Construction Industry</w:t>
      </w:r>
      <w:r w:rsidR="49718498">
        <w:t xml:space="preserve"> </w:t>
      </w:r>
      <w:r w:rsidRPr="2C5D2C8B">
        <w:rPr>
          <w:i/>
          <w:iCs/>
        </w:rPr>
        <w:t>Security of Payment Act</w:t>
      </w:r>
      <w:r w:rsidR="009F5C2E">
        <w:rPr>
          <w:rFonts w:ascii="Calibri" w:hAnsi="Calibri"/>
          <w:i/>
          <w:iCs/>
        </w:rPr>
        <w:t> </w:t>
      </w:r>
      <w:r w:rsidR="3CF019A4" w:rsidRPr="2C5D2C8B">
        <w:rPr>
          <w:i/>
          <w:iCs/>
        </w:rPr>
        <w:t>2002</w:t>
      </w:r>
      <w:r w:rsidR="3CF019A4">
        <w:t xml:space="preserve"> (Vic)</w:t>
      </w:r>
      <w:r w:rsidR="725A42F3">
        <w:t>;</w:t>
      </w:r>
    </w:p>
    <w:p w14:paraId="51B98998" w14:textId="30EED827" w:rsidR="002B5BB6" w:rsidRPr="00584BD1" w:rsidRDefault="7383905E" w:rsidP="009F5C2E">
      <w:pPr>
        <w:pStyle w:val="Bulletindent"/>
        <w:keepNext/>
      </w:pPr>
      <w:r>
        <w:t>Subcontractor claims and issues</w:t>
      </w:r>
      <w:r w:rsidR="3C823442">
        <w:t>;</w:t>
      </w:r>
    </w:p>
    <w:p w14:paraId="116235C5" w14:textId="3684BA6A" w:rsidR="002A524B" w:rsidRPr="002A524B" w:rsidRDefault="7383905E" w:rsidP="0005402F">
      <w:pPr>
        <w:pStyle w:val="Bulletindent"/>
      </w:pPr>
      <w:r>
        <w:t>probity requirements</w:t>
      </w:r>
      <w:r w:rsidR="3C823442">
        <w:t>;</w:t>
      </w:r>
      <w:r w:rsidR="598E9583">
        <w:t xml:space="preserve"> and</w:t>
      </w:r>
    </w:p>
    <w:p w14:paraId="1CDA9D92" w14:textId="477FEADF" w:rsidR="002B5BB6" w:rsidRPr="00584BD1" w:rsidRDefault="002B5BB6" w:rsidP="0005402F">
      <w:pPr>
        <w:pStyle w:val="Bulletindent"/>
      </w:pPr>
      <w:r w:rsidRPr="00584BD1">
        <w:t xml:space="preserve">the application of government policy and </w:t>
      </w:r>
      <w:r>
        <w:t>L</w:t>
      </w:r>
      <w:r w:rsidRPr="00584BD1">
        <w:t xml:space="preserve">aw to </w:t>
      </w:r>
      <w:r>
        <w:t>S</w:t>
      </w:r>
      <w:r w:rsidRPr="00584BD1">
        <w:t xml:space="preserve">ubcontracts and </w:t>
      </w:r>
      <w:r>
        <w:t>S</w:t>
      </w:r>
      <w:r w:rsidRPr="00584BD1">
        <w:t>ubcontractors, includ</w:t>
      </w:r>
      <w:r>
        <w:t>ing</w:t>
      </w:r>
      <w:r w:rsidRPr="00584BD1">
        <w:t xml:space="preserve"> work, health and safety matters</w:t>
      </w:r>
      <w:r>
        <w:t>.</w:t>
      </w:r>
    </w:p>
    <w:p w14:paraId="3860EE22" w14:textId="482F8561" w:rsidR="002B5BB6" w:rsidRPr="00F26D86" w:rsidRDefault="002B5BB6" w:rsidP="008322B3">
      <w:pPr>
        <w:pStyle w:val="Heading3numbered"/>
      </w:pPr>
      <w:bookmarkStart w:id="2132" w:name="_Ref477524497"/>
      <w:bookmarkStart w:id="2133" w:name="_Ref486207042"/>
      <w:r>
        <w:t>Tendering and award of Subcontracts</w:t>
      </w:r>
      <w:r w:rsidR="005F0F46">
        <w:t xml:space="preserve"> </w:t>
      </w:r>
      <w:r w:rsidR="005F0F46" w:rsidRPr="005F0F46">
        <w:t>(clauses</w:t>
      </w:r>
      <w:r w:rsidR="00754976" w:rsidRPr="00754976">
        <w:rPr>
          <w:rFonts w:ascii="Calibri" w:hAnsi="Calibri" w:cs="Calibri"/>
        </w:rPr>
        <w:t> </w:t>
      </w:r>
      <w:r w:rsidR="005F0F46" w:rsidRPr="005F0F46">
        <w:t>8.2 and 8.3 of the ITC Delivery Deed)</w:t>
      </w:r>
    </w:p>
    <w:p w14:paraId="22E736BE" w14:textId="4094C3FD" w:rsidR="00862939" w:rsidRDefault="7383905E" w:rsidP="0005402F">
      <w:pPr>
        <w:pStyle w:val="NormalIndent"/>
      </w:pPr>
      <w:r>
        <w:t xml:space="preserve">The ITC Delivery Deed contains a detailed process for the tendering and award of Subcontracts. Except in the case of Minor Subcontracts all </w:t>
      </w:r>
      <w:r w:rsidR="222DB702">
        <w:t>S</w:t>
      </w:r>
      <w:r>
        <w:t xml:space="preserve">ubcontracting must be in accordance with the Subcontract Packaging and Procurement Plan. This is to ensure that all </w:t>
      </w:r>
      <w:r w:rsidR="191C4F11">
        <w:t>S</w:t>
      </w:r>
      <w:r>
        <w:t xml:space="preserve">ubcontracting is consistent with the approved procurement strategy and Cost Plan. </w:t>
      </w:r>
      <w:r w:rsidR="2F6A7F50">
        <w:t>The Contractor is required to provide the Principal Representative with cop</w:t>
      </w:r>
      <w:r w:rsidR="73EE03D4">
        <w:t>i</w:t>
      </w:r>
      <w:r w:rsidR="2F6A7F50">
        <w:t>es of all Subcontract tender and contract documentation, including documentation received from tenderers</w:t>
      </w:r>
      <w:r w:rsidR="19D10C09">
        <w:t>,</w:t>
      </w:r>
      <w:r w:rsidR="2F6A7F50">
        <w:t xml:space="preserve"> within a prescribed time before the date on which the Contractor proposes to enter into the relevant Subcontract</w:t>
      </w:r>
      <w:r w:rsidR="19D10C09">
        <w:t>,</w:t>
      </w:r>
      <w:r w:rsidR="2F6A7F50">
        <w:t xml:space="preserve"> and</w:t>
      </w:r>
      <w:r w:rsidR="19D10C09">
        <w:t>,</w:t>
      </w:r>
      <w:r w:rsidR="2F6A7F50">
        <w:t xml:space="preserve"> otherwise</w:t>
      </w:r>
      <w:r w:rsidR="19D10C09">
        <w:t>,</w:t>
      </w:r>
      <w:r w:rsidR="2F6A7F50">
        <w:t xml:space="preserve"> on request of the Principal Representative</w:t>
      </w:r>
      <w:r w:rsidR="1CFB0EB8">
        <w:t xml:space="preserve"> (clause</w:t>
      </w:r>
      <w:r w:rsidR="7865FA55" w:rsidRPr="2C5D2C8B">
        <w:rPr>
          <w:rFonts w:ascii="Calibri" w:hAnsi="Calibri" w:cs="Calibri"/>
        </w:rPr>
        <w:t> </w:t>
      </w:r>
      <w:r w:rsidR="1CFB0EB8">
        <w:t>8.2(d)</w:t>
      </w:r>
      <w:r w:rsidR="4EF927CB">
        <w:t xml:space="preserve"> of the ITC Delivery Deed</w:t>
      </w:r>
      <w:r w:rsidR="1CFB0EB8">
        <w:t>)</w:t>
      </w:r>
      <w:r w:rsidR="2F6A7F50">
        <w:t>. If required by the Principal Representative, the Contractor must also carry out any post</w:t>
      </w:r>
      <w:r w:rsidR="29C5117B">
        <w:t>-</w:t>
      </w:r>
      <w:r w:rsidR="2F6A7F50">
        <w:t>tender negotiations with the tenderer(s) in the presence of the Principal Representative.</w:t>
      </w:r>
    </w:p>
    <w:p w14:paraId="008F6EE4" w14:textId="6CE90C03" w:rsidR="002B5BB6" w:rsidRDefault="7383905E" w:rsidP="0005402F">
      <w:pPr>
        <w:pStyle w:val="NormalIndent"/>
      </w:pPr>
      <w:r>
        <w:t xml:space="preserve">Prior to awarding Subcontracts, the Contractor is required to demonstrate to the </w:t>
      </w:r>
      <w:r w:rsidR="2F6A7F50">
        <w:t>Principal Representative</w:t>
      </w:r>
      <w:r>
        <w:t xml:space="preserve"> why a particular Subcontractor should be awarded a Subcontract, and this is deemed to be a warranty by the Contractor as to the suitability of that Subcontractor.</w:t>
      </w:r>
      <w:r w:rsidR="2F6A7F50">
        <w:t xml:space="preserve"> This should be in accordance with any Subcontractor Packaging and Procurement Plan agreed by the parties.</w:t>
      </w:r>
      <w:r>
        <w:t xml:space="preserve"> Notwithstanding this, the </w:t>
      </w:r>
      <w:r w:rsidR="2F6A7F50">
        <w:t xml:space="preserve">Principal Representative </w:t>
      </w:r>
      <w:r>
        <w:t xml:space="preserve">has ultimate discretion to reject a recommendation by the Contractor on certain grounds, including where the Subcontract price exceeds the allowance for the relevant work in the Cost Plan, the proposed Subcontractor is not an appropriate Subcontractor for the relevant work, or the Subcontract does not follow the template form approved by the Principal or </w:t>
      </w:r>
      <w:r w:rsidR="2F6A7F50">
        <w:t>Principal Representative</w:t>
      </w:r>
      <w:r>
        <w:t xml:space="preserve">. In these circumstances, the </w:t>
      </w:r>
      <w:r w:rsidR="2F6A7F50">
        <w:t xml:space="preserve">Principal Representative </w:t>
      </w:r>
      <w:r>
        <w:t>has the right to direct the Contractor to accept another tender or to seek alternative proposals.</w:t>
      </w:r>
    </w:p>
    <w:p w14:paraId="084DF768" w14:textId="3391B875" w:rsidR="002B5BB6" w:rsidRDefault="7383905E" w:rsidP="008322B3">
      <w:pPr>
        <w:pStyle w:val="Heading2numbered"/>
      </w:pPr>
      <w:bookmarkStart w:id="2134" w:name="_Toc66867404"/>
      <w:bookmarkStart w:id="2135" w:name="_Toc66868330"/>
      <w:bookmarkStart w:id="2136" w:name="_Toc66867405"/>
      <w:bookmarkStart w:id="2137" w:name="_Toc66868331"/>
      <w:bookmarkStart w:id="2138" w:name="_Toc66867406"/>
      <w:bookmarkStart w:id="2139" w:name="_Toc66868332"/>
      <w:bookmarkStart w:id="2140" w:name="_Toc66867407"/>
      <w:bookmarkStart w:id="2141" w:name="_Toc66868333"/>
      <w:bookmarkStart w:id="2142" w:name="_Toc66867408"/>
      <w:bookmarkStart w:id="2143" w:name="_Toc66868334"/>
      <w:bookmarkStart w:id="2144" w:name="_Toc66867409"/>
      <w:bookmarkStart w:id="2145" w:name="_Toc66868335"/>
      <w:bookmarkStart w:id="2146" w:name="_Toc66867410"/>
      <w:bookmarkStart w:id="2147" w:name="_Toc66868336"/>
      <w:bookmarkStart w:id="2148" w:name="_Toc66867411"/>
      <w:bookmarkStart w:id="2149" w:name="_Toc66868337"/>
      <w:bookmarkStart w:id="2150" w:name="_Toc133577902"/>
      <w:bookmarkStart w:id="2151" w:name="_Toc507712194"/>
      <w:bookmarkStart w:id="2152" w:name="_Toc145612597"/>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t>Site Information and Site Conditions</w:t>
      </w:r>
      <w:bookmarkEnd w:id="2150"/>
      <w:r w:rsidR="4EF927CB">
        <w:t xml:space="preserve"> (clauses</w:t>
      </w:r>
      <w:r w:rsidR="7865FA55" w:rsidRPr="2C5D2C8B">
        <w:rPr>
          <w:rFonts w:ascii="Calibri" w:hAnsi="Calibri" w:cs="Calibri"/>
        </w:rPr>
        <w:t> </w:t>
      </w:r>
      <w:r w:rsidR="4EF927CB">
        <w:t>5, 10, 12, 13 and 41 of the ITC Delivery Deed)</w:t>
      </w:r>
      <w:bookmarkEnd w:id="2151"/>
      <w:bookmarkEnd w:id="2152"/>
    </w:p>
    <w:p w14:paraId="3218F905" w14:textId="0B2A37DE" w:rsidR="002B5BB6" w:rsidRDefault="7383905E" w:rsidP="008322B3">
      <w:pPr>
        <w:pStyle w:val="Heading3numbered"/>
      </w:pPr>
      <w:r>
        <w:t>General principle</w:t>
      </w:r>
      <w:r w:rsidR="4EF927CB">
        <w:t xml:space="preserve"> (clauses</w:t>
      </w:r>
      <w:r w:rsidR="7865FA55" w:rsidRPr="2C5D2C8B">
        <w:rPr>
          <w:rFonts w:ascii="Calibri" w:hAnsi="Calibri" w:cs="Calibri"/>
        </w:rPr>
        <w:t> </w:t>
      </w:r>
      <w:r w:rsidR="4EF927CB">
        <w:t>5.7, 5.8, 10.1 and 10.3 of the ITC Delivery Deed)</w:t>
      </w:r>
    </w:p>
    <w:p w14:paraId="2941E9A0" w14:textId="4735BC99" w:rsidR="00814BE6" w:rsidRDefault="00814BE6" w:rsidP="00A56F5B">
      <w:pPr>
        <w:pStyle w:val="Heading4numbered"/>
      </w:pPr>
      <w:r>
        <w:t>Risk of adverse Site Conditions</w:t>
      </w:r>
    </w:p>
    <w:p w14:paraId="63F014DB" w14:textId="143280EB" w:rsidR="00814BE6" w:rsidRDefault="7383905E" w:rsidP="0005402F">
      <w:pPr>
        <w:pStyle w:val="NormalIndent"/>
      </w:pPr>
      <w:r>
        <w:t>The Contractor is liable for all Site Conditions, other than where it is expressly stated otherwise in the ITC Delivery Deed</w:t>
      </w:r>
      <w:r w:rsidR="0010792D">
        <w:t>.</w:t>
      </w:r>
    </w:p>
    <w:p w14:paraId="63AA8923" w14:textId="612CAC5F" w:rsidR="00814BE6" w:rsidRDefault="00814BE6" w:rsidP="00A56F5B">
      <w:pPr>
        <w:pStyle w:val="Heading4numbered"/>
      </w:pPr>
      <w:r>
        <w:t>Contractor warranty</w:t>
      </w:r>
    </w:p>
    <w:p w14:paraId="0315FD0D" w14:textId="21EB0B7A" w:rsidR="002B5BB6" w:rsidRDefault="002B5BB6" w:rsidP="0005402F">
      <w:pPr>
        <w:pStyle w:val="NormalIndent"/>
      </w:pPr>
      <w:r>
        <w:t xml:space="preserve">The Contractor warrants that it has been given the opportunity to undertake tests, enquiries and investigations of the </w:t>
      </w:r>
      <w:r w:rsidR="001B1355">
        <w:t>Site</w:t>
      </w:r>
      <w:r>
        <w:t xml:space="preserve"> and its surroundings, including all Site Conditions and the existence, adequacy, location, conditions, completeness or availability of Utility Infrastructure.</w:t>
      </w:r>
    </w:p>
    <w:p w14:paraId="512416AB" w14:textId="1CE663EA" w:rsidR="00814BE6" w:rsidRDefault="00814BE6" w:rsidP="00A56F5B">
      <w:pPr>
        <w:pStyle w:val="Heading4numbered"/>
      </w:pPr>
      <w:r w:rsidRPr="00814BE6">
        <w:t>Site investigations</w:t>
      </w:r>
    </w:p>
    <w:p w14:paraId="7D999317" w14:textId="45EBA3C2" w:rsidR="002B5BB6" w:rsidRPr="002170F6" w:rsidRDefault="46386B8A" w:rsidP="0005402F">
      <w:pPr>
        <w:pStyle w:val="NormalIndent"/>
      </w:pPr>
      <w:r>
        <w:t>The Principal typically engage</w:t>
      </w:r>
      <w:r w:rsidR="01551257">
        <w:t>s</w:t>
      </w:r>
      <w:r>
        <w:t xml:space="preserve"> consultants to undertake site investigations prior to and during the RFP </w:t>
      </w:r>
      <w:r w:rsidR="5F09FBF9">
        <w:t>p</w:t>
      </w:r>
      <w:r>
        <w:t>hase and the Development Phase</w:t>
      </w:r>
      <w:r w:rsidR="01551257">
        <w:t>,</w:t>
      </w:r>
      <w:r>
        <w:t xml:space="preserve"> and release</w:t>
      </w:r>
      <w:r w:rsidR="01551257">
        <w:t>s</w:t>
      </w:r>
      <w:r>
        <w:t xml:space="preserve"> the information prepared by those consultants to the Shortlisted Respondents. Where there are significant Site Condition risks, the Principal may invite the Shortlisted Respondents to suggest any additional survey work for the Principal to undertake during the RFP </w:t>
      </w:r>
      <w:r w:rsidR="5F09FBF9">
        <w:t>p</w:t>
      </w:r>
      <w:r>
        <w:t xml:space="preserve">hase. </w:t>
      </w:r>
      <w:r w:rsidR="020E4BA3">
        <w:t>Alternatively, the Respondents could be given the opportunity to undertake</w:t>
      </w:r>
      <w:r w:rsidR="6C3C841E">
        <w:t xml:space="preserve"> </w:t>
      </w:r>
      <w:r w:rsidR="2BE005B7">
        <w:t>additional</w:t>
      </w:r>
      <w:r w:rsidR="020E4BA3">
        <w:t xml:space="preserve"> site investigations during </w:t>
      </w:r>
      <w:r w:rsidR="4EF927CB">
        <w:t>the Development Phase</w:t>
      </w:r>
      <w:r w:rsidR="020E4BA3">
        <w:t>.</w:t>
      </w:r>
    </w:p>
    <w:p w14:paraId="330F0908" w14:textId="216E02E7" w:rsidR="00814BE6" w:rsidRDefault="08F64EC3" w:rsidP="0005402F">
      <w:pPr>
        <w:pStyle w:val="NormalIndent"/>
      </w:pPr>
      <w:r>
        <w:t xml:space="preserve">On a project-specific basis (particularly where the risk of adverse Site Conditions is considered low), the procuring </w:t>
      </w:r>
      <w:r w:rsidR="16CD9D94">
        <w:t>agency</w:t>
      </w:r>
      <w:r>
        <w:t xml:space="preserve"> may include drafting pursuant to which the Principal may elect to either:</w:t>
      </w:r>
    </w:p>
    <w:p w14:paraId="7BDD20A4" w14:textId="5AD3DF8C" w:rsidR="002A524B" w:rsidRPr="002A524B" w:rsidRDefault="08F64EC3" w:rsidP="0005402F">
      <w:pPr>
        <w:pStyle w:val="Bulletindent"/>
      </w:pPr>
      <w:r>
        <w:t>assign its rights in respect of a Site Information Report to the Contractor</w:t>
      </w:r>
      <w:r w:rsidR="7A7F2D46">
        <w:t>; or</w:t>
      </w:r>
    </w:p>
    <w:p w14:paraId="6CF1D8E2" w14:textId="16E66673" w:rsidR="00814BE6" w:rsidRDefault="08F64EC3" w:rsidP="0005402F">
      <w:pPr>
        <w:pStyle w:val="Bulletindent"/>
      </w:pPr>
      <w:r>
        <w:t>obtain a third party warranty from the Site Information Report Provider in favour of the Contractor.</w:t>
      </w:r>
    </w:p>
    <w:p w14:paraId="75DB0C1A" w14:textId="7B949F86" w:rsidR="00814BE6" w:rsidRDefault="08F64EC3" w:rsidP="0005402F">
      <w:pPr>
        <w:pStyle w:val="NormalIndent"/>
      </w:pPr>
      <w:r>
        <w:t xml:space="preserve">The procuring </w:t>
      </w:r>
      <w:r w:rsidR="7211B4D8">
        <w:t>agency</w:t>
      </w:r>
      <w:r>
        <w:t xml:space="preserve"> should discuss the inclusion of this drafting with DTF prior to commencing the RFP </w:t>
      </w:r>
      <w:r w:rsidR="5F09FBF9">
        <w:t>p</w:t>
      </w:r>
      <w:r>
        <w:t>hase.</w:t>
      </w:r>
    </w:p>
    <w:p w14:paraId="0E793C50" w14:textId="097ED9A9" w:rsidR="002B5BB6" w:rsidRDefault="002B5BB6" w:rsidP="008322B3">
      <w:pPr>
        <w:pStyle w:val="Heading3numbered"/>
      </w:pPr>
      <w:r>
        <w:t>Interference, obstruction and nuisance</w:t>
      </w:r>
      <w:r w:rsidR="005F0F46">
        <w:t xml:space="preserve"> </w:t>
      </w:r>
      <w:r w:rsidR="005F0F46" w:rsidRPr="005F0F46">
        <w:t>(clause 12.3 of the ITC Delivery</w:t>
      </w:r>
      <w:r w:rsidR="00754976" w:rsidRPr="00754976">
        <w:rPr>
          <w:rFonts w:ascii="Calibri" w:hAnsi="Calibri" w:cs="Calibri"/>
        </w:rPr>
        <w:t> </w:t>
      </w:r>
      <w:r w:rsidR="005F0F46" w:rsidRPr="005F0F46">
        <w:t>Deed)</w:t>
      </w:r>
    </w:p>
    <w:p w14:paraId="5C0B824E" w14:textId="1FD74850" w:rsidR="002B5BB6" w:rsidRDefault="7383905E" w:rsidP="001D061B">
      <w:pPr>
        <w:pStyle w:val="NormalIndent"/>
        <w:keepNext/>
      </w:pPr>
      <w:r>
        <w:t xml:space="preserve">Under the ITC Delivery Deed, the Contractor </w:t>
      </w:r>
      <w:r w:rsidR="46DDB917">
        <w:t>is</w:t>
      </w:r>
      <w:r>
        <w:t xml:space="preserve"> oblig</w:t>
      </w:r>
      <w:r w:rsidR="46DDB917">
        <w:t>ed</w:t>
      </w:r>
      <w:r>
        <w:t xml:space="preserve"> to:</w:t>
      </w:r>
    </w:p>
    <w:p w14:paraId="4092E1D9" w14:textId="51ADF611" w:rsidR="002B5BB6" w:rsidRDefault="78DE3504" w:rsidP="001D061B">
      <w:pPr>
        <w:pStyle w:val="Bulletindent"/>
        <w:keepNext/>
        <w:contextualSpacing/>
      </w:pPr>
      <w:r>
        <w:t>minimise road disruptions</w:t>
      </w:r>
      <w:r w:rsidR="46DDB917">
        <w:t>;</w:t>
      </w:r>
    </w:p>
    <w:p w14:paraId="5DEF10CE" w14:textId="455DDD6D" w:rsidR="002B5BB6" w:rsidRDefault="7383905E" w:rsidP="001D061B">
      <w:pPr>
        <w:pStyle w:val="Bulletindent"/>
        <w:keepNext/>
        <w:contextualSpacing/>
      </w:pPr>
      <w:r>
        <w:t>prevent nuisance</w:t>
      </w:r>
      <w:r w:rsidR="46DDB917">
        <w:t>;</w:t>
      </w:r>
    </w:p>
    <w:p w14:paraId="376499E9" w14:textId="1D46C156" w:rsidR="002B5BB6" w:rsidRDefault="7383905E" w:rsidP="001D061B">
      <w:pPr>
        <w:pStyle w:val="Bulletindent"/>
        <w:keepNext/>
        <w:contextualSpacing/>
      </w:pPr>
      <w:r>
        <w:t>ensure the safety of people and property</w:t>
      </w:r>
      <w:r w:rsidR="46DDB917">
        <w:t>;</w:t>
      </w:r>
    </w:p>
    <w:p w14:paraId="1F988546" w14:textId="64084167" w:rsidR="002A524B" w:rsidRPr="002A524B" w:rsidRDefault="7383905E" w:rsidP="001D061B">
      <w:pPr>
        <w:pStyle w:val="Bulletindent"/>
        <w:keepNext/>
        <w:contextualSpacing/>
      </w:pPr>
      <w:r>
        <w:t xml:space="preserve">prioritise the safety of </w:t>
      </w:r>
      <w:r w:rsidR="06BC5DBE">
        <w:t>people and</w:t>
      </w:r>
      <w:r>
        <w:t xml:space="preserve"> property</w:t>
      </w:r>
      <w:r w:rsidR="06BC5DBE">
        <w:t>; and</w:t>
      </w:r>
    </w:p>
    <w:p w14:paraId="7A01B88E" w14:textId="1C3104F9" w:rsidR="002B5BB6" w:rsidRDefault="002B5BB6" w:rsidP="001D061B">
      <w:pPr>
        <w:pStyle w:val="Bulletindent"/>
        <w:keepNext/>
        <w:contextualSpacing/>
      </w:pPr>
      <w:r>
        <w:t>remove structures or equipment on completion.</w:t>
      </w:r>
    </w:p>
    <w:p w14:paraId="2F121D9E" w14:textId="5FDA6FA5" w:rsidR="002B5BB6" w:rsidRDefault="002B5BB6" w:rsidP="0005402F">
      <w:pPr>
        <w:pStyle w:val="NormalIndent"/>
      </w:pPr>
      <w:r>
        <w:t xml:space="preserve">Where the Principal reasonably believes that the Contractor is failing to meet the above, the Contractor must comply with any reasonable directions to stop or change the manner of undertaking the </w:t>
      </w:r>
      <w:r w:rsidR="007C5EFD">
        <w:t>Contractor</w:t>
      </w:r>
      <w:r w:rsidR="00633251">
        <w:t>’</w:t>
      </w:r>
      <w:r w:rsidR="007C5EFD">
        <w:t>s Activities a</w:t>
      </w:r>
      <w:r>
        <w:t xml:space="preserve">nd amend the </w:t>
      </w:r>
      <w:r w:rsidR="007C5EFD">
        <w:t xml:space="preserve">applicable </w:t>
      </w:r>
      <w:r>
        <w:t>Plan to Cure the issue.</w:t>
      </w:r>
    </w:p>
    <w:p w14:paraId="6506FDF4" w14:textId="2646A2D9" w:rsidR="002B5BB6" w:rsidRDefault="7383905E" w:rsidP="00107F65">
      <w:pPr>
        <w:pStyle w:val="Heading3numbered"/>
      </w:pPr>
      <w:r>
        <w:t xml:space="preserve">Notifiable </w:t>
      </w:r>
      <w:r w:rsidR="4EF927CB">
        <w:t>C</w:t>
      </w:r>
      <w:r>
        <w:t>ontamination</w:t>
      </w:r>
      <w:r w:rsidR="79397A3B">
        <w:t xml:space="preserve"> and Remediation</w:t>
      </w:r>
      <w:r w:rsidR="4EF927CB">
        <w:t xml:space="preserve"> (clauses</w:t>
      </w:r>
      <w:r w:rsidR="7865FA55" w:rsidRPr="2C5D2C8B">
        <w:rPr>
          <w:rFonts w:ascii="Calibri" w:hAnsi="Calibri" w:cs="Calibri"/>
        </w:rPr>
        <w:t> </w:t>
      </w:r>
      <w:r w:rsidR="4EF927CB">
        <w:t>12.1, 12.6 and 41.4 of the ITC Delivery Deed)</w:t>
      </w:r>
    </w:p>
    <w:p w14:paraId="58496563" w14:textId="72741860" w:rsidR="002B5BB6" w:rsidRPr="00D6406F" w:rsidRDefault="7383905E" w:rsidP="0005402F">
      <w:pPr>
        <w:pStyle w:val="NormalIndent"/>
      </w:pPr>
      <w:r>
        <w:t xml:space="preserve">In respect of any </w:t>
      </w:r>
      <w:r w:rsidR="629BCFA6">
        <w:t>‘</w:t>
      </w:r>
      <w:r>
        <w:t>notifiable incident</w:t>
      </w:r>
      <w:r w:rsidR="629BCFA6">
        <w:t>’</w:t>
      </w:r>
      <w:r>
        <w:t xml:space="preserve"> or </w:t>
      </w:r>
      <w:r w:rsidR="629BCFA6">
        <w:t>‘</w:t>
      </w:r>
      <w:r>
        <w:t>notifiable contamination</w:t>
      </w:r>
      <w:r w:rsidR="629BCFA6">
        <w:t>’</w:t>
      </w:r>
      <w:r>
        <w:t xml:space="preserve"> as defined in section</w:t>
      </w:r>
      <w:r w:rsidR="4CB80C5E">
        <w:t>s</w:t>
      </w:r>
      <w:r w:rsidR="7865FA55" w:rsidRPr="2C5D2C8B">
        <w:rPr>
          <w:rFonts w:ascii="Calibri" w:hAnsi="Calibri" w:cs="Calibri"/>
        </w:rPr>
        <w:t> </w:t>
      </w:r>
      <w:r>
        <w:t xml:space="preserve">30 and 37 (respectively) of the </w:t>
      </w:r>
      <w:r w:rsidRPr="2C5D2C8B">
        <w:rPr>
          <w:i/>
          <w:iCs/>
        </w:rPr>
        <w:t xml:space="preserve">Environment Protection Act 2017 </w:t>
      </w:r>
      <w:r>
        <w:t>(Vic), the Contractor is obliged to notify the Environment Protection Authority</w:t>
      </w:r>
      <w:r w:rsidR="7BBE5863">
        <w:t xml:space="preserve"> (EPA)</w:t>
      </w:r>
      <w:r>
        <w:t xml:space="preserve"> and the Principal accordingly. The Contractor has management or control of the Site for the purposes of the </w:t>
      </w:r>
      <w:r w:rsidRPr="2C5D2C8B">
        <w:rPr>
          <w:i/>
          <w:iCs/>
        </w:rPr>
        <w:t>Environment Protection Act 2017</w:t>
      </w:r>
      <w:r>
        <w:t xml:space="preserve"> (Vic) and must comply with all obligations imposed under the Environmental Requirements.</w:t>
      </w:r>
    </w:p>
    <w:p w14:paraId="6D8AC350" w14:textId="23B4D9E9" w:rsidR="002B5BB6" w:rsidRPr="002B5EC6" w:rsidRDefault="7383905E" w:rsidP="0005402F">
      <w:pPr>
        <w:pStyle w:val="NormalIndent"/>
      </w:pPr>
      <w:r>
        <w:t>The Contractor</w:t>
      </w:r>
      <w:r w:rsidR="629BCFA6">
        <w:t>’</w:t>
      </w:r>
      <w:r>
        <w:t xml:space="preserve">s Contamination Remediation obligations are determined on a location basis. </w:t>
      </w:r>
      <w:r w:rsidR="4EF927CB">
        <w:t>When considering</w:t>
      </w:r>
      <w:r>
        <w:t xml:space="preserve"> the risk allocation for the ITC Delivery Deed, the Principal </w:t>
      </w:r>
      <w:r w:rsidR="2236FE80">
        <w:t>decided</w:t>
      </w:r>
      <w:r>
        <w:t xml:space="preserve"> that there </w:t>
      </w:r>
      <w:r w:rsidR="2236FE80">
        <w:t>was</w:t>
      </w:r>
      <w:r>
        <w:t xml:space="preserve"> </w:t>
      </w:r>
      <w:r w:rsidR="28648A0F">
        <w:t>VfM</w:t>
      </w:r>
      <w:r>
        <w:t xml:space="preserve"> in limiting the Contractor</w:t>
      </w:r>
      <w:r w:rsidR="629BCFA6">
        <w:t>’</w:t>
      </w:r>
      <w:r>
        <w:t>s Remediation obligations</w:t>
      </w:r>
      <w:r w:rsidR="7E17A5D8">
        <w:t>,</w:t>
      </w:r>
      <w:r>
        <w:t xml:space="preserve"> so it is not automatically required to Remediate all Contamination in or in the direct vicinity of the Development Area or Remediate the Contamination back to source.</w:t>
      </w:r>
    </w:p>
    <w:p w14:paraId="7F73D576" w14:textId="62E1B4F0" w:rsidR="002B5BB6" w:rsidRPr="002B5EC6" w:rsidRDefault="7383905E" w:rsidP="0005402F">
      <w:pPr>
        <w:pStyle w:val="NormalIndent"/>
      </w:pPr>
      <w:r>
        <w:t xml:space="preserve">However, the Principal requires the Contractor to indemnify the Principal for Liability the Principal suffers </w:t>
      </w:r>
      <w:r w:rsidR="49AFDB51">
        <w:t>in connection with</w:t>
      </w:r>
      <w:r>
        <w:t xml:space="preserve"> Contamination </w:t>
      </w:r>
      <w:r w:rsidR="49AFDB51">
        <w:t>that the</w:t>
      </w:r>
      <w:r>
        <w:t xml:space="preserve"> Contractor or any Contractor Associate caused to occur or to spread</w:t>
      </w:r>
      <w:r w:rsidR="49AFDB51">
        <w:t xml:space="preserve"> (regardless of whether the Contractor is obliged to Remediate the Contamination)</w:t>
      </w:r>
      <w:r w:rsidR="54C42CA4">
        <w:t>,</w:t>
      </w:r>
      <w:r>
        <w:t xml:space="preserve"> so that the Contractor will put in place reasonable measures to contain such Contamination.</w:t>
      </w:r>
    </w:p>
    <w:p w14:paraId="02A1E877" w14:textId="7CCF7AA6" w:rsidR="002B5BB6" w:rsidRDefault="00ED6C10" w:rsidP="0005402F">
      <w:pPr>
        <w:pStyle w:val="NormalIndent"/>
      </w:pPr>
      <w:r>
        <w:fldChar w:fldCharType="begin" w:fldLock="1"/>
      </w:r>
      <w:r>
        <w:instrText xml:space="preserve"> REF _Ref143095845 \h </w:instrText>
      </w:r>
      <w:r>
        <w:fldChar w:fldCharType="separate"/>
      </w:r>
      <w:r w:rsidR="00400321">
        <w:t xml:space="preserve">Figure </w:t>
      </w:r>
      <w:r w:rsidR="00400321">
        <w:rPr>
          <w:noProof/>
        </w:rPr>
        <w:t>10</w:t>
      </w:r>
      <w:r>
        <w:fldChar w:fldCharType="end"/>
      </w:r>
      <w:r w:rsidR="12E0A00D">
        <w:t xml:space="preserve"> </w:t>
      </w:r>
      <w:r w:rsidR="7383905E">
        <w:t>below summarises the Contractor</w:t>
      </w:r>
      <w:r w:rsidR="629BCFA6">
        <w:t>’</w:t>
      </w:r>
      <w:r w:rsidR="7383905E">
        <w:t xml:space="preserve">s Contamination Remediation obligations </w:t>
      </w:r>
      <w:r w:rsidR="14699B1E">
        <w:t xml:space="preserve">for </w:t>
      </w:r>
      <w:r w:rsidR="7383905E">
        <w:t xml:space="preserve">any Contamination and the Remediation work for which the Contractor </w:t>
      </w:r>
      <w:r w:rsidR="14699B1E">
        <w:t>is</w:t>
      </w:r>
      <w:r w:rsidR="7383905E">
        <w:t xml:space="preserve"> entitled to compensation and relief under the ITC Delivery Deed.</w:t>
      </w:r>
    </w:p>
    <w:p w14:paraId="0FD5238B" w14:textId="128B01E5" w:rsidR="00ED6C10" w:rsidRPr="002B5EC6" w:rsidRDefault="00ED6C10" w:rsidP="00BA17E2">
      <w:pPr>
        <w:pStyle w:val="Captionindent"/>
      </w:pPr>
      <w:bookmarkStart w:id="2153" w:name="_Ref143095845"/>
      <w:r>
        <w:t xml:space="preserve">Figure </w:t>
      </w:r>
      <w:r>
        <w:fldChar w:fldCharType="begin"/>
      </w:r>
      <w:r>
        <w:instrText>SEQ Figure \* ARABIC</w:instrText>
      </w:r>
      <w:r>
        <w:fldChar w:fldCharType="separate"/>
      </w:r>
      <w:r w:rsidR="00131EE1">
        <w:rPr>
          <w:noProof/>
        </w:rPr>
        <w:t>10</w:t>
      </w:r>
      <w:r>
        <w:fldChar w:fldCharType="end"/>
      </w:r>
      <w:bookmarkEnd w:id="2153"/>
      <w:r>
        <w:t xml:space="preserve"> – </w:t>
      </w:r>
      <w:r w:rsidRPr="00ED6C10">
        <w:t>Contamination rights and obligations</w:t>
      </w:r>
    </w:p>
    <w:p w14:paraId="3238A1EC" w14:textId="0FF01380" w:rsidR="0031541B" w:rsidRPr="009219D7" w:rsidRDefault="00170619" w:rsidP="00EA4AA9">
      <w:pPr>
        <w:pStyle w:val="NormalIndent"/>
      </w:pPr>
      <w:r w:rsidRPr="00170619">
        <w:drawing>
          <wp:inline distT="0" distB="0" distL="0" distR="0" wp14:anchorId="0828D15F" wp14:editId="3D90A11F">
            <wp:extent cx="5263662" cy="3163096"/>
            <wp:effectExtent l="0" t="0" r="0" b="0"/>
            <wp:docPr id="25" name="Picture 25" descr="Figure provides a flowchart of the Contractor’s different Contamination Remediation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provides a flowchart of the Contractor’s different Contamination Remediation obligations."/>
                    <pic:cNvPicPr/>
                  </pic:nvPicPr>
                  <pic:blipFill>
                    <a:blip r:embed="rId65"/>
                    <a:stretch>
                      <a:fillRect/>
                    </a:stretch>
                  </pic:blipFill>
                  <pic:spPr>
                    <a:xfrm>
                      <a:off x="0" y="0"/>
                      <a:ext cx="5272812" cy="3168594"/>
                    </a:xfrm>
                    <a:prstGeom prst="rect">
                      <a:avLst/>
                    </a:prstGeom>
                  </pic:spPr>
                </pic:pic>
              </a:graphicData>
            </a:graphic>
          </wp:inline>
        </w:drawing>
      </w:r>
    </w:p>
    <w:p w14:paraId="39ACFA7D" w14:textId="306A6507" w:rsidR="002B5BB6" w:rsidRPr="008558C6" w:rsidRDefault="002B5BB6" w:rsidP="00107F65">
      <w:pPr>
        <w:pStyle w:val="Heading3numbered"/>
      </w:pPr>
      <w:bookmarkStart w:id="2154" w:name="_Ref492569373"/>
      <w:r>
        <w:t>Project</w:t>
      </w:r>
      <w:r w:rsidR="00043711">
        <w:t>-specific</w:t>
      </w:r>
      <w:r>
        <w:t xml:space="preserve"> amendments</w:t>
      </w:r>
      <w:bookmarkEnd w:id="2154"/>
    </w:p>
    <w:p w14:paraId="3C126560" w14:textId="33DDF665" w:rsidR="002B5BB6" w:rsidRPr="007110BE" w:rsidRDefault="7383905E" w:rsidP="0005402F">
      <w:pPr>
        <w:pStyle w:val="NormalIndent"/>
      </w:pPr>
      <w:r>
        <w:t>The general principles outlined above in relation to Site Conditions may be varied on a project</w:t>
      </w:r>
      <w:r w:rsidR="0C9053DD">
        <w:t>-specific</w:t>
      </w:r>
      <w:r>
        <w:t xml:space="preserve"> basis</w:t>
      </w:r>
      <w:r w:rsidR="7FA0109F">
        <w:t>,</w:t>
      </w:r>
      <w:r>
        <w:t xml:space="preserve"> depending on the condition of the Site</w:t>
      </w:r>
      <w:r w:rsidR="2236FE80">
        <w:t xml:space="preserve"> and other associated considerations</w:t>
      </w:r>
      <w:r>
        <w:t>. For example, the Principal may consider an alternative risk allocation:</w:t>
      </w:r>
    </w:p>
    <w:p w14:paraId="28C7F728" w14:textId="3E3FDC06" w:rsidR="002B5BB6" w:rsidRPr="007110BE" w:rsidRDefault="7383905E" w:rsidP="0005402F">
      <w:pPr>
        <w:pStyle w:val="Bulletindent"/>
      </w:pPr>
      <w:r>
        <w:t xml:space="preserve">where the Project involves the extension or modification of existing infrastructure where it is difficult to access the </w:t>
      </w:r>
      <w:r w:rsidR="00C6D2AC">
        <w:t>Site</w:t>
      </w:r>
      <w:r>
        <w:t xml:space="preserve"> to carry out investigations</w:t>
      </w:r>
      <w:r w:rsidR="7948B13B">
        <w:t>,</w:t>
      </w:r>
      <w:r>
        <w:t xml:space="preserve"> such as dilapidation surveys</w:t>
      </w:r>
      <w:r w:rsidR="7948B13B">
        <w:t>,</w:t>
      </w:r>
      <w:r>
        <w:t xml:space="preserve"> and gain a good understanding of the condition of the asset</w:t>
      </w:r>
      <w:r w:rsidR="68750FB2">
        <w:t>;</w:t>
      </w:r>
    </w:p>
    <w:p w14:paraId="1A6186DC" w14:textId="5280466B" w:rsidR="002B5BB6" w:rsidRPr="007110BE" w:rsidRDefault="7383905E" w:rsidP="0005402F">
      <w:pPr>
        <w:pStyle w:val="Bulletindent"/>
      </w:pPr>
      <w:r>
        <w:t>depending on the amount of site investigation work undertaken by the Principal</w:t>
      </w:r>
      <w:r w:rsidR="68750FB2">
        <w:t>;</w:t>
      </w:r>
    </w:p>
    <w:p w14:paraId="2A7F6AC8" w14:textId="4A882677" w:rsidR="002B5BB6" w:rsidRPr="007110BE" w:rsidRDefault="7383905E" w:rsidP="0005402F">
      <w:pPr>
        <w:pStyle w:val="Bulletindent"/>
      </w:pPr>
      <w:r>
        <w:t>where the extent, impact or nature of pre-existing Contamination cannot reasonably be adequately assessed before or during the procurement process</w:t>
      </w:r>
      <w:r w:rsidR="6BCA008B">
        <w:t>;</w:t>
      </w:r>
    </w:p>
    <w:p w14:paraId="31A39FDF" w14:textId="157215DC" w:rsidR="002A524B" w:rsidRPr="002A524B" w:rsidRDefault="7383905E" w:rsidP="0005402F">
      <w:pPr>
        <w:pStyle w:val="Bulletindent"/>
      </w:pPr>
      <w:r>
        <w:t xml:space="preserve">where there is extensive pre-existing Contamination of the </w:t>
      </w:r>
      <w:r w:rsidR="00C6D2AC">
        <w:t>Site</w:t>
      </w:r>
      <w:r w:rsidR="6BCA008B">
        <w:t xml:space="preserve">; </w:t>
      </w:r>
      <w:r w:rsidR="0ED15987">
        <w:t>or</w:t>
      </w:r>
    </w:p>
    <w:p w14:paraId="59BC0298" w14:textId="5CD34FA7" w:rsidR="002B5BB6" w:rsidRDefault="002B5BB6" w:rsidP="0005402F">
      <w:pPr>
        <w:pStyle w:val="Bulletindent"/>
      </w:pPr>
      <w:r>
        <w:t xml:space="preserve">where </w:t>
      </w:r>
      <w:r w:rsidRPr="007110BE">
        <w:t xml:space="preserve">the </w:t>
      </w:r>
      <w:r>
        <w:t>Principal</w:t>
      </w:r>
      <w:r w:rsidRPr="007110BE">
        <w:t xml:space="preserve"> considers extending</w:t>
      </w:r>
      <w:r>
        <w:t xml:space="preserve"> or reducing</w:t>
      </w:r>
      <w:r w:rsidRPr="007110BE">
        <w:t xml:space="preserve"> </w:t>
      </w:r>
      <w:r>
        <w:t>the Contractor</w:t>
      </w:r>
      <w:r w:rsidR="00633251">
        <w:t>’</w:t>
      </w:r>
      <w:r w:rsidRPr="007110BE">
        <w:t xml:space="preserve">s Remediation obligations will </w:t>
      </w:r>
      <w:r w:rsidR="00E3361B">
        <w:t>enhance</w:t>
      </w:r>
      <w:r w:rsidR="00E3361B" w:rsidRPr="007110BE">
        <w:t xml:space="preserve"> </w:t>
      </w:r>
      <w:r w:rsidR="0055720A">
        <w:t>VfM</w:t>
      </w:r>
      <w:r>
        <w:t>.</w:t>
      </w:r>
    </w:p>
    <w:p w14:paraId="1CBC59B6" w14:textId="40355F06" w:rsidR="002B5BB6" w:rsidRPr="00B81BF9" w:rsidRDefault="7383905E" w:rsidP="00400321">
      <w:pPr>
        <w:pStyle w:val="NormalIndent"/>
        <w:keepNext/>
      </w:pPr>
      <w:r>
        <w:t>The prevention of nuisance is reviewed on a project</w:t>
      </w:r>
      <w:r w:rsidR="257551F3">
        <w:t>-specific</w:t>
      </w:r>
      <w:r>
        <w:t xml:space="preserve"> basis.</w:t>
      </w:r>
      <w:r w:rsidR="2236FE80">
        <w:t xml:space="preserve"> For example,</w:t>
      </w:r>
      <w:r>
        <w:t xml:space="preserve"> </w:t>
      </w:r>
      <w:r w:rsidR="2236FE80">
        <w:t>t</w:t>
      </w:r>
      <w:r>
        <w:t>here may be circumstances where the</w:t>
      </w:r>
      <w:r w:rsidR="2236FE80">
        <w:t xml:space="preserve"> maximum noise</w:t>
      </w:r>
      <w:r>
        <w:t xml:space="preserve"> level set out in the Environmental Management Plan is too high, in which case the ITC Delivery Deed should include an obligation to reduce noise levels to the Principal</w:t>
      </w:r>
      <w:r w:rsidR="629BCFA6">
        <w:t>’</w:t>
      </w:r>
      <w:r>
        <w:t>s reasonable requirements.</w:t>
      </w:r>
    </w:p>
    <w:p w14:paraId="00CA6274" w14:textId="30318A38" w:rsidR="002B5BB6" w:rsidRDefault="7383905E" w:rsidP="0005402F">
      <w:pPr>
        <w:pStyle w:val="NormalIndent"/>
      </w:pPr>
      <w:r>
        <w:t xml:space="preserve">The ITC Delivery Deed </w:t>
      </w:r>
      <w:r w:rsidR="77B3E95A">
        <w:t xml:space="preserve">provides that, except as expressly provided in the </w:t>
      </w:r>
      <w:r w:rsidR="226AC14A">
        <w:t>D</w:t>
      </w:r>
      <w:r w:rsidR="7816045E">
        <w:t>eed</w:t>
      </w:r>
      <w:r w:rsidR="77B3E95A">
        <w:t xml:space="preserve">, neither the </w:t>
      </w:r>
      <w:r>
        <w:t>Principal</w:t>
      </w:r>
      <w:r w:rsidR="77B3E95A">
        <w:t xml:space="preserve"> nor any Principal Associate give</w:t>
      </w:r>
      <w:r w:rsidR="226AC14A">
        <w:t>s</w:t>
      </w:r>
      <w:r w:rsidR="77B3E95A">
        <w:t xml:space="preserve"> any warranties or guarantees or owes any duty of care in respect of, among other things, the existence, adequacy, location, condition (including the fitness for purpose), type, number, availability or suitability of any works or assets</w:t>
      </w:r>
      <w:r w:rsidR="3C8F4394">
        <w:t>,</w:t>
      </w:r>
      <w:r w:rsidR="77B3E95A">
        <w:t xml:space="preserve"> including those made available to the Contractor by or on behalf of the Principal</w:t>
      </w:r>
      <w:r>
        <w:t xml:space="preserve">. This </w:t>
      </w:r>
      <w:r w:rsidR="77B3E95A">
        <w:t xml:space="preserve">exclusion </w:t>
      </w:r>
      <w:r>
        <w:t>needs to be considered on a project</w:t>
      </w:r>
      <w:r w:rsidR="257551F3">
        <w:t>-specific</w:t>
      </w:r>
      <w:r>
        <w:t xml:space="preserve"> basis, as it will not be required if there are no </w:t>
      </w:r>
      <w:r w:rsidR="77B3E95A">
        <w:t>p</w:t>
      </w:r>
      <w:r>
        <w:t xml:space="preserve">roject </w:t>
      </w:r>
      <w:r w:rsidR="77B3E95A">
        <w:t>a</w:t>
      </w:r>
      <w:r>
        <w:t xml:space="preserve">ssets made available by or on behalf of the Principal during the </w:t>
      </w:r>
      <w:r w:rsidR="751EB086">
        <w:t>performance of the Contractor</w:t>
      </w:r>
      <w:r w:rsidR="629BCFA6">
        <w:t>’</w:t>
      </w:r>
      <w:r w:rsidR="751EB086">
        <w:t>s Activities</w:t>
      </w:r>
      <w:r>
        <w:t>.</w:t>
      </w:r>
    </w:p>
    <w:p w14:paraId="2CC51753" w14:textId="750A87C8" w:rsidR="002B5BB6" w:rsidRDefault="7383905E" w:rsidP="00107F65">
      <w:pPr>
        <w:pStyle w:val="Heading3numbered"/>
      </w:pPr>
      <w:bookmarkStart w:id="2155" w:name="_Ref492895809"/>
      <w:r>
        <w:t>Utilities and underground structures</w:t>
      </w:r>
      <w:r w:rsidR="2236FE80">
        <w:t xml:space="preserve"> </w:t>
      </w:r>
      <w:bookmarkEnd w:id="2155"/>
      <w:r w:rsidR="2236FE80">
        <w:t>(clause</w:t>
      </w:r>
      <w:r w:rsidR="7865FA55" w:rsidRPr="2C5D2C8B">
        <w:rPr>
          <w:rFonts w:ascii="Calibri" w:hAnsi="Calibri" w:cs="Calibri"/>
        </w:rPr>
        <w:t> </w:t>
      </w:r>
      <w:r w:rsidR="2236FE80">
        <w:t>13)</w:t>
      </w:r>
    </w:p>
    <w:p w14:paraId="201C921D" w14:textId="43B8C0B7" w:rsidR="002B5BB6" w:rsidRDefault="002B5BB6" w:rsidP="00107F65">
      <w:pPr>
        <w:pStyle w:val="Heading4numbered"/>
      </w:pPr>
      <w:r>
        <w:t>General principle</w:t>
      </w:r>
    </w:p>
    <w:p w14:paraId="031E168A" w14:textId="7057BDF7" w:rsidR="002B5BB6" w:rsidRPr="000C5369" w:rsidRDefault="002B5BB6" w:rsidP="0005402F">
      <w:pPr>
        <w:pStyle w:val="NormalIndent"/>
      </w:pPr>
      <w:r>
        <w:t>The Contractor</w:t>
      </w:r>
      <w:r w:rsidRPr="000C5369">
        <w:t xml:space="preserve"> is required to make enquir</w:t>
      </w:r>
      <w:r>
        <w:t>i</w:t>
      </w:r>
      <w:r w:rsidRPr="000C5369">
        <w:t>es as to the location of existing Utility Infrastructure and must liaise with the owner of</w:t>
      </w:r>
      <w:r>
        <w:t xml:space="preserve"> </w:t>
      </w:r>
      <w:r w:rsidRPr="000C5369">
        <w:t>that Ut</w:t>
      </w:r>
      <w:r w:rsidRPr="00333482">
        <w:t xml:space="preserve">ility Infrastructure and the relevant Utility provider as to the need for any </w:t>
      </w:r>
      <w:r w:rsidR="00333482" w:rsidRPr="00333482">
        <w:t>Utility Activities</w:t>
      </w:r>
      <w:r w:rsidRPr="00333482">
        <w:t>. The Contractor is required to obtain the Principal</w:t>
      </w:r>
      <w:r w:rsidR="00633251">
        <w:t>’</w:t>
      </w:r>
      <w:r w:rsidRPr="00333482">
        <w:t xml:space="preserve">s consent to </w:t>
      </w:r>
      <w:r w:rsidR="00333482" w:rsidRPr="00333482">
        <w:t>carry out any Utility Activities</w:t>
      </w:r>
      <w:r w:rsidRPr="00333482">
        <w:t>.</w:t>
      </w:r>
    </w:p>
    <w:p w14:paraId="345361DC" w14:textId="10ACF52A" w:rsidR="002B5BB6" w:rsidRPr="007B4837" w:rsidRDefault="7383905E" w:rsidP="0005402F">
      <w:pPr>
        <w:pStyle w:val="NormalIndent"/>
      </w:pPr>
      <w:r>
        <w:t>The Contractor assumes the risk in relation to existing Utility Infrastructure</w:t>
      </w:r>
      <w:r w:rsidR="33C556ED">
        <w:t>,</w:t>
      </w:r>
      <w:r>
        <w:t xml:space="preserve"> the continuous supply and sufficiency of Utilities in connection with the </w:t>
      </w:r>
      <w:r w:rsidR="1B011135">
        <w:t>Contractor</w:t>
      </w:r>
      <w:r w:rsidR="629BCFA6">
        <w:t>’</w:t>
      </w:r>
      <w:r w:rsidR="1B011135">
        <w:t>s Activities</w:t>
      </w:r>
      <w:r>
        <w:t xml:space="preserve">, the need to </w:t>
      </w:r>
      <w:r w:rsidR="77B3E95A">
        <w:t>carry out Utility Activities</w:t>
      </w:r>
      <w:r>
        <w:t xml:space="preserve">, and any access to the Site or interference with the </w:t>
      </w:r>
      <w:r w:rsidR="1B011135">
        <w:t>Contractor</w:t>
      </w:r>
      <w:r w:rsidR="629BCFA6">
        <w:t>’</w:t>
      </w:r>
      <w:r w:rsidR="1B011135">
        <w:t xml:space="preserve">s Activities </w:t>
      </w:r>
      <w:r>
        <w:t>by or on behalf of a Utility provider</w:t>
      </w:r>
      <w:r w:rsidR="1B011135">
        <w:t>.</w:t>
      </w:r>
    </w:p>
    <w:p w14:paraId="46854A15" w14:textId="14562AE2" w:rsidR="002B5BB6" w:rsidRPr="0013665F" w:rsidRDefault="002B5BB6" w:rsidP="0013665F">
      <w:pPr>
        <w:pStyle w:val="Heading4numbered"/>
      </w:pPr>
      <w:bookmarkStart w:id="2156" w:name="_Ref492718360"/>
      <w:r>
        <w:t>Project</w:t>
      </w:r>
      <w:r w:rsidR="00043711">
        <w:t>-specific</w:t>
      </w:r>
      <w:r>
        <w:t xml:space="preserve"> amendments</w:t>
      </w:r>
      <w:bookmarkEnd w:id="2156"/>
    </w:p>
    <w:p w14:paraId="0A9897F3" w14:textId="2A6A2984" w:rsidR="007B7760" w:rsidRDefault="7383905E" w:rsidP="0005402F">
      <w:pPr>
        <w:pStyle w:val="NormalIndent"/>
      </w:pPr>
      <w:r>
        <w:t>If the MTPF</w:t>
      </w:r>
      <w:r w:rsidR="6EEEB98D">
        <w:t xml:space="preserve"> </w:t>
      </w:r>
      <w:r>
        <w:t>A</w:t>
      </w:r>
      <w:r w:rsidR="6EEEB98D">
        <w:t>ct</w:t>
      </w:r>
      <w:r>
        <w:t xml:space="preserve"> applies to the Project, there is a regime under Part</w:t>
      </w:r>
      <w:r w:rsidR="7865FA55" w:rsidRPr="2C5D2C8B">
        <w:rPr>
          <w:rFonts w:ascii="Calibri" w:hAnsi="Calibri" w:cs="Calibri"/>
        </w:rPr>
        <w:t> </w:t>
      </w:r>
      <w:r>
        <w:t>7 of the MTPF</w:t>
      </w:r>
      <w:r w:rsidR="6EEEB98D">
        <w:t xml:space="preserve"> </w:t>
      </w:r>
      <w:r>
        <w:t>A</w:t>
      </w:r>
      <w:r w:rsidR="6EEEB98D">
        <w:t>ct</w:t>
      </w:r>
      <w:r>
        <w:t xml:space="preserve"> for the interface with </w:t>
      </w:r>
      <w:r w:rsidR="3A75667A">
        <w:t>U</w:t>
      </w:r>
      <w:r>
        <w:t xml:space="preserve">tilities </w:t>
      </w:r>
      <w:r w:rsidR="6EEEB98D">
        <w:t xml:space="preserve">that </w:t>
      </w:r>
      <w:r>
        <w:t>includes</w:t>
      </w:r>
      <w:r w:rsidR="5F535BE8">
        <w:t>:</w:t>
      </w:r>
    </w:p>
    <w:p w14:paraId="07791198" w14:textId="6A16E7BF" w:rsidR="007B7760" w:rsidRDefault="7383905E" w:rsidP="0005402F">
      <w:pPr>
        <w:pStyle w:val="Bulletindent"/>
      </w:pPr>
      <w:r>
        <w:t xml:space="preserve">a process for negotiating </w:t>
      </w:r>
      <w:r w:rsidR="3A75667A">
        <w:t>U</w:t>
      </w:r>
      <w:r>
        <w:t xml:space="preserve">tility agreements with </w:t>
      </w:r>
      <w:r w:rsidR="3A75667A">
        <w:t>U</w:t>
      </w:r>
      <w:r>
        <w:t xml:space="preserve">tilities where the Project requires the relocation </w:t>
      </w:r>
      <w:r w:rsidR="3A75667A">
        <w:t xml:space="preserve">of </w:t>
      </w:r>
      <w:r>
        <w:t xml:space="preserve">or otherwise impacts those </w:t>
      </w:r>
      <w:r w:rsidR="3A75667A">
        <w:t>U</w:t>
      </w:r>
      <w:r>
        <w:t>tilities</w:t>
      </w:r>
      <w:r w:rsidR="3A75667A">
        <w:t>;</w:t>
      </w:r>
    </w:p>
    <w:p w14:paraId="5D83454F" w14:textId="2C8120AA" w:rsidR="002A524B" w:rsidRPr="002A524B" w:rsidRDefault="7383905E" w:rsidP="0005402F">
      <w:pPr>
        <w:pStyle w:val="Bulletindent"/>
      </w:pPr>
      <w:r>
        <w:t>a dispute resolution process, if no agreement is reached within the timeframes specified in the MTPF</w:t>
      </w:r>
      <w:r w:rsidR="3A75667A">
        <w:t xml:space="preserve"> </w:t>
      </w:r>
      <w:r>
        <w:t>A</w:t>
      </w:r>
      <w:r w:rsidR="3A75667A">
        <w:t>ct; and</w:t>
      </w:r>
    </w:p>
    <w:p w14:paraId="4AAD1A4D" w14:textId="6EDE3424" w:rsidR="002B5BB6" w:rsidRDefault="002B5BB6" w:rsidP="0005402F">
      <w:pPr>
        <w:pStyle w:val="Bulletindent"/>
      </w:pPr>
      <w:r w:rsidRPr="000C5369">
        <w:t xml:space="preserve">a process for the removal, relocation or protection of </w:t>
      </w:r>
      <w:r>
        <w:t>unknown</w:t>
      </w:r>
      <w:r w:rsidRPr="000C5369">
        <w:t xml:space="preserve"> </w:t>
      </w:r>
      <w:r>
        <w:t>U</w:t>
      </w:r>
      <w:r w:rsidRPr="000C5369">
        <w:t xml:space="preserve">tility </w:t>
      </w:r>
      <w:r>
        <w:t>I</w:t>
      </w:r>
      <w:r w:rsidRPr="000C5369">
        <w:t xml:space="preserve">nfrastructure </w:t>
      </w:r>
      <w:r>
        <w:t xml:space="preserve">encountered during the course of a Project </w:t>
      </w:r>
      <w:r w:rsidRPr="000C5369">
        <w:t xml:space="preserve">either by the </w:t>
      </w:r>
      <w:r>
        <w:t>U</w:t>
      </w:r>
      <w:r w:rsidRPr="000C5369">
        <w:t>tility or the project authority.</w:t>
      </w:r>
    </w:p>
    <w:p w14:paraId="15EAC4F0" w14:textId="16A76E82" w:rsidR="00067491" w:rsidRDefault="12321C94" w:rsidP="0005402F">
      <w:pPr>
        <w:pStyle w:val="NormalIndent"/>
      </w:pPr>
      <w:r>
        <w:t xml:space="preserve">Certain </w:t>
      </w:r>
      <w:r w:rsidR="3A75667A">
        <w:t>U</w:t>
      </w:r>
      <w:r>
        <w:t>tilities risk may be agreed to constitute Adjustment Events under the Adjustment Event Guidelines.</w:t>
      </w:r>
    </w:p>
    <w:p w14:paraId="6006BD20" w14:textId="229581A7" w:rsidR="00232F50" w:rsidRPr="00CB12DF" w:rsidRDefault="79789428" w:rsidP="00107F65">
      <w:pPr>
        <w:pStyle w:val="Heading2numbered"/>
      </w:pPr>
      <w:bookmarkStart w:id="2157" w:name="_Toc133577903"/>
      <w:bookmarkStart w:id="2158" w:name="_Toc145612598"/>
      <w:r>
        <w:t>Change in Law and Change in Policy</w:t>
      </w:r>
      <w:bookmarkEnd w:id="2157"/>
      <w:r w:rsidR="2236FE80">
        <w:t xml:space="preserve"> (clause</w:t>
      </w:r>
      <w:r w:rsidR="7865FA55" w:rsidRPr="2C5D2C8B">
        <w:rPr>
          <w:rFonts w:ascii="Calibri" w:hAnsi="Calibri" w:cs="Calibri"/>
        </w:rPr>
        <w:t> </w:t>
      </w:r>
      <w:r w:rsidR="2236FE80">
        <w:t>36 of the ITC Delivery Deed)</w:t>
      </w:r>
      <w:bookmarkEnd w:id="2158"/>
    </w:p>
    <w:p w14:paraId="7D9253C8" w14:textId="311BB0CB" w:rsidR="00232F50" w:rsidRDefault="79789428" w:rsidP="00107F65">
      <w:pPr>
        <w:pStyle w:val="Heading3numbered"/>
      </w:pPr>
      <w:r>
        <w:t>Obligations regarding Change in Law and Change in Policy</w:t>
      </w:r>
      <w:r w:rsidR="2236FE80">
        <w:t xml:space="preserve"> (clause</w:t>
      </w:r>
      <w:r w:rsidR="7865FA55" w:rsidRPr="2C5D2C8B">
        <w:rPr>
          <w:rFonts w:ascii="Calibri" w:hAnsi="Calibri" w:cs="Calibri"/>
        </w:rPr>
        <w:t> </w:t>
      </w:r>
      <w:r w:rsidR="2236FE80">
        <w:t>36.1 of the ITC Delivery Deed)</w:t>
      </w:r>
    </w:p>
    <w:p w14:paraId="71A513B8" w14:textId="2BD3F3D9" w:rsidR="00232F50" w:rsidRDefault="79789428" w:rsidP="0005402F">
      <w:pPr>
        <w:pStyle w:val="NormalIndent"/>
      </w:pPr>
      <w:r>
        <w:t xml:space="preserve">After becoming aware of any actual or likely Change in Law or Change in Policy </w:t>
      </w:r>
      <w:r w:rsidR="3A75667A">
        <w:t xml:space="preserve">that </w:t>
      </w:r>
      <w:r>
        <w:t xml:space="preserve">may have an impact on the Project, the </w:t>
      </w:r>
      <w:r w:rsidR="12321C94">
        <w:t>Contractor</w:t>
      </w:r>
      <w:r w:rsidR="629BCFA6">
        <w:t>’</w:t>
      </w:r>
      <w:r w:rsidR="12321C94">
        <w:t xml:space="preserve">s Activities </w:t>
      </w:r>
      <w:r>
        <w:t>or the Project Documents, the Contractor must submit a notice to the Principal.</w:t>
      </w:r>
    </w:p>
    <w:p w14:paraId="64F2619E" w14:textId="5A0B4CC4" w:rsidR="00232F50" w:rsidRDefault="00232F50" w:rsidP="0005402F">
      <w:pPr>
        <w:pStyle w:val="NormalIndent"/>
      </w:pPr>
      <w:r>
        <w:t>The Contractor must comply with any Change in Law.</w:t>
      </w:r>
    </w:p>
    <w:p w14:paraId="4197DA44" w14:textId="79B1A272" w:rsidR="00232F50" w:rsidRDefault="21D30149" w:rsidP="0005402F">
      <w:pPr>
        <w:pStyle w:val="NormalIndent"/>
      </w:pPr>
      <w:r>
        <w:t>The Contractor must comply with a Change in Policy</w:t>
      </w:r>
      <w:r w:rsidR="1011F179">
        <w:t>,</w:t>
      </w:r>
      <w:r>
        <w:t xml:space="preserve"> unless the Principal directs the Contractor not to comply with the relevant Change in Policy</w:t>
      </w:r>
      <w:r w:rsidR="79789428">
        <w:t>.</w:t>
      </w:r>
    </w:p>
    <w:p w14:paraId="799D43CF" w14:textId="071DC90A" w:rsidR="00232F50" w:rsidRDefault="79789428" w:rsidP="00107F65">
      <w:pPr>
        <w:pStyle w:val="Heading3numbered"/>
      </w:pPr>
      <w:r>
        <w:t>Change in Mandatory Requirements</w:t>
      </w:r>
      <w:r w:rsidR="2236FE80">
        <w:t xml:space="preserve"> (clauses</w:t>
      </w:r>
      <w:r w:rsidR="7865FA55" w:rsidRPr="2C5D2C8B">
        <w:rPr>
          <w:rFonts w:ascii="Calibri" w:hAnsi="Calibri" w:cs="Calibri"/>
        </w:rPr>
        <w:t> </w:t>
      </w:r>
      <w:r w:rsidR="2236FE80">
        <w:t>1 and 36.2 of the ITC Delivery Deed)</w:t>
      </w:r>
    </w:p>
    <w:p w14:paraId="1CE5ADFE" w14:textId="044EE063" w:rsidR="006218B1" w:rsidRDefault="37C8F958" w:rsidP="2C5D2C8B">
      <w:pPr>
        <w:pStyle w:val="NormalIndent"/>
      </w:pPr>
      <w:r>
        <w:t>The Principal retains the risk of Changes in Law and Changes in Policy that are Changes in Mandatory Requirement</w:t>
      </w:r>
      <w:r w:rsidR="45E15C73">
        <w:t>s</w:t>
      </w:r>
      <w:r>
        <w:t>. Not every Change in Law or Change in Policy is a Change in Mandatory Requirements. A Change in Mandatory Requirements occurs where:</w:t>
      </w:r>
    </w:p>
    <w:p w14:paraId="3E4FC787" w14:textId="2C62A70E" w:rsidR="00CC69CA" w:rsidRDefault="58E78088" w:rsidP="0005402F">
      <w:pPr>
        <w:pStyle w:val="Bulletindent"/>
      </w:pPr>
      <w:r>
        <w:t xml:space="preserve">a Change in Law occurs </w:t>
      </w:r>
      <w:r w:rsidR="45E15C73">
        <w:t xml:space="preserve">that </w:t>
      </w:r>
      <w:r>
        <w:t>(subject to exceptions):</w:t>
      </w:r>
    </w:p>
    <w:p w14:paraId="2E356652" w14:textId="364565FE" w:rsidR="004F4F49" w:rsidRDefault="308DAB7B" w:rsidP="0005402F">
      <w:pPr>
        <w:pStyle w:val="Bulletindent2"/>
      </w:pPr>
      <w:r>
        <w:t>requires a change to the Works or the Working Parameters</w:t>
      </w:r>
      <w:r w:rsidR="45E15C73">
        <w:t>;</w:t>
      </w:r>
      <w:r>
        <w:t xml:space="preserve"> and</w:t>
      </w:r>
    </w:p>
    <w:p w14:paraId="51A3311A" w14:textId="6646ABB3" w:rsidR="004F4F49" w:rsidRDefault="308DAB7B" w:rsidP="0005402F">
      <w:pPr>
        <w:pStyle w:val="Bulletindent2"/>
      </w:pPr>
      <w:r>
        <w:t>has a material cost or time impact (with specific cost and time thresholds included on a project-specific basis)</w:t>
      </w:r>
      <w:r w:rsidR="45E15C73">
        <w:t>;</w:t>
      </w:r>
      <w:r>
        <w:t xml:space="preserve"> or</w:t>
      </w:r>
    </w:p>
    <w:p w14:paraId="57EE4325" w14:textId="4923FAE6" w:rsidR="00EC744E" w:rsidRPr="00EC744E" w:rsidRDefault="32EDD53A" w:rsidP="0005402F">
      <w:pPr>
        <w:pStyle w:val="Bulletindent"/>
      </w:pPr>
      <w:r>
        <w:t xml:space="preserve">a Change in Policy (subject to exceptions) that is not a Change in EPA Standard occurs </w:t>
      </w:r>
      <w:r w:rsidR="60CF01C5">
        <w:t>that</w:t>
      </w:r>
      <w:r>
        <w:t>:</w:t>
      </w:r>
    </w:p>
    <w:p w14:paraId="6281EC07" w14:textId="68407323" w:rsidR="00ED74FB" w:rsidRDefault="777F68B1" w:rsidP="0005402F">
      <w:pPr>
        <w:pStyle w:val="Bulletindent2"/>
      </w:pPr>
      <w:r>
        <w:t>requires a Contractor to comply as a matter of Law</w:t>
      </w:r>
      <w:r w:rsidR="60CF01C5">
        <w:t>;</w:t>
      </w:r>
      <w:r>
        <w:t xml:space="preserve"> or</w:t>
      </w:r>
    </w:p>
    <w:p w14:paraId="2D48B890" w14:textId="61A080EB" w:rsidR="00ED74FB" w:rsidRDefault="777F68B1" w:rsidP="0005402F">
      <w:pPr>
        <w:pStyle w:val="Bulletindent2"/>
      </w:pPr>
      <w:r>
        <w:t>is the subject of a direction from the Principal to a Contractor to comply under clause</w:t>
      </w:r>
      <w:r w:rsidR="7865FA55" w:rsidRPr="2C5D2C8B">
        <w:rPr>
          <w:rFonts w:ascii="Calibri" w:hAnsi="Calibri" w:cs="Calibri"/>
        </w:rPr>
        <w:t> </w:t>
      </w:r>
      <w:r>
        <w:t>33.1(b)</w:t>
      </w:r>
      <w:r w:rsidR="60CF01C5">
        <w:t>;</w:t>
      </w:r>
      <w:r>
        <w:t xml:space="preserve"> or</w:t>
      </w:r>
    </w:p>
    <w:p w14:paraId="2F3356B7" w14:textId="5AEEB5F9" w:rsidR="00AB370D" w:rsidRPr="00AB370D" w:rsidRDefault="42F9AE1B" w:rsidP="0005402F">
      <w:pPr>
        <w:pStyle w:val="Bulletindent"/>
      </w:pPr>
      <w:r>
        <w:t xml:space="preserve">a Change in Policy that is a Change in EPA Standard occurs </w:t>
      </w:r>
      <w:r w:rsidR="60CF01C5">
        <w:t>that</w:t>
      </w:r>
      <w:r>
        <w:t>:</w:t>
      </w:r>
    </w:p>
    <w:p w14:paraId="03426647" w14:textId="15F150DD" w:rsidR="00133832" w:rsidRDefault="0DB2CF67" w:rsidP="0005402F">
      <w:pPr>
        <w:pStyle w:val="Bulletindent2"/>
      </w:pPr>
      <w:r>
        <w:t>requires a Contractor to comply under an EPA Statutory Instrument</w:t>
      </w:r>
      <w:r w:rsidR="60CF01C5">
        <w:t>;</w:t>
      </w:r>
      <w:r>
        <w:t xml:space="preserve"> or</w:t>
      </w:r>
    </w:p>
    <w:p w14:paraId="255A6665" w14:textId="54A34767" w:rsidR="00133832" w:rsidRDefault="0DB2CF67" w:rsidP="0005402F">
      <w:pPr>
        <w:pStyle w:val="Bulletindent2"/>
      </w:pPr>
      <w:r>
        <w:t>is the subject of a direction from the Principal to a Contractor to comply under clause</w:t>
      </w:r>
      <w:r w:rsidR="7865FA55" w:rsidRPr="2C5D2C8B">
        <w:rPr>
          <w:rFonts w:ascii="Calibri" w:hAnsi="Calibri" w:cs="Calibri"/>
        </w:rPr>
        <w:t> </w:t>
      </w:r>
      <w:r>
        <w:t>33.1(b)</w:t>
      </w:r>
      <w:r w:rsidR="60CF01C5">
        <w:t>;</w:t>
      </w:r>
      <w:r>
        <w:t xml:space="preserve"> and</w:t>
      </w:r>
    </w:p>
    <w:p w14:paraId="56A886DC" w14:textId="47FE9CF0" w:rsidR="00CC69CA" w:rsidRPr="00CC69CA" w:rsidRDefault="00133832" w:rsidP="0005402F">
      <w:pPr>
        <w:pStyle w:val="Bulletindent2"/>
      </w:pPr>
      <w:r>
        <w:t>has a material adverse effect on how the Contractor undertakes its Activities.</w:t>
      </w:r>
    </w:p>
    <w:p w14:paraId="30F9FA27" w14:textId="0A7B2AA5" w:rsidR="0061669F" w:rsidRDefault="79789428" w:rsidP="00400321">
      <w:pPr>
        <w:pStyle w:val="NormalIndent"/>
      </w:pPr>
      <w:r>
        <w:t xml:space="preserve">If a Change in Mandatory Requirements occurs, the </w:t>
      </w:r>
      <w:r w:rsidR="7367EBA6">
        <w:t xml:space="preserve">relevant Change in Law or Change in Policy </w:t>
      </w:r>
      <w:r w:rsidR="06DF7A42">
        <w:t>is</w:t>
      </w:r>
      <w:r>
        <w:t xml:space="preserve"> </w:t>
      </w:r>
      <w:r w:rsidR="7367EBA6">
        <w:t>deemed to be a Variation</w:t>
      </w:r>
      <w:r>
        <w:t xml:space="preserve">, and relief and compensation </w:t>
      </w:r>
      <w:r w:rsidR="06DF7A42">
        <w:t>are</w:t>
      </w:r>
      <w:r>
        <w:t xml:space="preserve"> provided in accordance with </w:t>
      </w:r>
      <w:r w:rsidR="7367EBA6">
        <w:t>the Variation regime under the ITC Delivery Deed</w:t>
      </w:r>
      <w:r>
        <w:t xml:space="preserve">. </w:t>
      </w:r>
      <w:r w:rsidR="7367EBA6">
        <w:t xml:space="preserve">The Contractor may </w:t>
      </w:r>
      <w:r w:rsidR="41AB113B">
        <w:t xml:space="preserve">also </w:t>
      </w:r>
      <w:r w:rsidR="7367EBA6">
        <w:t>be entitled to an Adjustment Event (Cost), an Adjustment Event (Time) and an Adjustment Event (KRA) to the extent the Variation constitutes a Scope Variation</w:t>
      </w:r>
      <w:r w:rsidR="309C2B5B">
        <w:t xml:space="preserve"> (see item </w:t>
      </w:r>
      <w:r w:rsidR="00232F50">
        <w:fldChar w:fldCharType="begin" w:fldLock="1"/>
      </w:r>
      <w:r w:rsidR="00232F50">
        <w:instrText xml:space="preserve"> REF _Ref132292409 \r \h  \* MERGEFORMAT </w:instrText>
      </w:r>
      <w:r w:rsidR="00232F50">
        <w:fldChar w:fldCharType="separate"/>
      </w:r>
      <w:r w:rsidR="00400321">
        <w:t>10</w:t>
      </w:r>
      <w:r w:rsidR="00232F50">
        <w:fldChar w:fldCharType="end"/>
      </w:r>
      <w:r w:rsidR="309C2B5B">
        <w:t xml:space="preserve"> in</w:t>
      </w:r>
      <w:r w:rsidR="6250D2F1">
        <w:t xml:space="preserve"> </w:t>
      </w:r>
      <w:r w:rsidR="00232F50">
        <w:fldChar w:fldCharType="begin" w:fldLock="1"/>
      </w:r>
      <w:r w:rsidR="00232F50">
        <w:instrText xml:space="preserve"> REF _Ref143095532 \h </w:instrText>
      </w:r>
      <w:r w:rsidR="00232F50">
        <w:fldChar w:fldCharType="separate"/>
      </w:r>
      <w:r w:rsidR="00400321">
        <w:t xml:space="preserve">Table </w:t>
      </w:r>
      <w:r w:rsidR="00400321">
        <w:rPr>
          <w:noProof/>
        </w:rPr>
        <w:t>1</w:t>
      </w:r>
      <w:r w:rsidR="00232F50">
        <w:fldChar w:fldCharType="end"/>
      </w:r>
      <w:r w:rsidR="309C2B5B">
        <w:t xml:space="preserve"> in section </w:t>
      </w:r>
      <w:r w:rsidR="00232F50">
        <w:fldChar w:fldCharType="begin" w:fldLock="1"/>
      </w:r>
      <w:r w:rsidR="00232F50">
        <w:instrText xml:space="preserve"> REF _Ref131510058 \r \h  \* MERGEFORMAT </w:instrText>
      </w:r>
      <w:r w:rsidR="00232F50">
        <w:fldChar w:fldCharType="separate"/>
      </w:r>
      <w:r w:rsidR="00400321">
        <w:t>5.5.1</w:t>
      </w:r>
      <w:r w:rsidR="00232F50">
        <w:fldChar w:fldCharType="end"/>
      </w:r>
      <w:r w:rsidR="309C2B5B">
        <w:t>)</w:t>
      </w:r>
      <w:r w:rsidR="7367EBA6">
        <w:t>.</w:t>
      </w:r>
    </w:p>
    <w:p w14:paraId="380A45DB" w14:textId="7ECA1E43" w:rsidR="00232F50" w:rsidRDefault="79789428" w:rsidP="0005402F">
      <w:pPr>
        <w:pStyle w:val="NormalIndent"/>
      </w:pPr>
      <w:r>
        <w:t xml:space="preserve">Certain </w:t>
      </w:r>
      <w:r w:rsidR="7367EBA6">
        <w:t>Changes in Law and Changes in Policy</w:t>
      </w:r>
      <w:r>
        <w:t xml:space="preserve"> will not</w:t>
      </w:r>
      <w:r w:rsidR="7367EBA6">
        <w:t xml:space="preserve"> be deemed to be a Variation</w:t>
      </w:r>
      <w:r w:rsidR="3AB27AED">
        <w:t>,</w:t>
      </w:r>
      <w:r w:rsidR="309C2B5B">
        <w:t xml:space="preserve"> as they</w:t>
      </w:r>
      <w:r>
        <w:t xml:space="preserve"> are specifically </w:t>
      </w:r>
      <w:r w:rsidR="7367EBA6">
        <w:t xml:space="preserve">excluded in the </w:t>
      </w:r>
      <w:r>
        <w:t xml:space="preserve">definition of Change in Mandatory Requirements. </w:t>
      </w:r>
      <w:r w:rsidR="7367EBA6">
        <w:t xml:space="preserve">These excluded Changes in Law and Changes in Policy are </w:t>
      </w:r>
      <w:r>
        <w:t>considered to be business</w:t>
      </w:r>
      <w:r w:rsidR="1C1660A8">
        <w:t>-</w:t>
      </w:r>
      <w:r>
        <w:t>as</w:t>
      </w:r>
      <w:r w:rsidR="1C1660A8">
        <w:t>-</w:t>
      </w:r>
      <w:r>
        <w:t>usual risks that should be accepted by the Contractor, and</w:t>
      </w:r>
      <w:r w:rsidR="7B9AD2D4">
        <w:t>,</w:t>
      </w:r>
      <w:r>
        <w:t xml:space="preserve"> where appropriate, a risk allowance may be included in the TOC.</w:t>
      </w:r>
    </w:p>
    <w:p w14:paraId="6F7B52EC" w14:textId="1DD08EF7" w:rsidR="00232F50" w:rsidRDefault="79789428" w:rsidP="00107F65">
      <w:pPr>
        <w:pStyle w:val="Heading2numbered"/>
      </w:pPr>
      <w:bookmarkStart w:id="2159" w:name="_Toc133577904"/>
      <w:bookmarkStart w:id="2160" w:name="_Ref479352305"/>
      <w:bookmarkStart w:id="2161" w:name="_Toc145612599"/>
      <w:r>
        <w:t xml:space="preserve">Force </w:t>
      </w:r>
      <w:r w:rsidR="1377117E">
        <w:t>M</w:t>
      </w:r>
      <w:r>
        <w:t>ajeure</w:t>
      </w:r>
      <w:bookmarkEnd w:id="2159"/>
      <w:bookmarkEnd w:id="2160"/>
      <w:r w:rsidR="2236FE80">
        <w:t xml:space="preserve"> (clauses 1, 27 and 41 of the ITC Delivery Deed)</w:t>
      </w:r>
      <w:bookmarkEnd w:id="2161"/>
    </w:p>
    <w:p w14:paraId="692925C3" w14:textId="0B19F64C" w:rsidR="00232F50" w:rsidRDefault="00232F50" w:rsidP="00107F65">
      <w:pPr>
        <w:pStyle w:val="Heading3numbered"/>
      </w:pPr>
      <w:bookmarkStart w:id="2162" w:name="_Ref132296805"/>
      <w:r>
        <w:t>General principle</w:t>
      </w:r>
      <w:bookmarkEnd w:id="2162"/>
    </w:p>
    <w:p w14:paraId="6A9A97C2" w14:textId="66E416A7" w:rsidR="00232F50" w:rsidRDefault="79789428" w:rsidP="0005402F">
      <w:pPr>
        <w:pStyle w:val="NormalIndent"/>
      </w:pPr>
      <w:r>
        <w:t xml:space="preserve">The purpose of the </w:t>
      </w:r>
      <w:r w:rsidR="59AFE834">
        <w:t>F</w:t>
      </w:r>
      <w:r>
        <w:t xml:space="preserve">orce </w:t>
      </w:r>
      <w:r w:rsidR="59AFE834">
        <w:t>M</w:t>
      </w:r>
      <w:r>
        <w:t xml:space="preserve">ajeure provisions is to give the Contractor (and the Principal) </w:t>
      </w:r>
      <w:r w:rsidR="73D7F7DF">
        <w:t xml:space="preserve">certain </w:t>
      </w:r>
      <w:r>
        <w:t xml:space="preserve">relief from </w:t>
      </w:r>
      <w:r w:rsidR="309C2B5B">
        <w:t>D</w:t>
      </w:r>
      <w:r>
        <w:t xml:space="preserve">efault and Liability in respect of a limited category of events </w:t>
      </w:r>
      <w:r w:rsidR="7F724BEF">
        <w:t xml:space="preserve">that </w:t>
      </w:r>
      <w:r>
        <w:t>are catastrophic, generally outside of the control of either party and prevent the Contractor (or the Principal) from performing all or a material part of its obligations under the ITC Delivery Deed.</w:t>
      </w:r>
    </w:p>
    <w:p w14:paraId="25B96FA7" w14:textId="60916B3F" w:rsidR="00E143E4" w:rsidRDefault="00E143E4" w:rsidP="0005402F">
      <w:pPr>
        <w:pStyle w:val="NormalIndent"/>
      </w:pPr>
      <w:r>
        <w:t>As neither party is likely to be in a better position than the other to manage either the occurrence or the effects of the Force Majeure Event, and the events may continue for a long period of time, such events are treated differently to other Relief Events. The entitlement to relief and compensation in the ITC Delivery Deed generally reflects the common law principle in respect of Force Majeure Events that the loss lies where it falls.</w:t>
      </w:r>
    </w:p>
    <w:p w14:paraId="65036EC9" w14:textId="7874D48E" w:rsidR="003F20CA" w:rsidRDefault="79789428" w:rsidP="00107F65">
      <w:pPr>
        <w:pStyle w:val="Heading3numbered"/>
      </w:pPr>
      <w:r>
        <w:t>Force Majeure Event</w:t>
      </w:r>
      <w:r w:rsidR="2236FE80">
        <w:t xml:space="preserve"> (clause</w:t>
      </w:r>
      <w:r w:rsidR="7865FA55" w:rsidRPr="2C5D2C8B">
        <w:rPr>
          <w:rFonts w:ascii="Calibri" w:hAnsi="Calibri" w:cs="Calibri"/>
        </w:rPr>
        <w:t> </w:t>
      </w:r>
      <w:r w:rsidR="2236FE80">
        <w:t>1 of the ITC Delivery Deed)</w:t>
      </w:r>
    </w:p>
    <w:p w14:paraId="777A178D" w14:textId="50A82EAF" w:rsidR="00E143E4" w:rsidRDefault="00E143E4" w:rsidP="0005402F">
      <w:pPr>
        <w:pStyle w:val="NormalIndent"/>
      </w:pPr>
      <w:r>
        <w:t xml:space="preserve">There are two limbs to the definition of </w:t>
      </w:r>
      <w:r w:rsidR="003F20CA">
        <w:t xml:space="preserve">Force Majeure Event </w:t>
      </w:r>
      <w:r w:rsidR="00232F50">
        <w:t>in the ITC Delivery Deed</w:t>
      </w:r>
      <w:r>
        <w:t>.</w:t>
      </w:r>
    </w:p>
    <w:p w14:paraId="59832718" w14:textId="419CE0AD" w:rsidR="00E143E4" w:rsidRDefault="73D7F7DF" w:rsidP="0005402F">
      <w:pPr>
        <w:pStyle w:val="NormalIndent"/>
      </w:pPr>
      <w:r>
        <w:t>Under the first limb, a Force Majeure Event occur</w:t>
      </w:r>
      <w:r w:rsidR="4C9A5F5E">
        <w:t>s</w:t>
      </w:r>
      <w:r>
        <w:t xml:space="preserve"> if an event listed in the definition occurs (</w:t>
      </w:r>
      <w:r w:rsidR="4C9A5F5E">
        <w:t>these</w:t>
      </w:r>
      <w:r>
        <w:t xml:space="preserve"> include </w:t>
      </w:r>
      <w:r w:rsidR="79789428">
        <w:t>natural disaster</w:t>
      </w:r>
      <w:r>
        <w:t>s, w</w:t>
      </w:r>
      <w:r w:rsidR="79789428">
        <w:t>inds producing sustained surface winds</w:t>
      </w:r>
      <w:r>
        <w:t xml:space="preserve"> in excess of a specified threshold, </w:t>
      </w:r>
      <w:r w:rsidR="79789428">
        <w:t>fire</w:t>
      </w:r>
      <w:r>
        <w:t>s</w:t>
      </w:r>
      <w:r w:rsidR="79789428">
        <w:t>, explosion</w:t>
      </w:r>
      <w:r>
        <w:t>s</w:t>
      </w:r>
      <w:r w:rsidR="79789428">
        <w:t xml:space="preserve"> or flood</w:t>
      </w:r>
      <w:r>
        <w:t>s</w:t>
      </w:r>
      <w:r w:rsidR="79789428">
        <w:t xml:space="preserve"> caused by natural disaster</w:t>
      </w:r>
      <w:r>
        <w:t>s and U</w:t>
      </w:r>
      <w:r w:rsidR="79789428">
        <w:t>ninsurable Risk</w:t>
      </w:r>
      <w:r>
        <w:t>s) and that event:</w:t>
      </w:r>
    </w:p>
    <w:p w14:paraId="4F9C32E5" w14:textId="6F7E029B" w:rsidR="00E143E4" w:rsidRDefault="79789428" w:rsidP="0005402F">
      <w:pPr>
        <w:pStyle w:val="Bulletindent"/>
      </w:pPr>
      <w:r>
        <w:t>occur</w:t>
      </w:r>
      <w:r w:rsidR="73D7F7DF">
        <w:t>s</w:t>
      </w:r>
      <w:r>
        <w:t xml:space="preserve"> </w:t>
      </w:r>
      <w:r w:rsidR="27285627">
        <w:t xml:space="preserve">at or </w:t>
      </w:r>
      <w:r>
        <w:t>in the direct vicinity of the Site</w:t>
      </w:r>
      <w:r w:rsidR="0543E5FE">
        <w:t>;</w:t>
      </w:r>
    </w:p>
    <w:p w14:paraId="6886851A" w14:textId="259A4CD2" w:rsidR="002A524B" w:rsidRPr="002A524B" w:rsidRDefault="73D7F7DF" w:rsidP="0005402F">
      <w:pPr>
        <w:pStyle w:val="Bulletindent"/>
      </w:pPr>
      <w:r>
        <w:t xml:space="preserve">was </w:t>
      </w:r>
      <w:r w:rsidR="79789428">
        <w:t>not caused by the Contractor</w:t>
      </w:r>
      <w:r w:rsidR="0543E5FE">
        <w:t>,</w:t>
      </w:r>
      <w:r w:rsidR="79789428">
        <w:t xml:space="preserve"> the Principal or any of their associated parties</w:t>
      </w:r>
      <w:r w:rsidR="0543E5FE">
        <w:t>;</w:t>
      </w:r>
      <w:r w:rsidR="113DBE45">
        <w:t xml:space="preserve"> and</w:t>
      </w:r>
    </w:p>
    <w:p w14:paraId="10A8B413" w14:textId="29316F45" w:rsidR="00232F50" w:rsidRDefault="00E143E4" w:rsidP="0005402F">
      <w:pPr>
        <w:pStyle w:val="Bulletindent"/>
      </w:pPr>
      <w:r>
        <w:t>p</w:t>
      </w:r>
      <w:r w:rsidR="00232F50">
        <w:t>revent</w:t>
      </w:r>
      <w:r>
        <w:t>s</w:t>
      </w:r>
      <w:r w:rsidR="00232F50">
        <w:t xml:space="preserve"> the Contractor from carrying out all or a material part of the Contractor’s Activities or the Principal from carrying out its obligations.</w:t>
      </w:r>
    </w:p>
    <w:p w14:paraId="2E8D3C32" w14:textId="766EF206" w:rsidR="00232F50" w:rsidRDefault="73D7F7DF" w:rsidP="0005402F">
      <w:pPr>
        <w:pStyle w:val="NormalIndent"/>
      </w:pPr>
      <w:r>
        <w:t>Under the second limb, a</w:t>
      </w:r>
      <w:r w:rsidR="79789428">
        <w:t xml:space="preserve"> Force Majeure Event </w:t>
      </w:r>
      <w:r>
        <w:t>occur</w:t>
      </w:r>
      <w:r w:rsidR="113DBE45">
        <w:t>s</w:t>
      </w:r>
      <w:r>
        <w:t xml:space="preserve"> to the extent that </w:t>
      </w:r>
      <w:r w:rsidR="79789428">
        <w:t xml:space="preserve">the circumstances leading </w:t>
      </w:r>
      <w:r>
        <w:t>to a direction from the Principal to suspend the Contractor</w:t>
      </w:r>
      <w:r w:rsidR="629BCFA6">
        <w:t>’</w:t>
      </w:r>
      <w:r>
        <w:t>s Activities we</w:t>
      </w:r>
      <w:r w:rsidR="79789428">
        <w:t>re a Force Majeure Event (see clause</w:t>
      </w:r>
      <w:r w:rsidR="7865FA55" w:rsidRPr="2C5D2C8B">
        <w:rPr>
          <w:rFonts w:ascii="Calibri" w:hAnsi="Calibri" w:cs="Calibri"/>
        </w:rPr>
        <w:t> </w:t>
      </w:r>
      <w:r w:rsidR="79789428">
        <w:t>3</w:t>
      </w:r>
      <w:r w:rsidR="2236FE80">
        <w:t>7</w:t>
      </w:r>
      <w:r w:rsidR="79789428">
        <w:t>.1(b)(ii)</w:t>
      </w:r>
      <w:r w:rsidR="2236FE80">
        <w:t xml:space="preserve"> of the ITC Delivery Deed</w:t>
      </w:r>
      <w:r w:rsidR="79789428">
        <w:t>)</w:t>
      </w:r>
      <w:r w:rsidR="27285627">
        <w:t>.</w:t>
      </w:r>
    </w:p>
    <w:p w14:paraId="0C8D1DA8" w14:textId="1C51A00D" w:rsidR="00232F50" w:rsidRDefault="613C8CBE" w:rsidP="00107F65">
      <w:pPr>
        <w:pStyle w:val="Heading3numbered"/>
      </w:pPr>
      <w:r>
        <w:t>Potential relief</w:t>
      </w:r>
      <w:r w:rsidR="2236FE80">
        <w:t xml:space="preserve"> (clauses</w:t>
      </w:r>
      <w:r w:rsidR="7865FA55" w:rsidRPr="2C5D2C8B">
        <w:rPr>
          <w:rFonts w:ascii="Calibri" w:hAnsi="Calibri" w:cs="Calibri"/>
        </w:rPr>
        <w:t> </w:t>
      </w:r>
      <w:r w:rsidR="2236FE80">
        <w:t>27.5 and 27.7</w:t>
      </w:r>
      <w:r w:rsidR="06B027D1">
        <w:t xml:space="preserve"> of</w:t>
      </w:r>
      <w:r w:rsidR="001A0F9D">
        <w:t xml:space="preserve"> ITC Delivery Deed)</w:t>
      </w:r>
      <w:r w:rsidR="06B027D1">
        <w:t>,</w:t>
      </w:r>
      <w:r w:rsidR="2236FE80">
        <w:t xml:space="preserve"> and </w:t>
      </w:r>
      <w:r w:rsidR="1133178F">
        <w:t>S</w:t>
      </w:r>
      <w:r w:rsidR="2236FE80">
        <w:t>chedule</w:t>
      </w:r>
      <w:r w:rsidR="7865FA55" w:rsidRPr="2C5D2C8B">
        <w:rPr>
          <w:rFonts w:ascii="Calibri" w:hAnsi="Calibri" w:cs="Calibri"/>
        </w:rPr>
        <w:t> </w:t>
      </w:r>
      <w:r w:rsidR="2236FE80">
        <w:t>15 to</w:t>
      </w:r>
      <w:r w:rsidR="06B027D1">
        <w:t>,</w:t>
      </w:r>
      <w:r w:rsidR="2236FE80">
        <w:t xml:space="preserve"> the ITC Delivery Deed)</w:t>
      </w:r>
    </w:p>
    <w:p w14:paraId="10C0A4C6" w14:textId="2FCC4BE4" w:rsidR="00232F50" w:rsidRDefault="4A75677A" w:rsidP="00AB543D">
      <w:pPr>
        <w:pStyle w:val="NormalIndent"/>
        <w:ind w:right="116"/>
      </w:pPr>
      <w:r>
        <w:t xml:space="preserve">A Force Majeure Event is an Adjustment Event (Time) (see </w:t>
      </w:r>
      <w:r w:rsidR="4BF6C959">
        <w:t>item</w:t>
      </w:r>
      <w:r w:rsidR="7865FA55" w:rsidRPr="2C5D2C8B">
        <w:rPr>
          <w:rFonts w:ascii="Calibri" w:hAnsi="Calibri" w:cs="Calibri"/>
        </w:rPr>
        <w:t> </w:t>
      </w:r>
      <w:r w:rsidR="00E2000D">
        <w:fldChar w:fldCharType="begin" w:fldLock="1"/>
      </w:r>
      <w:r w:rsidR="00E2000D">
        <w:instrText xml:space="preserve"> REF _Ref132295082 \r \h  \* MERGEFORMAT </w:instrText>
      </w:r>
      <w:r w:rsidR="00E2000D">
        <w:fldChar w:fldCharType="separate"/>
      </w:r>
      <w:r w:rsidR="00400321">
        <w:t>13</w:t>
      </w:r>
      <w:r w:rsidR="00E2000D">
        <w:fldChar w:fldCharType="end"/>
      </w:r>
      <w:r w:rsidR="4BF6C959">
        <w:t xml:space="preserve"> in</w:t>
      </w:r>
      <w:r w:rsidR="38752859">
        <w:t xml:space="preserve"> </w:t>
      </w:r>
      <w:r w:rsidR="00E2000D">
        <w:fldChar w:fldCharType="begin" w:fldLock="1"/>
      </w:r>
      <w:r w:rsidR="00E2000D">
        <w:instrText xml:space="preserve"> REF _Ref143095532 \h </w:instrText>
      </w:r>
      <w:r w:rsidR="00E2000D">
        <w:fldChar w:fldCharType="separate"/>
      </w:r>
      <w:r w:rsidR="00400321">
        <w:t xml:space="preserve">Table </w:t>
      </w:r>
      <w:r w:rsidR="00400321">
        <w:rPr>
          <w:noProof/>
        </w:rPr>
        <w:t>1</w:t>
      </w:r>
      <w:r w:rsidR="00E2000D">
        <w:fldChar w:fldCharType="end"/>
      </w:r>
      <w:r w:rsidR="4BF6C959">
        <w:t xml:space="preserve"> in section </w:t>
      </w:r>
      <w:r w:rsidR="00E2000D">
        <w:fldChar w:fldCharType="begin" w:fldLock="1"/>
      </w:r>
      <w:r w:rsidR="00E2000D">
        <w:instrText xml:space="preserve"> REF _Ref131510058 \r \h  \* MERGEFORMAT </w:instrText>
      </w:r>
      <w:r w:rsidR="00E2000D">
        <w:fldChar w:fldCharType="separate"/>
      </w:r>
      <w:r w:rsidR="00400321">
        <w:t>5.5.1</w:t>
      </w:r>
      <w:r w:rsidR="00E2000D">
        <w:fldChar w:fldCharType="end"/>
      </w:r>
      <w:r>
        <w:t xml:space="preserve">). </w:t>
      </w:r>
      <w:r w:rsidR="4217196B">
        <w:t>Consequently, p</w:t>
      </w:r>
      <w:r>
        <w:t xml:space="preserve">rovided the </w:t>
      </w:r>
      <w:r w:rsidR="0C3D61B9">
        <w:t>C</w:t>
      </w:r>
      <w:r>
        <w:t xml:space="preserve">ondition </w:t>
      </w:r>
      <w:r w:rsidR="0C3D61B9">
        <w:t>P</w:t>
      </w:r>
      <w:r>
        <w:t xml:space="preserve">recedent to the Contractor’s entitlement </w:t>
      </w:r>
      <w:r w:rsidR="4217196B">
        <w:t xml:space="preserve">to an extension of time </w:t>
      </w:r>
      <w:r w:rsidR="63973CDA">
        <w:t>i</w:t>
      </w:r>
      <w:r w:rsidR="3B69A9CA">
        <w:t>s</w:t>
      </w:r>
      <w:r w:rsidR="63973CDA">
        <w:t xml:space="preserve"> </w:t>
      </w:r>
      <w:r>
        <w:t>satisfied</w:t>
      </w:r>
      <w:r w:rsidR="4217196B">
        <w:t xml:space="preserve"> (see section </w:t>
      </w:r>
      <w:r w:rsidR="00E2000D">
        <w:fldChar w:fldCharType="begin" w:fldLock="1"/>
      </w:r>
      <w:r w:rsidR="00E2000D">
        <w:instrText xml:space="preserve"> REF _Ref132295263 \r \h  \* MERGEFORMAT </w:instrText>
      </w:r>
      <w:r w:rsidR="00E2000D">
        <w:fldChar w:fldCharType="separate"/>
      </w:r>
      <w:r w:rsidR="00400321">
        <w:t>5.12.3.1</w:t>
      </w:r>
      <w:r w:rsidR="00E2000D">
        <w:fldChar w:fldCharType="end"/>
      </w:r>
      <w:r w:rsidR="4217196B">
        <w:t>)</w:t>
      </w:r>
      <w:r>
        <w:t xml:space="preserve">, </w:t>
      </w:r>
      <w:r w:rsidR="4217196B">
        <w:t>the occurrence of a Force Majeure Event entitle</w:t>
      </w:r>
      <w:r w:rsidR="7DEC617D">
        <w:t>s</w:t>
      </w:r>
      <w:r w:rsidR="4217196B">
        <w:t xml:space="preserve"> the Contractor to</w:t>
      </w:r>
      <w:r w:rsidR="613C8CBE">
        <w:t xml:space="preserve"> claim</w:t>
      </w:r>
      <w:r w:rsidR="4217196B">
        <w:t xml:space="preserve"> an extension of time to the relevant Date for Completion</w:t>
      </w:r>
      <w:r w:rsidR="613C8CBE">
        <w:t xml:space="preserve"> for the period of delay caused by the Force Majeure Event</w:t>
      </w:r>
      <w:r w:rsidR="4217196B">
        <w:t>.</w:t>
      </w:r>
    </w:p>
    <w:p w14:paraId="076C933B" w14:textId="4447D73F" w:rsidR="00C00C1E" w:rsidRDefault="613C8CBE" w:rsidP="0005402F">
      <w:pPr>
        <w:pStyle w:val="NormalIndent"/>
      </w:pPr>
      <w:r>
        <w:t>As a Force Majeure Event is not an Adjustment Event (Cost) or Adjustment Event (KRA)</w:t>
      </w:r>
      <w:r w:rsidR="00BE4013">
        <w:t>, t</w:t>
      </w:r>
      <w:r>
        <w:t xml:space="preserve">he occurrence of a Force Majeure Event </w:t>
      </w:r>
      <w:r w:rsidR="7DEC617D">
        <w:t xml:space="preserve">does </w:t>
      </w:r>
      <w:r>
        <w:t>not entitle the Contractor to claim an adjustment to the TOC or the KRAs.</w:t>
      </w:r>
    </w:p>
    <w:p w14:paraId="625C534E" w14:textId="71870560" w:rsidR="00232F50" w:rsidRDefault="4CF43490" w:rsidP="00107F65">
      <w:pPr>
        <w:pStyle w:val="Heading3numbered"/>
      </w:pPr>
      <w:r>
        <w:t>Limitation on Principal Liability to the Contractor for Force Majeure Events</w:t>
      </w:r>
      <w:r w:rsidR="2236FE80">
        <w:t xml:space="preserve"> (clause</w:t>
      </w:r>
      <w:r w:rsidR="7865FA55" w:rsidRPr="2C5D2C8B">
        <w:rPr>
          <w:rFonts w:ascii="Calibri" w:hAnsi="Calibri" w:cs="Calibri"/>
        </w:rPr>
        <w:t> </w:t>
      </w:r>
      <w:r w:rsidR="2236FE80">
        <w:t>41.14 of the ITC Delivery Deed)</w:t>
      </w:r>
    </w:p>
    <w:p w14:paraId="6FD1777C" w14:textId="4869D4FC" w:rsidR="00C746A1" w:rsidRDefault="4CF43490" w:rsidP="0005402F">
      <w:pPr>
        <w:pStyle w:val="NormalIndent"/>
      </w:pPr>
      <w:r>
        <w:t>As a Force Majeure Event is a Relief Event, the Principal</w:t>
      </w:r>
      <w:r w:rsidR="629BCFA6">
        <w:t>’</w:t>
      </w:r>
      <w:r>
        <w:t xml:space="preserve">s Liability to the Contractor in connection with a Force Majeure Event </w:t>
      </w:r>
      <w:r w:rsidR="2663AF0D">
        <w:t>is</w:t>
      </w:r>
      <w:r>
        <w:t xml:space="preserve"> reduced to the extent that:</w:t>
      </w:r>
    </w:p>
    <w:p w14:paraId="7DCC3F4A" w14:textId="14C23549" w:rsidR="002A524B" w:rsidRPr="002A524B" w:rsidRDefault="4CF43490" w:rsidP="0005402F">
      <w:pPr>
        <w:pStyle w:val="Bulletindent"/>
      </w:pPr>
      <w:r>
        <w:t>the Force Majeure Event or the consequences of the Force Majeure Event are caused or contributed to by a Contractor Act or Omission</w:t>
      </w:r>
      <w:r w:rsidR="2663AF0D">
        <w:t xml:space="preserve">; </w:t>
      </w:r>
      <w:r w:rsidR="6E54B03E">
        <w:t>or</w:t>
      </w:r>
    </w:p>
    <w:p w14:paraId="7AD5E0FE" w14:textId="0C0C0FFC" w:rsidR="00501FF7" w:rsidRDefault="4CF43490" w:rsidP="0005402F">
      <w:pPr>
        <w:pStyle w:val="Bulletindent"/>
      </w:pPr>
      <w:r>
        <w:t xml:space="preserve">the Contractor or any Contractor Associate fails to take all reasonable steps </w:t>
      </w:r>
      <w:r w:rsidR="587DFC81">
        <w:t xml:space="preserve">that </w:t>
      </w:r>
      <w:r>
        <w:t>a prudent, competent and experienced contractor in the circumstances of the Contractor or the relevant Contractor Associate exercising Best D&amp;C Practices would take to mitigate, minimise or avoid the effects, consequences or duration of the Force Majeure Event.</w:t>
      </w:r>
    </w:p>
    <w:p w14:paraId="73828E02" w14:textId="61B8DEE8" w:rsidR="00232F50" w:rsidRDefault="00232F50" w:rsidP="00107F65">
      <w:pPr>
        <w:pStyle w:val="Heading3numbered"/>
      </w:pPr>
      <w:r>
        <w:t>Project</w:t>
      </w:r>
      <w:r w:rsidR="007C277D">
        <w:t>-specific</w:t>
      </w:r>
      <w:r>
        <w:t xml:space="preserve"> amendments</w:t>
      </w:r>
    </w:p>
    <w:p w14:paraId="728EDC1C" w14:textId="3E82E7CE" w:rsidR="00232F50" w:rsidRDefault="79789428" w:rsidP="0005402F">
      <w:pPr>
        <w:pStyle w:val="NormalIndent"/>
      </w:pPr>
      <w:r>
        <w:t xml:space="preserve">The definition of </w:t>
      </w:r>
      <w:r w:rsidR="0D31E0E6">
        <w:t xml:space="preserve">a </w:t>
      </w:r>
      <w:r>
        <w:t>Force Majeure Event require consideration on a project</w:t>
      </w:r>
      <w:r w:rsidR="0C9053DD">
        <w:t>-specific</w:t>
      </w:r>
      <w:r>
        <w:t xml:space="preserve"> basis. The following principles should be applied</w:t>
      </w:r>
      <w:r w:rsidR="54DFE344">
        <w:t>.</w:t>
      </w:r>
    </w:p>
    <w:p w14:paraId="6D9F01E6" w14:textId="43A49F4C" w:rsidR="00232F50" w:rsidRDefault="54DFE344" w:rsidP="0005402F">
      <w:pPr>
        <w:pStyle w:val="Bulletindent"/>
      </w:pPr>
      <w:r>
        <w:t>A</w:t>
      </w:r>
      <w:r w:rsidR="79789428">
        <w:t xml:space="preserve">ll Force Majeure Events should align with the general principle set out </w:t>
      </w:r>
      <w:r w:rsidR="4CF43490">
        <w:t xml:space="preserve">above in </w:t>
      </w:r>
      <w:r w:rsidR="07AAC82B">
        <w:t>s</w:t>
      </w:r>
      <w:r w:rsidR="4CF43490">
        <w:t>ection</w:t>
      </w:r>
      <w:r w:rsidR="7865FA55" w:rsidRPr="2C5D2C8B">
        <w:rPr>
          <w:rFonts w:ascii="Calibri" w:hAnsi="Calibri"/>
        </w:rPr>
        <w:t> </w:t>
      </w:r>
      <w:r w:rsidR="00FE2971">
        <w:fldChar w:fldCharType="begin" w:fldLock="1"/>
      </w:r>
      <w:r w:rsidR="00FE2971">
        <w:instrText xml:space="preserve"> REF _Ref132296805 \r \h </w:instrText>
      </w:r>
      <w:r w:rsidR="00FE2971">
        <w:fldChar w:fldCharType="separate"/>
      </w:r>
      <w:r w:rsidR="00400321">
        <w:t>5.10.1</w:t>
      </w:r>
      <w:r w:rsidR="00FE2971">
        <w:fldChar w:fldCharType="end"/>
      </w:r>
      <w:r>
        <w:t>.</w:t>
      </w:r>
    </w:p>
    <w:p w14:paraId="178623F0" w14:textId="7DCD7265" w:rsidR="002A524B" w:rsidRPr="002A524B" w:rsidRDefault="54DFE344" w:rsidP="0005402F">
      <w:pPr>
        <w:pStyle w:val="Bulletindent"/>
      </w:pPr>
      <w:r>
        <w:t>T</w:t>
      </w:r>
      <w:r w:rsidR="79789428">
        <w:t xml:space="preserve">ropical cyclone has been considered by the Principal and excluded from the definition on the basis that, by definition, these events do not occur in Victoria. However, the reference to high winds in paragraph (a)(ii) </w:t>
      </w:r>
      <w:r w:rsidR="4CF43490">
        <w:t xml:space="preserve">of the definition </w:t>
      </w:r>
      <w:r w:rsidR="79789428">
        <w:t xml:space="preserve">has been included </w:t>
      </w:r>
      <w:r w:rsidR="4BD5CEA6">
        <w:t xml:space="preserve">in case </w:t>
      </w:r>
      <w:r w:rsidR="79789428">
        <w:t xml:space="preserve">the </w:t>
      </w:r>
      <w:r w:rsidR="4CF43490">
        <w:t xml:space="preserve">procuring </w:t>
      </w:r>
      <w:r w:rsidR="16CD9D94">
        <w:t>agency</w:t>
      </w:r>
      <w:r w:rsidR="4CF43490">
        <w:t xml:space="preserve"> </w:t>
      </w:r>
      <w:r w:rsidR="79789428">
        <w:t xml:space="preserve">considers it appropriate to give relief for </w:t>
      </w:r>
      <w:r w:rsidR="629BCFA6">
        <w:t>‘</w:t>
      </w:r>
      <w:r w:rsidR="79789428">
        <w:t>cyclonic</w:t>
      </w:r>
      <w:r w:rsidR="629BCFA6">
        <w:t>’</w:t>
      </w:r>
      <w:r w:rsidR="79789428">
        <w:t xml:space="preserve"> winds</w:t>
      </w:r>
      <w:r w:rsidR="24C97FB5">
        <w:t>.</w:t>
      </w:r>
    </w:p>
    <w:p w14:paraId="3A4DF7BE" w14:textId="181D8973" w:rsidR="00232F50" w:rsidRDefault="24C97FB5" w:rsidP="0005402F">
      <w:pPr>
        <w:pStyle w:val="Bulletindent"/>
      </w:pPr>
      <w:r>
        <w:t>T</w:t>
      </w:r>
      <w:r w:rsidR="79789428">
        <w:t xml:space="preserve">he definition is limited to events that occur at or in the direct vicinity of the </w:t>
      </w:r>
      <w:r w:rsidR="3A9EE5EE">
        <w:t>Site</w:t>
      </w:r>
      <w:r w:rsidR="79789428">
        <w:t>. Taking into account project</w:t>
      </w:r>
      <w:r w:rsidR="0C9053DD">
        <w:t>-specific</w:t>
      </w:r>
      <w:r w:rsidR="79789428">
        <w:t xml:space="preserve"> considerations, in very limited circumstances</w:t>
      </w:r>
      <w:r>
        <w:t>,</w:t>
      </w:r>
      <w:r w:rsidR="79789428">
        <w:t xml:space="preserve"> the Principal may agree to extend the </w:t>
      </w:r>
      <w:r>
        <w:t>F</w:t>
      </w:r>
      <w:r w:rsidR="79789428">
        <w:t xml:space="preserve">orce </w:t>
      </w:r>
      <w:r>
        <w:t>M</w:t>
      </w:r>
      <w:r w:rsidR="79789428">
        <w:t xml:space="preserve">ajeure </w:t>
      </w:r>
      <w:r w:rsidR="6B9072E6">
        <w:t>R</w:t>
      </w:r>
      <w:r w:rsidR="79789428">
        <w:t xml:space="preserve">egime to other </w:t>
      </w:r>
      <w:r w:rsidR="4CF43490">
        <w:t>locations</w:t>
      </w:r>
      <w:r w:rsidR="79789428">
        <w:t xml:space="preserve"> (including outside Victoria or Australia). For example, this may be appropriate where a large and critical item required for the Works with a long lead time is manufactured in a different location.</w:t>
      </w:r>
    </w:p>
    <w:p w14:paraId="05C7AE2D" w14:textId="25FCFFE9" w:rsidR="00FC1086" w:rsidRPr="00C746A1" w:rsidRDefault="00DF45C6" w:rsidP="002D4E53">
      <w:pPr>
        <w:pStyle w:val="Heading2numbered"/>
      </w:pPr>
      <w:bookmarkStart w:id="2163" w:name="_Toc133577905"/>
      <w:bookmarkStart w:id="2164" w:name="_Toc145612600"/>
      <w:r w:rsidRPr="00C746A1">
        <w:t>Pandemics</w:t>
      </w:r>
      <w:bookmarkEnd w:id="2163"/>
      <w:r w:rsidR="006218B1">
        <w:t xml:space="preserve"> </w:t>
      </w:r>
      <w:r w:rsidR="006218B1" w:rsidRPr="006218B1">
        <w:t>(clauses</w:t>
      </w:r>
      <w:r w:rsidR="00754976" w:rsidRPr="00754976">
        <w:rPr>
          <w:rFonts w:ascii="Calibri" w:hAnsi="Calibri" w:cs="Calibri"/>
        </w:rPr>
        <w:t> </w:t>
      </w:r>
      <w:r w:rsidR="006218B1" w:rsidRPr="006218B1">
        <w:t>1 and 6A of the ITC Delivery Deed)</w:t>
      </w:r>
      <w:bookmarkEnd w:id="2164"/>
    </w:p>
    <w:p w14:paraId="60095828" w14:textId="56C14DC2" w:rsidR="00042147" w:rsidRDefault="00042147" w:rsidP="002D4E53">
      <w:pPr>
        <w:pStyle w:val="Heading3numbered"/>
      </w:pPr>
      <w:r w:rsidRPr="00042147">
        <w:t>Introduction</w:t>
      </w:r>
    </w:p>
    <w:p w14:paraId="6187E44D" w14:textId="01E9DC01" w:rsidR="00042147" w:rsidRDefault="00D02A69" w:rsidP="0005402F">
      <w:pPr>
        <w:pStyle w:val="NormalIndent"/>
      </w:pPr>
      <w:r>
        <w:t>‘</w:t>
      </w:r>
      <w:r w:rsidR="00042147" w:rsidRPr="00042147">
        <w:t>Pandemic</w:t>
      </w:r>
      <w:r>
        <w:t>’</w:t>
      </w:r>
      <w:r w:rsidR="00042147" w:rsidRPr="00042147">
        <w:t xml:space="preserve"> is defined</w:t>
      </w:r>
      <w:r w:rsidR="00BA47A9">
        <w:t xml:space="preserve"> in the ITC Delivery Deed</w:t>
      </w:r>
      <w:r w:rsidR="00042147" w:rsidRPr="00042147">
        <w:t xml:space="preserve"> as COVID-19 and any other pandemic declared by the World Health Organi</w:t>
      </w:r>
      <w:r w:rsidR="003541CF">
        <w:t>zation</w:t>
      </w:r>
      <w:r w:rsidR="00042147" w:rsidRPr="00042147">
        <w:t>.</w:t>
      </w:r>
    </w:p>
    <w:p w14:paraId="1211B659" w14:textId="2B8A25C4" w:rsidR="00B16FA8" w:rsidRPr="00042147" w:rsidRDefault="00BA47A9" w:rsidP="002D4E53">
      <w:pPr>
        <w:pStyle w:val="Heading4numbered"/>
      </w:pPr>
      <w:r>
        <w:t xml:space="preserve">The Initial </w:t>
      </w:r>
      <w:r w:rsidR="00B16FA8">
        <w:t>Pandemic Management Plan</w:t>
      </w:r>
    </w:p>
    <w:p w14:paraId="62B116FC" w14:textId="59742B66" w:rsidR="00BA47A9" w:rsidRDefault="00BA47A9" w:rsidP="00171513">
      <w:pPr>
        <w:pStyle w:val="Heading5"/>
      </w:pPr>
      <w:r>
        <w:t>Initial Pandemic Management Plan</w:t>
      </w:r>
    </w:p>
    <w:p w14:paraId="781B2B29" w14:textId="4AA9DBAE" w:rsidR="00B16FA8" w:rsidRDefault="7F7FD074" w:rsidP="0005402F">
      <w:pPr>
        <w:pStyle w:val="NormalIndent"/>
      </w:pPr>
      <w:r>
        <w:t xml:space="preserve">During the </w:t>
      </w:r>
      <w:r w:rsidR="3AAC9B15">
        <w:t>Development Phase</w:t>
      </w:r>
      <w:r>
        <w:t>,</w:t>
      </w:r>
      <w:r w:rsidR="3AAC9B15">
        <w:t xml:space="preserve"> the Shortlisted</w:t>
      </w:r>
      <w:r>
        <w:t xml:space="preserve"> Respondent </w:t>
      </w:r>
      <w:r w:rsidR="1E994E0E">
        <w:t>is</w:t>
      </w:r>
      <w:r>
        <w:t xml:space="preserve"> required to </w:t>
      </w:r>
      <w:r w:rsidR="3AAC9B15">
        <w:t xml:space="preserve">submit a </w:t>
      </w:r>
      <w:r w:rsidR="7DFEC126">
        <w:t>P</w:t>
      </w:r>
      <w:r w:rsidR="3AAC9B15">
        <w:t xml:space="preserve">andemic </w:t>
      </w:r>
      <w:r w:rsidR="7DFEC126">
        <w:t>M</w:t>
      </w:r>
      <w:r w:rsidR="3AAC9B15">
        <w:t xml:space="preserve">anagement </w:t>
      </w:r>
      <w:r w:rsidR="7DFEC126">
        <w:t>P</w:t>
      </w:r>
      <w:r w:rsidR="3AAC9B15">
        <w:t xml:space="preserve">lan as part of its Delivery Phase Offer. For the </w:t>
      </w:r>
      <w:r w:rsidR="1DCD0E2E">
        <w:t>S</w:t>
      </w:r>
      <w:r w:rsidR="3AAC9B15">
        <w:t xml:space="preserve">uccessful Respondent, this version of the </w:t>
      </w:r>
      <w:r w:rsidR="2242EECB">
        <w:t>P</w:t>
      </w:r>
      <w:r w:rsidR="3AAC9B15">
        <w:t xml:space="preserve">andemic </w:t>
      </w:r>
      <w:r w:rsidR="2242EECB">
        <w:t>M</w:t>
      </w:r>
      <w:r w:rsidR="3AAC9B15">
        <w:t xml:space="preserve">anagement </w:t>
      </w:r>
      <w:r w:rsidR="2242EECB">
        <w:t>P</w:t>
      </w:r>
      <w:r w:rsidR="3AAC9B15">
        <w:t>lan become</w:t>
      </w:r>
      <w:r w:rsidR="2242EECB">
        <w:t>s</w:t>
      </w:r>
      <w:r w:rsidR="3AAC9B15">
        <w:t xml:space="preserve"> the</w:t>
      </w:r>
      <w:r>
        <w:t xml:space="preserve"> Initial Pandemic Management Plan </w:t>
      </w:r>
      <w:r w:rsidR="3AAC9B15">
        <w:t xml:space="preserve">and </w:t>
      </w:r>
      <w:r w:rsidR="20AA3C79">
        <w:t>is</w:t>
      </w:r>
      <w:r w:rsidR="3AAC9B15">
        <w:t xml:space="preserve"> set out with the other Bid Plans in Attachment</w:t>
      </w:r>
      <w:r w:rsidR="7865FA55" w:rsidRPr="2C5D2C8B">
        <w:rPr>
          <w:rFonts w:ascii="Calibri" w:hAnsi="Calibri" w:cs="Calibri"/>
        </w:rPr>
        <w:t> </w:t>
      </w:r>
      <w:r w:rsidR="3AAC9B15">
        <w:t>4 to the ITC Delivery Deed.</w:t>
      </w:r>
    </w:p>
    <w:p w14:paraId="0AE74B61" w14:textId="69444AE6" w:rsidR="00BA47A9" w:rsidRDefault="3AAC9B15" w:rsidP="0005402F">
      <w:pPr>
        <w:pStyle w:val="NormalIndent"/>
      </w:pPr>
      <w:r>
        <w:t xml:space="preserve">The Initial Pandemic Management Plan </w:t>
      </w:r>
      <w:r w:rsidR="7A1D2108">
        <w:t>include</w:t>
      </w:r>
      <w:r w:rsidR="20AA3C79">
        <w:t>s</w:t>
      </w:r>
      <w:r w:rsidR="7A1D2108">
        <w:t xml:space="preserve"> all mitigation measures the Contractor is implementing with respect to COVID-19 and those in response to any and all:</w:t>
      </w:r>
    </w:p>
    <w:p w14:paraId="77140517" w14:textId="44F3C713" w:rsidR="002A524B" w:rsidRPr="002A524B" w:rsidRDefault="7A1D2108" w:rsidP="0005402F">
      <w:pPr>
        <w:pStyle w:val="Bulletindent"/>
      </w:pPr>
      <w:r>
        <w:t>Legislation in response to COVID-19</w:t>
      </w:r>
      <w:r w:rsidR="16882B0A">
        <w:t>; and</w:t>
      </w:r>
    </w:p>
    <w:p w14:paraId="44869D51" w14:textId="4C3A63D0" w:rsidR="00BA47A9" w:rsidRDefault="00BA47A9" w:rsidP="0005402F">
      <w:pPr>
        <w:pStyle w:val="Bulletindent"/>
      </w:pPr>
      <w:r>
        <w:t>Pandemic Directions in response to COVID-19</w:t>
      </w:r>
    </w:p>
    <w:p w14:paraId="354E3BC9" w14:textId="1D9D04E3" w:rsidR="00042147" w:rsidRDefault="00BA47A9" w:rsidP="0005402F">
      <w:pPr>
        <w:pStyle w:val="NormalIndent"/>
      </w:pPr>
      <w:r>
        <w:t xml:space="preserve">that are in place at the </w:t>
      </w:r>
      <w:r w:rsidR="00E45238">
        <w:t>Contract Date</w:t>
      </w:r>
      <w:r>
        <w:t>.</w:t>
      </w:r>
    </w:p>
    <w:p w14:paraId="7ABECEEC" w14:textId="4492CA07" w:rsidR="00BA47A9" w:rsidRPr="00042147" w:rsidRDefault="00BA47A9" w:rsidP="00171513">
      <w:pPr>
        <w:pStyle w:val="Heading5"/>
      </w:pPr>
      <w:r>
        <w:t>Updates to the Pandemic Management Plan</w:t>
      </w:r>
    </w:p>
    <w:p w14:paraId="328773BA" w14:textId="2CCD6E34" w:rsidR="00E45238" w:rsidRDefault="79046317" w:rsidP="0005402F">
      <w:pPr>
        <w:pStyle w:val="NormalIndent"/>
      </w:pPr>
      <w:r>
        <w:t>Any updated Pandemic Management Plan include</w:t>
      </w:r>
      <w:r w:rsidR="6A986E41">
        <w:t>s</w:t>
      </w:r>
      <w:r>
        <w:t xml:space="preserve"> all mitigation measures the Contractor is implementing with respect to any Pandemic and those in response to any and all:</w:t>
      </w:r>
    </w:p>
    <w:p w14:paraId="05405AED" w14:textId="4CF3BCED" w:rsidR="002A524B" w:rsidRPr="002A524B" w:rsidRDefault="79046317" w:rsidP="0005402F">
      <w:pPr>
        <w:pStyle w:val="Bulletindent"/>
      </w:pPr>
      <w:r>
        <w:t>Pandemic Change in Law</w:t>
      </w:r>
      <w:r w:rsidR="6A986E41">
        <w:t>; and</w:t>
      </w:r>
    </w:p>
    <w:p w14:paraId="7C8CFA19" w14:textId="18796C67" w:rsidR="00E45238" w:rsidRDefault="00E45238" w:rsidP="0005402F">
      <w:pPr>
        <w:pStyle w:val="Bulletindent"/>
      </w:pPr>
      <w:r>
        <w:t>Pandemic Adjustment Events</w:t>
      </w:r>
    </w:p>
    <w:p w14:paraId="5858CC5D" w14:textId="20F8AE6A" w:rsidR="00E45238" w:rsidRDefault="6A986E41" w:rsidP="0005402F">
      <w:pPr>
        <w:pStyle w:val="NormalIndent"/>
      </w:pPr>
      <w:r>
        <w:t xml:space="preserve">that </w:t>
      </w:r>
      <w:r w:rsidR="79046317">
        <w:t>are in place or have occurred at the date of the relevant update.</w:t>
      </w:r>
    </w:p>
    <w:p w14:paraId="6069D4C0" w14:textId="20B6442F" w:rsidR="00BA47A9" w:rsidRDefault="00BA47A9" w:rsidP="002D33BA">
      <w:pPr>
        <w:pStyle w:val="Heading4numbered"/>
      </w:pPr>
      <w:r>
        <w:t>Allowance in the Program for COVID-19</w:t>
      </w:r>
    </w:p>
    <w:p w14:paraId="0FE2985D" w14:textId="4A1AD7E6" w:rsidR="00BA47A9" w:rsidRDefault="7A1D2108" w:rsidP="0005402F">
      <w:pPr>
        <w:pStyle w:val="NormalIndent"/>
      </w:pPr>
      <w:r>
        <w:t>The Contractor warrants that the Program contains sufficient allowances for the assumption by the Contractor of all risk in relation to the impact of COVID-19 on the performance of the Contractor</w:t>
      </w:r>
      <w:r w:rsidR="629BCFA6">
        <w:t>’</w:t>
      </w:r>
      <w:r>
        <w:t xml:space="preserve">s Activities at the Contract Date and the assumption of that risk in respect of the period between the Contract Date and the Pandemic Impact Date (a </w:t>
      </w:r>
      <w:r w:rsidR="79046317">
        <w:t>specified</w:t>
      </w:r>
      <w:r>
        <w:t xml:space="preserve"> number of weeks following the Contract Date).</w:t>
      </w:r>
    </w:p>
    <w:p w14:paraId="34FA9C67" w14:textId="20BF6D91" w:rsidR="00E45238" w:rsidRDefault="00E45238" w:rsidP="002D33BA">
      <w:pPr>
        <w:pStyle w:val="Heading4numbered"/>
      </w:pPr>
      <w:r>
        <w:t>Relief</w:t>
      </w:r>
    </w:p>
    <w:p w14:paraId="6A048451" w14:textId="7483052E" w:rsidR="00554901" w:rsidRDefault="00554901" w:rsidP="00EA4AA9">
      <w:pPr>
        <w:pStyle w:val="NormalIndent"/>
        <w:keepNext/>
      </w:pPr>
      <w:r>
        <w:t>The Contractor accepts the risk of Pandemic Adjustment Events and Pandemic Changes in Law that occur on or before the Pandemic Impact Date (provided that the Contractor may be entitled to relief where those events occur prior to the Pandemic Impact Date but continue after that date).</w:t>
      </w:r>
    </w:p>
    <w:p w14:paraId="43067512" w14:textId="3DEFB056" w:rsidR="00E45238" w:rsidRPr="00042147" w:rsidRDefault="00E45238" w:rsidP="0005402F">
      <w:pPr>
        <w:pStyle w:val="NormalIndent"/>
      </w:pPr>
      <w:r w:rsidRPr="00042147">
        <w:t>For Pandemic</w:t>
      </w:r>
      <w:r w:rsidR="00554901">
        <w:t xml:space="preserve"> Adjustment Events and Pandemic Changes in Law that occur after the Pandemic Impact Date, the ITC Delivery Deed provides a regime </w:t>
      </w:r>
      <w:r w:rsidRPr="00042147">
        <w:t>for relief</w:t>
      </w:r>
      <w:r w:rsidR="00554901">
        <w:t xml:space="preserve"> (through Adjustment Events (Time) and Adjustment Events (Cost))</w:t>
      </w:r>
      <w:r w:rsidRPr="00042147">
        <w:t xml:space="preserve">, subject to </w:t>
      </w:r>
      <w:r w:rsidR="00554901">
        <w:t>the Contractor</w:t>
      </w:r>
      <w:r w:rsidRPr="00042147">
        <w:t xml:space="preserve"> demonstrating that certain requirements have been satisfied.</w:t>
      </w:r>
    </w:p>
    <w:p w14:paraId="6B8B6D68" w14:textId="19EA0355" w:rsidR="00042147" w:rsidRPr="00042147" w:rsidRDefault="7F7FD074" w:rsidP="002D33BA">
      <w:pPr>
        <w:pStyle w:val="Heading4numbered"/>
      </w:pPr>
      <w:r>
        <w:t>Pandemic Change in Law</w:t>
      </w:r>
      <w:r w:rsidR="2236FE80">
        <w:t xml:space="preserve"> (clause</w:t>
      </w:r>
      <w:r w:rsidR="7865FA55" w:rsidRPr="2C5D2C8B">
        <w:rPr>
          <w:rFonts w:ascii="Calibri" w:hAnsi="Calibri" w:cs="Calibri"/>
        </w:rPr>
        <w:t> </w:t>
      </w:r>
      <w:r w:rsidR="2236FE80">
        <w:t xml:space="preserve">1 of, and </w:t>
      </w:r>
      <w:r w:rsidR="1133178F">
        <w:t>S</w:t>
      </w:r>
      <w:r w:rsidR="2236FE80">
        <w:t>chedule</w:t>
      </w:r>
      <w:r w:rsidR="7865FA55" w:rsidRPr="2C5D2C8B">
        <w:rPr>
          <w:rFonts w:ascii="Calibri" w:hAnsi="Calibri" w:cs="Calibri"/>
        </w:rPr>
        <w:t> </w:t>
      </w:r>
      <w:r w:rsidR="2236FE80">
        <w:t>15 to</w:t>
      </w:r>
      <w:r w:rsidR="2D77D601">
        <w:t>,</w:t>
      </w:r>
      <w:r w:rsidR="2236FE80">
        <w:t xml:space="preserve"> the ITC Delivery Deed)</w:t>
      </w:r>
    </w:p>
    <w:p w14:paraId="5EF12624" w14:textId="79F58C77" w:rsidR="00042147" w:rsidRPr="00042147" w:rsidRDefault="00042147" w:rsidP="0005402F">
      <w:pPr>
        <w:pStyle w:val="NormalIndent"/>
      </w:pPr>
      <w:r w:rsidRPr="00042147">
        <w:t>A Pandemic Change in Law is defined as:</w:t>
      </w:r>
    </w:p>
    <w:p w14:paraId="64511A8D" w14:textId="734E263E" w:rsidR="00042147" w:rsidRPr="00042147" w:rsidRDefault="7F7FD074" w:rsidP="0005402F">
      <w:pPr>
        <w:pStyle w:val="Bulletindent"/>
      </w:pPr>
      <w:r>
        <w:t>a change in (including any extension, repeal, revocation or expiry of) existing Legislation in response to a Pandemic</w:t>
      </w:r>
      <w:r w:rsidR="1A49B7B9">
        <w:t>;</w:t>
      </w:r>
    </w:p>
    <w:p w14:paraId="7CF0CCE3" w14:textId="394BA3AC" w:rsidR="002A524B" w:rsidRPr="002A524B" w:rsidRDefault="7F7FD074" w:rsidP="0005402F">
      <w:pPr>
        <w:pStyle w:val="Bulletindent"/>
      </w:pPr>
      <w:r>
        <w:t>new Legislation in response to a Pandemic</w:t>
      </w:r>
      <w:r w:rsidR="1A49B7B9">
        <w:t>;</w:t>
      </w:r>
      <w:r w:rsidR="5A8ED789">
        <w:t xml:space="preserve"> or</w:t>
      </w:r>
    </w:p>
    <w:p w14:paraId="1065787D" w14:textId="68115B84" w:rsidR="00042147" w:rsidRPr="00042147" w:rsidRDefault="00042147" w:rsidP="0005402F">
      <w:pPr>
        <w:pStyle w:val="Bulletindent"/>
      </w:pPr>
      <w:r w:rsidRPr="00042147">
        <w:t>a new Pandemic Direction or a change to (including any extension, repeal, revocation or expiry of) an existing Pandemic Direction.</w:t>
      </w:r>
    </w:p>
    <w:p w14:paraId="73EB84B5" w14:textId="48485267" w:rsidR="00042147" w:rsidRPr="00042147" w:rsidRDefault="7F7FD074" w:rsidP="0005402F">
      <w:pPr>
        <w:pStyle w:val="NormalIndent"/>
      </w:pPr>
      <w:r>
        <w:t>A Pandemic Change in Law is a</w:t>
      </w:r>
      <w:r w:rsidR="6E3C87A0">
        <w:t>n Adjustment Event (Time) and Adjustment Event (Cost)</w:t>
      </w:r>
      <w:r>
        <w:t xml:space="preserve"> to the extent </w:t>
      </w:r>
      <w:r w:rsidR="6E3C87A0">
        <w:t>the change</w:t>
      </w:r>
      <w:r>
        <w:t xml:space="preserve"> requires any changes to the measures contemplated by the </w:t>
      </w:r>
      <w:r w:rsidR="6E3C87A0">
        <w:t xml:space="preserve">current </w:t>
      </w:r>
      <w:r>
        <w:t>Pandemic Management Plan.</w:t>
      </w:r>
    </w:p>
    <w:p w14:paraId="2D4F0F89" w14:textId="2F79E642" w:rsidR="00042147" w:rsidRPr="00042147" w:rsidRDefault="7F7FD074" w:rsidP="00A66B4A">
      <w:pPr>
        <w:pStyle w:val="Heading3numbered"/>
      </w:pPr>
      <w:r>
        <w:t xml:space="preserve">Pandemic </w:t>
      </w:r>
      <w:r w:rsidR="1B4C7719">
        <w:t>Adjustment</w:t>
      </w:r>
      <w:r>
        <w:t xml:space="preserve"> Event</w:t>
      </w:r>
      <w:r w:rsidR="1B4C7719">
        <w:t xml:space="preserve"> (clause</w:t>
      </w:r>
      <w:r w:rsidR="7865FA55" w:rsidRPr="2C5D2C8B">
        <w:rPr>
          <w:rFonts w:ascii="Calibri" w:hAnsi="Calibri" w:cs="Calibri"/>
        </w:rPr>
        <w:t> </w:t>
      </w:r>
      <w:r w:rsidR="1B4C7719">
        <w:t xml:space="preserve">1 of, and </w:t>
      </w:r>
      <w:r w:rsidR="1133178F">
        <w:t>S</w:t>
      </w:r>
      <w:r w:rsidR="1B4C7719">
        <w:t>chedule</w:t>
      </w:r>
      <w:r w:rsidR="7865FA55" w:rsidRPr="2C5D2C8B">
        <w:rPr>
          <w:rFonts w:ascii="Calibri" w:hAnsi="Calibri" w:cs="Calibri"/>
        </w:rPr>
        <w:t> </w:t>
      </w:r>
      <w:r w:rsidR="1B4C7719">
        <w:t>15 to, the ITC Delivery Deed)</w:t>
      </w:r>
    </w:p>
    <w:p w14:paraId="4D13D74E" w14:textId="730D585E" w:rsidR="00042147" w:rsidRPr="00042147" w:rsidRDefault="001571B9" w:rsidP="007D62CF">
      <w:pPr>
        <w:pStyle w:val="NormalIndent"/>
        <w:keepNext/>
      </w:pPr>
      <w:r>
        <w:t>Subject to certain exceptions, a</w:t>
      </w:r>
      <w:r w:rsidR="00042147" w:rsidRPr="00042147">
        <w:t xml:space="preserve"> Pandemic </w:t>
      </w:r>
      <w:r>
        <w:t>Adjustment</w:t>
      </w:r>
      <w:r w:rsidR="00042147" w:rsidRPr="00042147">
        <w:t xml:space="preserve"> Event occurs if</w:t>
      </w:r>
      <w:r>
        <w:t xml:space="preserve"> any of the following occurs</w:t>
      </w:r>
      <w:r w:rsidR="00042147" w:rsidRPr="00042147">
        <w:t>:</w:t>
      </w:r>
    </w:p>
    <w:p w14:paraId="0AA655DF" w14:textId="61CF3B58" w:rsidR="001571B9" w:rsidRPr="001571B9" w:rsidRDefault="12F4D54C" w:rsidP="007D62CF">
      <w:pPr>
        <w:pStyle w:val="Bulletindent"/>
        <w:keepNext/>
      </w:pPr>
      <w:r>
        <w:t>a Pandemic Subcontractor</w:t>
      </w:r>
      <w:r w:rsidR="629BCFA6">
        <w:t>’</w:t>
      </w:r>
      <w:r>
        <w:t xml:space="preserve">s Plant Closure (a </w:t>
      </w:r>
      <w:r w:rsidR="52FE69CC">
        <w:t>full-day</w:t>
      </w:r>
      <w:r>
        <w:t xml:space="preserve"> closure of a Subcontractor</w:t>
      </w:r>
      <w:r w:rsidR="629BCFA6">
        <w:t>’</w:t>
      </w:r>
      <w:r>
        <w:t>s plant or factory in certain Pandemic</w:t>
      </w:r>
      <w:r w:rsidR="33F190BD">
        <w:t>-</w:t>
      </w:r>
      <w:r>
        <w:t>related circumstances)</w:t>
      </w:r>
      <w:r w:rsidR="33F190BD">
        <w:t>;</w:t>
      </w:r>
    </w:p>
    <w:p w14:paraId="2A390BED" w14:textId="29644D28" w:rsidR="001571B9" w:rsidRPr="001571B9" w:rsidRDefault="12F4D54C" w:rsidP="007D62CF">
      <w:pPr>
        <w:pStyle w:val="Bulletindent"/>
        <w:keepNext/>
      </w:pPr>
      <w:r>
        <w:t>a full day</w:t>
      </w:r>
      <w:r w:rsidR="737E41C3">
        <w:t>’s</w:t>
      </w:r>
      <w:r>
        <w:t xml:space="preserve"> delay in the supply of any Key Plant and Equipment from a Key Plant and Equipment Manufacturing Country as a result of:</w:t>
      </w:r>
    </w:p>
    <w:p w14:paraId="698B5A9D" w14:textId="34051049" w:rsidR="001571B9" w:rsidRPr="001571B9" w:rsidRDefault="12F4D54C" w:rsidP="007D62CF">
      <w:pPr>
        <w:pStyle w:val="Bulletindent2"/>
        <w:keepNext/>
      </w:pPr>
      <w:r>
        <w:t>Australian quarantine restrictions</w:t>
      </w:r>
      <w:r w:rsidR="737E41C3">
        <w:t>;</w:t>
      </w:r>
      <w:r w:rsidR="6E0D352F">
        <w:t xml:space="preserve"> or</w:t>
      </w:r>
    </w:p>
    <w:p w14:paraId="4466E2B3" w14:textId="064B8E0B" w:rsidR="001571B9" w:rsidRPr="001571B9" w:rsidRDefault="12F4D54C" w:rsidP="0005402F">
      <w:pPr>
        <w:pStyle w:val="Bulletindent2"/>
      </w:pPr>
      <w:r>
        <w:t>closure of the Australian international border or any other international border,</w:t>
      </w:r>
      <w:r w:rsidR="07AAC82B">
        <w:t xml:space="preserve"> </w:t>
      </w:r>
      <w:r>
        <w:t>where such quarantine restrictions or border closures are introduced after the Contract Date as a result of a Pandemic and have a material adverse impact on the Contractor</w:t>
      </w:r>
      <w:r w:rsidR="629BCFA6">
        <w:t>’</w:t>
      </w:r>
      <w:r>
        <w:t>s Activities</w:t>
      </w:r>
      <w:r w:rsidR="6E0D352F">
        <w:t>; or</w:t>
      </w:r>
    </w:p>
    <w:p w14:paraId="782DEF57" w14:textId="07A71293" w:rsidR="00042147" w:rsidRPr="00042147" w:rsidRDefault="12F4D54C" w:rsidP="0005402F">
      <w:pPr>
        <w:pStyle w:val="Bulletindent"/>
      </w:pPr>
      <w:r>
        <w:t xml:space="preserve">a Pandemic Area Closure (a </w:t>
      </w:r>
      <w:r w:rsidR="54DC6430">
        <w:t>full-day</w:t>
      </w:r>
      <w:r>
        <w:t xml:space="preserve"> closure of the Site in certain Pandemic</w:t>
      </w:r>
      <w:r w:rsidR="54DC6430">
        <w:t>-</w:t>
      </w:r>
      <w:r>
        <w:t>related circumstances).</w:t>
      </w:r>
    </w:p>
    <w:p w14:paraId="31515678" w14:textId="5FD1CE59" w:rsidR="00DF45C6" w:rsidRPr="00042147" w:rsidRDefault="00042147" w:rsidP="0005402F">
      <w:pPr>
        <w:pStyle w:val="NormalIndent"/>
        <w:rPr>
          <w:highlight w:val="green"/>
        </w:rPr>
      </w:pPr>
      <w:r w:rsidRPr="00042147">
        <w:t xml:space="preserve">A Pandemic </w:t>
      </w:r>
      <w:r w:rsidR="001571B9">
        <w:t>Adjustment</w:t>
      </w:r>
      <w:r w:rsidRPr="00042147">
        <w:t xml:space="preserve"> Event is </w:t>
      </w:r>
      <w:r w:rsidR="001571B9" w:rsidRPr="00042147">
        <w:t>a</w:t>
      </w:r>
      <w:r w:rsidR="001571B9">
        <w:t>n Adjustment Event (Time) and an Adjustment Event (Cost)</w:t>
      </w:r>
      <w:r w:rsidRPr="00042147">
        <w:t>.</w:t>
      </w:r>
    </w:p>
    <w:p w14:paraId="40643343" w14:textId="52233C51" w:rsidR="002B5BB6" w:rsidRDefault="002B5BB6" w:rsidP="00A66B4A">
      <w:pPr>
        <w:pStyle w:val="Heading2numbered"/>
      </w:pPr>
      <w:bookmarkStart w:id="2165" w:name="_Toc66867413"/>
      <w:bookmarkStart w:id="2166" w:name="_Toc66868339"/>
      <w:bookmarkStart w:id="2167" w:name="_Toc66867414"/>
      <w:bookmarkStart w:id="2168" w:name="_Toc66868340"/>
      <w:bookmarkStart w:id="2169" w:name="_Toc66867415"/>
      <w:bookmarkStart w:id="2170" w:name="_Toc66868341"/>
      <w:bookmarkStart w:id="2171" w:name="_Toc66867416"/>
      <w:bookmarkStart w:id="2172" w:name="_Toc66868342"/>
      <w:bookmarkStart w:id="2173" w:name="_Toc66867417"/>
      <w:bookmarkStart w:id="2174" w:name="_Toc66868343"/>
      <w:bookmarkStart w:id="2175" w:name="_Toc66867418"/>
      <w:bookmarkStart w:id="2176" w:name="_Toc66868344"/>
      <w:bookmarkStart w:id="2177" w:name="_Toc66867419"/>
      <w:bookmarkStart w:id="2178" w:name="_Toc66868345"/>
      <w:bookmarkStart w:id="2179" w:name="_Toc66867420"/>
      <w:bookmarkStart w:id="2180" w:name="_Toc66868346"/>
      <w:bookmarkStart w:id="2181" w:name="_Toc66867421"/>
      <w:bookmarkStart w:id="2182" w:name="_Toc66868347"/>
      <w:bookmarkStart w:id="2183" w:name="_Toc481736771"/>
      <w:bookmarkStart w:id="2184" w:name="_Toc481848337"/>
      <w:bookmarkStart w:id="2185" w:name="_Toc481941840"/>
      <w:bookmarkStart w:id="2186" w:name="_Ref477862347"/>
      <w:bookmarkStart w:id="2187" w:name="_Toc507712207"/>
      <w:bookmarkStart w:id="2188" w:name="_Toc133577906"/>
      <w:bookmarkStart w:id="2189" w:name="_Toc145612601"/>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t>Time</w:t>
      </w:r>
      <w:bookmarkEnd w:id="2186"/>
      <w:bookmarkEnd w:id="2187"/>
      <w:bookmarkEnd w:id="2188"/>
      <w:r w:rsidR="00AD0533">
        <w:t xml:space="preserve"> </w:t>
      </w:r>
      <w:r w:rsidR="00AD0533" w:rsidRPr="00AD0533">
        <w:t>(clauses</w:t>
      </w:r>
      <w:r w:rsidR="00754976" w:rsidRPr="00754976">
        <w:rPr>
          <w:rFonts w:ascii="Calibri" w:hAnsi="Calibri" w:cs="Calibri"/>
        </w:rPr>
        <w:t> </w:t>
      </w:r>
      <w:r w:rsidR="00AD0533" w:rsidRPr="00AD0533">
        <w:t>1, 27, 30, 37 and 41 of the ITC Delivery Deed)</w:t>
      </w:r>
      <w:bookmarkEnd w:id="2189"/>
    </w:p>
    <w:p w14:paraId="5F0F651C" w14:textId="79FD5C95" w:rsidR="002B5BB6" w:rsidRPr="00C746A1" w:rsidRDefault="002B5BB6" w:rsidP="00A66B4A">
      <w:pPr>
        <w:pStyle w:val="Heading3numbered"/>
      </w:pPr>
      <w:bookmarkStart w:id="2190" w:name="_Ref132362490"/>
      <w:r w:rsidRPr="00C746A1">
        <w:t>General principle</w:t>
      </w:r>
      <w:bookmarkEnd w:id="2190"/>
      <w:r w:rsidR="00AD0533">
        <w:t xml:space="preserve"> </w:t>
      </w:r>
      <w:r w:rsidR="00AD0533" w:rsidRPr="00AD0533">
        <w:t>(clauses</w:t>
      </w:r>
      <w:r w:rsidR="00754976" w:rsidRPr="00754976">
        <w:rPr>
          <w:rFonts w:ascii="Calibri" w:hAnsi="Calibri" w:cs="Calibri"/>
        </w:rPr>
        <w:t> </w:t>
      </w:r>
      <w:r w:rsidR="00AD0533" w:rsidRPr="00AD0533">
        <w:t>1, 27.5, 27.7 and 41.14 of the ITC Delivery Deed)</w:t>
      </w:r>
    </w:p>
    <w:p w14:paraId="6CA6BFDB" w14:textId="02BA2470" w:rsidR="002B5BB6" w:rsidRPr="0068613B" w:rsidRDefault="1E944E4D" w:rsidP="0005402F">
      <w:pPr>
        <w:pStyle w:val="NormalIndent"/>
      </w:pPr>
      <w:r>
        <w:t xml:space="preserve">Subject to the relevant </w:t>
      </w:r>
      <w:r w:rsidR="0C3D61B9">
        <w:t>C</w:t>
      </w:r>
      <w:r>
        <w:t xml:space="preserve">ondition </w:t>
      </w:r>
      <w:r w:rsidR="0C3D61B9">
        <w:t>P</w:t>
      </w:r>
      <w:r>
        <w:t>recedent being satisfied, t</w:t>
      </w:r>
      <w:r w:rsidR="7383905E">
        <w:t>he Contractor is entitled to:</w:t>
      </w:r>
    </w:p>
    <w:p w14:paraId="3ACDCB83" w14:textId="3E4F46F1" w:rsidR="002A524B" w:rsidRPr="002A524B" w:rsidRDefault="7383905E" w:rsidP="0005402F">
      <w:pPr>
        <w:pStyle w:val="Bulletindent"/>
      </w:pPr>
      <w:r>
        <w:t xml:space="preserve">time relief </w:t>
      </w:r>
      <w:r w:rsidR="1E944E4D">
        <w:t>(via an extension to the relevant Date for Completion) following the occurrence of an</w:t>
      </w:r>
      <w:r>
        <w:t xml:space="preserve"> Adjustment Event (Time)</w:t>
      </w:r>
      <w:r w:rsidR="63C63D23">
        <w:t>; and</w:t>
      </w:r>
    </w:p>
    <w:p w14:paraId="30FAE313" w14:textId="38985A2A" w:rsidR="002B5BB6" w:rsidRPr="00524F29" w:rsidRDefault="00946989" w:rsidP="0005402F">
      <w:pPr>
        <w:pStyle w:val="Bulletindent"/>
      </w:pPr>
      <w:r>
        <w:t>cost relief</w:t>
      </w:r>
      <w:r w:rsidR="002B5BB6" w:rsidRPr="00524F29">
        <w:t xml:space="preserve"> </w:t>
      </w:r>
      <w:r>
        <w:t xml:space="preserve">(via an adjustment to the TOC) following the occurrence of Adjustment Event </w:t>
      </w:r>
      <w:r w:rsidR="002B5BB6" w:rsidRPr="00524F29">
        <w:t>(Cost)</w:t>
      </w:r>
    </w:p>
    <w:p w14:paraId="43493A36" w14:textId="14DBB8E6" w:rsidR="00946989" w:rsidRDefault="00946989" w:rsidP="0005402F">
      <w:pPr>
        <w:pStyle w:val="NormalIndent"/>
      </w:pPr>
      <w:r>
        <w:t>with certain events being both an Adjustment Event (Time) and an Adjustment Event (Cost).</w:t>
      </w:r>
    </w:p>
    <w:p w14:paraId="7A630893" w14:textId="022BA7D1" w:rsidR="00946989" w:rsidRDefault="1E944E4D" w:rsidP="007D62CF">
      <w:pPr>
        <w:pStyle w:val="NormalIndent"/>
        <w:keepNext/>
      </w:pPr>
      <w:r>
        <w:t>As Adjustments Event (Time) and Adjustment Events (Cost) are Relief Events, the Principal</w:t>
      </w:r>
      <w:r w:rsidR="629BCFA6">
        <w:t>’</w:t>
      </w:r>
      <w:r>
        <w:t xml:space="preserve">s Liability to the Contractor in connection with those Adjustment Events </w:t>
      </w:r>
      <w:r w:rsidR="25368B3F">
        <w:t>are</w:t>
      </w:r>
      <w:r>
        <w:t xml:space="preserve"> reduced to the extent that:</w:t>
      </w:r>
    </w:p>
    <w:p w14:paraId="6DBB2EA6" w14:textId="06DEC88E" w:rsidR="002A524B" w:rsidRPr="002A524B" w:rsidRDefault="1E944E4D" w:rsidP="007D62CF">
      <w:pPr>
        <w:pStyle w:val="Bulletindent"/>
        <w:keepNext/>
      </w:pPr>
      <w:r>
        <w:t>the relevant Adjustment Event or the consequences of the relevant Adjustment Event are caused or contributed to by a Contractor Act or Omission</w:t>
      </w:r>
      <w:r w:rsidR="25368B3F">
        <w:t>;</w:t>
      </w:r>
      <w:r w:rsidR="41C96BB7">
        <w:t xml:space="preserve"> or</w:t>
      </w:r>
    </w:p>
    <w:p w14:paraId="5040CB2B" w14:textId="0DD006FF" w:rsidR="002B5BB6" w:rsidRDefault="1E944E4D" w:rsidP="0005402F">
      <w:pPr>
        <w:pStyle w:val="Bulletindent"/>
      </w:pPr>
      <w:r>
        <w:t xml:space="preserve">the Contractor or any Contractor Associate fails to take all reasonable steps </w:t>
      </w:r>
      <w:r w:rsidR="41C96BB7">
        <w:t xml:space="preserve">that </w:t>
      </w:r>
      <w:r>
        <w:t>a prudent, competent and experienced contractor in the circumstances of the Contractor or the relevant Contractor Associate exercising Best D&amp;C Practices would take to mitigate, minimise or avoid the effects, consequences or duration of the relevant Adjustment Event.</w:t>
      </w:r>
    </w:p>
    <w:p w14:paraId="60BF133A" w14:textId="74C94CB3" w:rsidR="002B5BB6" w:rsidRPr="009C65D5" w:rsidRDefault="7383905E" w:rsidP="00A66B4A">
      <w:pPr>
        <w:pStyle w:val="Heading3numbered"/>
      </w:pPr>
      <w:r>
        <w:t>Primary obligation</w:t>
      </w:r>
      <w:r w:rsidR="1B4C7719">
        <w:t xml:space="preserve"> (clauses</w:t>
      </w:r>
      <w:r w:rsidR="7865FA55" w:rsidRPr="2C5D2C8B">
        <w:rPr>
          <w:rFonts w:ascii="Calibri" w:hAnsi="Calibri" w:cs="Calibri"/>
        </w:rPr>
        <w:t> </w:t>
      </w:r>
      <w:r w:rsidR="1B4C7719">
        <w:t>27.1, 30.8 and 37.1 of the ITC Delivery Deed)</w:t>
      </w:r>
    </w:p>
    <w:p w14:paraId="1D517369" w14:textId="07D041D7" w:rsidR="002B5BB6" w:rsidRDefault="7383905E" w:rsidP="001D061B">
      <w:pPr>
        <w:pStyle w:val="NormalIndent"/>
        <w:keepNext/>
      </w:pPr>
      <w:r>
        <w:t>The Contractor has an obligation to commence and</w:t>
      </w:r>
      <w:r w:rsidR="5151920D">
        <w:t xml:space="preserve"> regularly, expeditiously and</w:t>
      </w:r>
      <w:r>
        <w:t xml:space="preserve"> diligently progress the </w:t>
      </w:r>
      <w:r w:rsidR="5151920D">
        <w:t>Contractor</w:t>
      </w:r>
      <w:r w:rsidR="629BCFA6">
        <w:t>’</w:t>
      </w:r>
      <w:r w:rsidR="5151920D">
        <w:t xml:space="preserve">s Activities </w:t>
      </w:r>
      <w:r>
        <w:t xml:space="preserve">and achieve Completion by the relevant Date for Completion. The Contractor must not suspend the progress of the whole or any part of the </w:t>
      </w:r>
      <w:r w:rsidR="5151920D">
        <w:t>Contractor</w:t>
      </w:r>
      <w:r w:rsidR="629BCFA6">
        <w:t>’</w:t>
      </w:r>
      <w:r w:rsidR="5151920D">
        <w:t xml:space="preserve">s Activities </w:t>
      </w:r>
      <w:r>
        <w:t xml:space="preserve">except where pursuant to the </w:t>
      </w:r>
      <w:r w:rsidR="605EE541" w:rsidRPr="2C5D2C8B">
        <w:rPr>
          <w:i/>
          <w:iCs/>
        </w:rPr>
        <w:t xml:space="preserve">Building and Construction Industry </w:t>
      </w:r>
      <w:r w:rsidRPr="2C5D2C8B">
        <w:rPr>
          <w:i/>
          <w:iCs/>
        </w:rPr>
        <w:t xml:space="preserve">Security of Payment Act </w:t>
      </w:r>
      <w:r w:rsidR="7CF6143C" w:rsidRPr="2C5D2C8B">
        <w:rPr>
          <w:i/>
          <w:iCs/>
        </w:rPr>
        <w:t>2002</w:t>
      </w:r>
      <w:r w:rsidR="7CF6143C">
        <w:t xml:space="preserve"> (Vic)</w:t>
      </w:r>
      <w:r>
        <w:t xml:space="preserve"> or as directed or approved by the Principal.</w:t>
      </w:r>
    </w:p>
    <w:p w14:paraId="4AE94492" w14:textId="5B33891B" w:rsidR="002B5BB6" w:rsidRPr="009C65D5" w:rsidRDefault="7383905E" w:rsidP="00400321">
      <w:pPr>
        <w:pStyle w:val="Heading3numbered"/>
      </w:pPr>
      <w:bookmarkStart w:id="2191" w:name="_Ref480994836"/>
      <w:r>
        <w:t>Extension of time</w:t>
      </w:r>
      <w:bookmarkEnd w:id="2191"/>
      <w:r w:rsidR="1B4C7719">
        <w:t xml:space="preserve"> (clauses</w:t>
      </w:r>
      <w:r w:rsidR="7865FA55" w:rsidRPr="2C5D2C8B">
        <w:rPr>
          <w:rFonts w:ascii="Calibri" w:hAnsi="Calibri" w:cs="Calibri"/>
        </w:rPr>
        <w:t> </w:t>
      </w:r>
      <w:r w:rsidR="1B4C7719">
        <w:t xml:space="preserve">27.5, 27.7 and 27.8 of, and </w:t>
      </w:r>
      <w:r w:rsidR="1133178F">
        <w:t>S</w:t>
      </w:r>
      <w:r w:rsidR="1B4C7719">
        <w:t>chedules</w:t>
      </w:r>
      <w:r w:rsidR="7865FA55" w:rsidRPr="2C5D2C8B">
        <w:rPr>
          <w:rFonts w:ascii="Calibri" w:hAnsi="Calibri" w:cs="Calibri"/>
        </w:rPr>
        <w:t> </w:t>
      </w:r>
      <w:r w:rsidR="1B4C7719">
        <w:t>5 and 15</w:t>
      </w:r>
      <w:r w:rsidR="00EA4AA9">
        <w:rPr>
          <w:rFonts w:ascii="Calibri" w:hAnsi="Calibri" w:cs="Calibri"/>
        </w:rPr>
        <w:t> </w:t>
      </w:r>
      <w:r w:rsidR="1B4C7719">
        <w:t>to, the ITC Delivery Deed)</w:t>
      </w:r>
    </w:p>
    <w:p w14:paraId="71F877CB" w14:textId="3DAE35C9" w:rsidR="002B5BB6" w:rsidRPr="00F86106" w:rsidRDefault="0677D67D" w:rsidP="00400321">
      <w:pPr>
        <w:pStyle w:val="NormalIndent"/>
        <w:keepNext/>
      </w:pPr>
      <w:r>
        <w:t xml:space="preserve">Relief Events </w:t>
      </w:r>
      <w:r w:rsidR="627ACEBA">
        <w:t xml:space="preserve">that </w:t>
      </w:r>
      <w:r>
        <w:t xml:space="preserve">are both </w:t>
      </w:r>
      <w:r w:rsidR="7383905E">
        <w:t>Adjustment Events (Cost)</w:t>
      </w:r>
      <w:r>
        <w:t xml:space="preserve"> and</w:t>
      </w:r>
      <w:r w:rsidR="7383905E">
        <w:t xml:space="preserve"> Adjustment Events (Time)</w:t>
      </w:r>
      <w:r w:rsidR="00EA4AA9">
        <w:rPr>
          <w:rFonts w:ascii="Calibri" w:hAnsi="Calibri" w:cs="Calibri"/>
        </w:rPr>
        <w:t> </w:t>
      </w:r>
      <w:r w:rsidR="7383905E">
        <w:t>are:</w:t>
      </w:r>
    </w:p>
    <w:p w14:paraId="045F4E7D" w14:textId="4E846295" w:rsidR="002A524B" w:rsidRPr="002A524B" w:rsidRDefault="7383905E" w:rsidP="00400321">
      <w:pPr>
        <w:pStyle w:val="Bulletindent"/>
        <w:keepNext/>
      </w:pPr>
      <w:r>
        <w:t xml:space="preserve">a limited category of events </w:t>
      </w:r>
      <w:r w:rsidR="627ACEBA">
        <w:t xml:space="preserve">that </w:t>
      </w:r>
      <w:r>
        <w:t>are generally within the control of the Principal</w:t>
      </w:r>
      <w:r w:rsidR="627ACEBA">
        <w:t>;</w:t>
      </w:r>
      <w:r w:rsidR="006D3D5C">
        <w:rPr>
          <w:rFonts w:ascii="Calibri" w:hAnsi="Calibri"/>
        </w:rPr>
        <w:t> </w:t>
      </w:r>
      <w:r w:rsidR="118B412E">
        <w:t>or</w:t>
      </w:r>
    </w:p>
    <w:p w14:paraId="1D59F19A" w14:textId="59ED6C44" w:rsidR="002B5BB6" w:rsidRDefault="002B5BB6" w:rsidP="00400321">
      <w:pPr>
        <w:pStyle w:val="Bulletindent"/>
        <w:keepNext/>
      </w:pPr>
      <w:r w:rsidRPr="009C65D5">
        <w:t>risks that are considered to be better manage</w:t>
      </w:r>
      <w:r>
        <w:t>d</w:t>
      </w:r>
      <w:r w:rsidRPr="009C65D5">
        <w:t xml:space="preserve"> or mitigated by the </w:t>
      </w:r>
      <w:r>
        <w:t>Principal</w:t>
      </w:r>
      <w:r w:rsidRPr="009C65D5">
        <w:t>.</w:t>
      </w:r>
    </w:p>
    <w:p w14:paraId="1E9655FF" w14:textId="2E188267" w:rsidR="002B5BB6" w:rsidRDefault="002B5BB6" w:rsidP="00AB543D">
      <w:pPr>
        <w:pStyle w:val="NormalIndent"/>
        <w:keepNext/>
      </w:pPr>
      <w:r>
        <w:t>Accordingly, they are events in respect of which the Principal retains time and cost</w:t>
      </w:r>
      <w:r w:rsidR="006D3D5C">
        <w:rPr>
          <w:rFonts w:ascii="Calibri" w:hAnsi="Calibri" w:cs="Calibri"/>
        </w:rPr>
        <w:t> </w:t>
      </w:r>
      <w:r>
        <w:t>risk.</w:t>
      </w:r>
    </w:p>
    <w:p w14:paraId="086DE232" w14:textId="272DF04B" w:rsidR="002B5BB6" w:rsidRDefault="7383905E" w:rsidP="0005402F">
      <w:pPr>
        <w:pStyle w:val="NormalIndent"/>
      </w:pPr>
      <w:r>
        <w:t>Adjustment Events (Time) that are not Adjustment Events (Cost) are neutral events</w:t>
      </w:r>
      <w:r w:rsidR="118B412E">
        <w:t>,</w:t>
      </w:r>
      <w:r>
        <w:t xml:space="preserve"> such as Force Majeure Events</w:t>
      </w:r>
      <w:r w:rsidR="118B412E">
        <w:t>,</w:t>
      </w:r>
      <w:r>
        <w:t xml:space="preserve"> in respect of which the risk allocation is shared with the Principal, whereby the Date for Practical Completion is extended, but the Contractor has no, or more limited, entitlement to compensation.</w:t>
      </w:r>
    </w:p>
    <w:p w14:paraId="28375F17" w14:textId="62CEC560" w:rsidR="00FC1086" w:rsidRDefault="4217196B" w:rsidP="00A66B4A">
      <w:pPr>
        <w:pStyle w:val="Heading4numbered"/>
      </w:pPr>
      <w:bookmarkStart w:id="2192" w:name="_Ref132295263"/>
      <w:r>
        <w:t xml:space="preserve">Conditions </w:t>
      </w:r>
      <w:r w:rsidR="0C3D61B9">
        <w:t>P</w:t>
      </w:r>
      <w:r>
        <w:t>recedent</w:t>
      </w:r>
      <w:bookmarkEnd w:id="2192"/>
    </w:p>
    <w:p w14:paraId="7A8B415F" w14:textId="42CEB269" w:rsidR="002B5BB6" w:rsidRPr="009C65D5" w:rsidRDefault="7383905E" w:rsidP="007D62CF">
      <w:pPr>
        <w:pStyle w:val="NormalIndent"/>
        <w:keepNext/>
      </w:pPr>
      <w:r>
        <w:t xml:space="preserve">The following </w:t>
      </w:r>
      <w:r w:rsidR="098FE0DB">
        <w:t xml:space="preserve">is the </w:t>
      </w:r>
      <w:r w:rsidR="0C3D61B9">
        <w:t>C</w:t>
      </w:r>
      <w:r>
        <w:t xml:space="preserve">ondition </w:t>
      </w:r>
      <w:r w:rsidR="0C3D61B9">
        <w:t>P</w:t>
      </w:r>
      <w:r>
        <w:t>recedent to the Contractor</w:t>
      </w:r>
      <w:r w:rsidR="629BCFA6">
        <w:t>’</w:t>
      </w:r>
      <w:r>
        <w:t xml:space="preserve">s entitlement to an extension of time for </w:t>
      </w:r>
      <w:r w:rsidR="0677D67D">
        <w:t xml:space="preserve">an </w:t>
      </w:r>
      <w:r>
        <w:t>Adjustment Event (Time):</w:t>
      </w:r>
    </w:p>
    <w:p w14:paraId="4B57D5F8" w14:textId="28BAFA9F" w:rsidR="002B5BB6" w:rsidRPr="009C65D5" w:rsidRDefault="7383905E" w:rsidP="007D62CF">
      <w:pPr>
        <w:pStyle w:val="Bulletindent"/>
        <w:keepNext/>
      </w:pPr>
      <w:r>
        <w:t>the Contractor submits a</w:t>
      </w:r>
      <w:r w:rsidR="0677D67D">
        <w:t xml:space="preserve"> notice of claim</w:t>
      </w:r>
      <w:r>
        <w:t xml:space="preserve"> </w:t>
      </w:r>
      <w:r w:rsidR="0677D67D">
        <w:t xml:space="preserve">to the Principal and the Principal Representative </w:t>
      </w:r>
      <w:r>
        <w:t>within the timeframe specified in clause</w:t>
      </w:r>
      <w:r w:rsidR="7865FA55" w:rsidRPr="2C5D2C8B">
        <w:rPr>
          <w:rFonts w:ascii="Calibri" w:hAnsi="Calibri"/>
        </w:rPr>
        <w:t> </w:t>
      </w:r>
      <w:r w:rsidR="0677D67D">
        <w:t>2</w:t>
      </w:r>
      <w:r w:rsidR="4377857B">
        <w:t>7</w:t>
      </w:r>
      <w:r w:rsidR="0677D67D">
        <w:t>.6</w:t>
      </w:r>
      <w:r w:rsidR="4377857B">
        <w:t xml:space="preserve"> of the ITC Delivery Deed</w:t>
      </w:r>
      <w:r w:rsidR="48AA3C62">
        <w:t>;</w:t>
      </w:r>
    </w:p>
    <w:p w14:paraId="03B859B3" w14:textId="2F7A6FE9" w:rsidR="002B5BB6" w:rsidRPr="009C65D5" w:rsidRDefault="002B5BB6" w:rsidP="007D62CF">
      <w:pPr>
        <w:pStyle w:val="Bulletindent"/>
        <w:keepNext/>
      </w:pPr>
      <w:r>
        <w:t>the Contractor</w:t>
      </w:r>
      <w:r w:rsidRPr="009C65D5">
        <w:t xml:space="preserve"> can demonstrate that:</w:t>
      </w:r>
    </w:p>
    <w:p w14:paraId="5255C9E5" w14:textId="29300863" w:rsidR="002B5BB6" w:rsidRPr="009C65D5" w:rsidRDefault="7383905E" w:rsidP="0005402F">
      <w:pPr>
        <w:pStyle w:val="Bulletindent2"/>
      </w:pPr>
      <w:r>
        <w:t xml:space="preserve">it has been or will be delayed </w:t>
      </w:r>
      <w:r w:rsidR="3A68CA34">
        <w:t xml:space="preserve">in </w:t>
      </w:r>
      <w:r>
        <w:t xml:space="preserve">carrying out the </w:t>
      </w:r>
      <w:r w:rsidR="0677D67D">
        <w:t>Contractor</w:t>
      </w:r>
      <w:r w:rsidR="629BCFA6">
        <w:t>’</w:t>
      </w:r>
      <w:r w:rsidR="0677D67D">
        <w:t xml:space="preserve">s Activities </w:t>
      </w:r>
      <w:r>
        <w:t xml:space="preserve">by the relevant Adjustment Event (Time) in a manner </w:t>
      </w:r>
      <w:r w:rsidR="3A68CA34">
        <w:t xml:space="preserve">that </w:t>
      </w:r>
      <w:r w:rsidR="0677D67D">
        <w:t xml:space="preserve">has delayed or </w:t>
      </w:r>
      <w:r>
        <w:t>will delay the achievement of Completion</w:t>
      </w:r>
      <w:r w:rsidR="3A68CA34">
        <w:t>;</w:t>
      </w:r>
      <w:r w:rsidR="32663F5C">
        <w:t xml:space="preserve"> and</w:t>
      </w:r>
    </w:p>
    <w:p w14:paraId="402F33ED" w14:textId="0FDCE9AF" w:rsidR="002B5BB6" w:rsidRPr="009C65D5" w:rsidRDefault="7383905E" w:rsidP="0005402F">
      <w:pPr>
        <w:pStyle w:val="Bulletindent2"/>
      </w:pPr>
      <w:r>
        <w:t>the relevant Adjustment Event (Time) has caused or will cause activities on the critical path contained in the current Program to be delayed</w:t>
      </w:r>
      <w:r w:rsidR="0DE59F8A">
        <w:t>;</w:t>
      </w:r>
      <w:r w:rsidR="32663F5C">
        <w:t xml:space="preserve"> and</w:t>
      </w:r>
    </w:p>
    <w:p w14:paraId="6DE7EDDA" w14:textId="4951FA6B" w:rsidR="002B5BB6" w:rsidRPr="009C65D5" w:rsidRDefault="7383905E" w:rsidP="001D061B">
      <w:pPr>
        <w:pStyle w:val="Bulletindent"/>
        <w:keepNext/>
      </w:pPr>
      <w:r>
        <w:t xml:space="preserve">the Contractor, at the time it submits the relevant </w:t>
      </w:r>
      <w:r w:rsidR="0677D67D">
        <w:t>notice of claim</w:t>
      </w:r>
      <w:r>
        <w:t xml:space="preserve">, submits an updated Program </w:t>
      </w:r>
      <w:r w:rsidR="32663F5C">
        <w:t>that</w:t>
      </w:r>
      <w:r>
        <w:t>:</w:t>
      </w:r>
    </w:p>
    <w:p w14:paraId="6FC5E13F" w14:textId="2FAA0914" w:rsidR="007164D2" w:rsidRDefault="0677D67D" w:rsidP="001D061B">
      <w:pPr>
        <w:pStyle w:val="Bulletindent2"/>
        <w:keepNext/>
      </w:pPr>
      <w:r>
        <w:t>complies with the relevant requirements of the ITC Delivery Deed</w:t>
      </w:r>
      <w:r w:rsidR="15D5BAF5">
        <w:t>;</w:t>
      </w:r>
    </w:p>
    <w:p w14:paraId="3D0EDF4D" w14:textId="70F50A19" w:rsidR="00EB18C7" w:rsidRDefault="7383905E" w:rsidP="001D061B">
      <w:pPr>
        <w:pStyle w:val="Bulletindent2"/>
        <w:keepNext/>
      </w:pPr>
      <w:r>
        <w:t>takes into account the impact of the relevant Adjustment Event (Time)</w:t>
      </w:r>
      <w:r w:rsidR="15D5BAF5">
        <w:t>; and</w:t>
      </w:r>
    </w:p>
    <w:p w14:paraId="16B7B661" w14:textId="36011E0A" w:rsidR="002B5BB6" w:rsidRPr="009C65D5" w:rsidRDefault="7383905E" w:rsidP="0005402F">
      <w:pPr>
        <w:pStyle w:val="Bulletindent2"/>
      </w:pPr>
      <w:r>
        <w:t xml:space="preserve">contains a level of detail </w:t>
      </w:r>
      <w:r w:rsidR="15D5BAF5">
        <w:t xml:space="preserve">that </w:t>
      </w:r>
      <w:r>
        <w:t xml:space="preserve">is sufficient to enable the </w:t>
      </w:r>
      <w:r w:rsidR="0677D67D">
        <w:t xml:space="preserve">Principal Representative </w:t>
      </w:r>
      <w:r>
        <w:t>to determine the Contractor’s entitlement to an extension of time.</w:t>
      </w:r>
    </w:p>
    <w:p w14:paraId="20DC5C5D" w14:textId="1FDE3AF0" w:rsidR="002B5BB6" w:rsidRPr="009C65D5" w:rsidRDefault="002B5BB6" w:rsidP="0005402F">
      <w:pPr>
        <w:pStyle w:val="NormalIndent"/>
      </w:pPr>
      <w:r w:rsidRPr="009C65D5">
        <w:t xml:space="preserve">If the </w:t>
      </w:r>
      <w:r w:rsidR="007164D2">
        <w:t>Principal Representative</w:t>
      </w:r>
      <w:r w:rsidR="007164D2" w:rsidRPr="009C65D5">
        <w:t xml:space="preserve"> </w:t>
      </w:r>
      <w:r w:rsidRPr="009C65D5">
        <w:t xml:space="preserve">determines that the updated Program does not comply with the requirements set out above, </w:t>
      </w:r>
      <w:r>
        <w:t>the Contractor</w:t>
      </w:r>
      <w:r w:rsidRPr="009C65D5">
        <w:t xml:space="preserve"> must, within 10 Business Days after receipt of the </w:t>
      </w:r>
      <w:r w:rsidR="007164D2">
        <w:t>Principal Representative</w:t>
      </w:r>
      <w:r w:rsidR="00633251">
        <w:t>’</w:t>
      </w:r>
      <w:r w:rsidR="007164D2">
        <w:t>s</w:t>
      </w:r>
      <w:r w:rsidR="007164D2" w:rsidRPr="009C65D5">
        <w:t xml:space="preserve"> </w:t>
      </w:r>
      <w:r w:rsidRPr="009C65D5">
        <w:t>notice, submit an updated Program.</w:t>
      </w:r>
    </w:p>
    <w:p w14:paraId="11B91D00" w14:textId="3F57469D" w:rsidR="00975207" w:rsidRDefault="00975207" w:rsidP="00975207">
      <w:pPr>
        <w:pStyle w:val="NormalIndent"/>
      </w:pPr>
      <w:r>
        <w:rPr>
          <w:color w:val="000000"/>
          <w:spacing w:val="2"/>
        </w:rPr>
        <w:t xml:space="preserve">If the </w:t>
      </w:r>
      <w:r w:rsidRPr="00975207">
        <w:t>Contractor</w:t>
      </w:r>
      <w:r>
        <w:rPr>
          <w:color w:val="000000"/>
          <w:spacing w:val="2"/>
        </w:rPr>
        <w:t xml:space="preserve"> does not submit an updated Program, the Contractor is not entitled to claim an extension of time for the relevant Adjustment Event (Time).</w:t>
      </w:r>
    </w:p>
    <w:p w14:paraId="0B6A8AD6" w14:textId="418A0A98" w:rsidR="00975207" w:rsidRDefault="00975207" w:rsidP="00975207">
      <w:pPr>
        <w:pStyle w:val="NormalIndent"/>
      </w:pPr>
      <w:r>
        <w:rPr>
          <w:color w:val="000000"/>
          <w:spacing w:val="2"/>
        </w:rPr>
        <w:t xml:space="preserve">If the Contractor submits an updated Program and the Principal Representative determines </w:t>
      </w:r>
      <w:r w:rsidRPr="00975207">
        <w:t>that</w:t>
      </w:r>
      <w:r>
        <w:rPr>
          <w:color w:val="000000"/>
          <w:spacing w:val="2"/>
        </w:rPr>
        <w:t xml:space="preserve"> the updated Program addresses the non-compliances prviously notified by the Principal Representative, the Contractor is deemed to have met the requirements of the Condition Precedent in respect of the submission of the updated Program.</w:t>
      </w:r>
    </w:p>
    <w:p w14:paraId="73E81783" w14:textId="115CF7B5" w:rsidR="002B5BB6" w:rsidRDefault="00975207" w:rsidP="00975207">
      <w:pPr>
        <w:pStyle w:val="NormalIndent"/>
      </w:pPr>
      <w:r>
        <w:rPr>
          <w:color w:val="000000"/>
          <w:spacing w:val="2"/>
        </w:rPr>
        <w:t>If the Contractor submits an updated Program and the Principal Representative determines that the updated Program does not address the non-compliances previously notified by the Principal Representative, the Contractor is not entitled to claim an extension of time for the relevant Adjustment Event (Time).</w:t>
      </w:r>
      <w:r w:rsidR="7383905E">
        <w:t xml:space="preserve">The ITC Delivery Deed provides </w:t>
      </w:r>
      <w:r w:rsidR="6874C38D">
        <w:t xml:space="preserve">an </w:t>
      </w:r>
      <w:r w:rsidR="7383905E">
        <w:t>opportunity for the Contractor to re</w:t>
      </w:r>
      <w:r w:rsidR="12689786">
        <w:t>submit</w:t>
      </w:r>
      <w:r w:rsidR="7383905E">
        <w:t xml:space="preserve"> an updated Program in circumstances where the </w:t>
      </w:r>
      <w:r w:rsidR="0677D67D">
        <w:t xml:space="preserve">Principal Representative </w:t>
      </w:r>
      <w:r w:rsidR="7383905E">
        <w:t xml:space="preserve">determines that the Program does not comply with the extension of time </w:t>
      </w:r>
      <w:r w:rsidR="0C3D61B9">
        <w:t>C</w:t>
      </w:r>
      <w:r w:rsidR="7383905E">
        <w:t xml:space="preserve">ondition </w:t>
      </w:r>
      <w:r w:rsidR="0C3D61B9">
        <w:t>P</w:t>
      </w:r>
      <w:r w:rsidR="7383905E">
        <w:t xml:space="preserve">recedent. This is so that the Contractor is not significantly prejudiced by a minor non-conformance in a complex Program </w:t>
      </w:r>
      <w:r w:rsidR="3A21E941">
        <w:t xml:space="preserve">that </w:t>
      </w:r>
      <w:r w:rsidR="7383905E">
        <w:t>is potentially unrelated to an extension of time claim.</w:t>
      </w:r>
    </w:p>
    <w:p w14:paraId="45DDAAB5" w14:textId="14E37219" w:rsidR="007164D2" w:rsidRDefault="7383905E" w:rsidP="0005402F">
      <w:pPr>
        <w:pStyle w:val="NormalIndent"/>
      </w:pPr>
      <w:r>
        <w:t xml:space="preserve">If the </w:t>
      </w:r>
      <w:r w:rsidR="0C3D61B9">
        <w:t>C</w:t>
      </w:r>
      <w:r>
        <w:t xml:space="preserve">ondition </w:t>
      </w:r>
      <w:r w:rsidR="0C3D61B9">
        <w:t>P</w:t>
      </w:r>
      <w:r>
        <w:t xml:space="preserve">recedent (as set out above) </w:t>
      </w:r>
      <w:r w:rsidR="738F3C60">
        <w:t xml:space="preserve">has </w:t>
      </w:r>
      <w:r>
        <w:t xml:space="preserve">been satisfied, </w:t>
      </w:r>
      <w:r w:rsidR="0677D67D">
        <w:t>unless the parties otherwise agree</w:t>
      </w:r>
      <w:r w:rsidR="1B0209F8">
        <w:t xml:space="preserve"> on</w:t>
      </w:r>
      <w:r w:rsidR="0677D67D">
        <w:t xml:space="preserve"> an extension to the relevant Date for Completion, the Principal Representative must extend the relevant Date for Completion.</w:t>
      </w:r>
    </w:p>
    <w:p w14:paraId="29DAF3CD" w14:textId="6D79B3D2" w:rsidR="002B5BB6" w:rsidRDefault="7383905E" w:rsidP="0005402F">
      <w:pPr>
        <w:pStyle w:val="NormalIndent"/>
      </w:pPr>
      <w:r>
        <w:t xml:space="preserve">The </w:t>
      </w:r>
      <w:r w:rsidR="0677D67D">
        <w:t>Principal Representative</w:t>
      </w:r>
      <w:r>
        <w:t xml:space="preserve"> may give interim determinations of the Contractor</w:t>
      </w:r>
      <w:r w:rsidR="629BCFA6">
        <w:t>’</w:t>
      </w:r>
      <w:r>
        <w:t>s entitlement to an extension of time</w:t>
      </w:r>
      <w:r w:rsidR="0E0425D4">
        <w:t>,</w:t>
      </w:r>
      <w:r>
        <w:t xml:space="preserve"> notwithstanding that the effects of the relevant Adjustment Event (Time) are continuing.</w:t>
      </w:r>
    </w:p>
    <w:p w14:paraId="4FC7D903" w14:textId="2D6B47AB" w:rsidR="002B5BB6" w:rsidRPr="009C65D5" w:rsidRDefault="7383905E" w:rsidP="00A66B4A">
      <w:pPr>
        <w:pStyle w:val="Heading3numbered"/>
      </w:pPr>
      <w:r>
        <w:t>Unilateral extensions</w:t>
      </w:r>
      <w:r w:rsidR="4377857B">
        <w:t xml:space="preserve"> (clause</w:t>
      </w:r>
      <w:r w:rsidR="7865FA55" w:rsidRPr="2C5D2C8B">
        <w:rPr>
          <w:rFonts w:ascii="Calibri" w:hAnsi="Calibri" w:cs="Calibri"/>
        </w:rPr>
        <w:t> </w:t>
      </w:r>
      <w:r w:rsidR="4377857B">
        <w:t>27.9 of the ITC Delivery Deed)</w:t>
      </w:r>
    </w:p>
    <w:p w14:paraId="40DD2440" w14:textId="4B4F0F39" w:rsidR="002B5BB6" w:rsidRDefault="002B5BB6" w:rsidP="00400321">
      <w:pPr>
        <w:pStyle w:val="NormalIndent"/>
        <w:keepNext/>
      </w:pPr>
      <w:r w:rsidRPr="009C65D5">
        <w:t xml:space="preserve">Irrespective of </w:t>
      </w:r>
      <w:r>
        <w:t>the Contractor</w:t>
      </w:r>
      <w:r w:rsidR="00633251">
        <w:t>’</w:t>
      </w:r>
      <w:r w:rsidRPr="009C65D5">
        <w:t xml:space="preserve">s entitlement to an extension of time, the </w:t>
      </w:r>
      <w:r>
        <w:t>Principal</w:t>
      </w:r>
      <w:r w:rsidRPr="009C65D5">
        <w:t xml:space="preserve"> may unilaterally extend </w:t>
      </w:r>
      <w:r>
        <w:t>a</w:t>
      </w:r>
      <w:r w:rsidRPr="009C65D5">
        <w:t xml:space="preserve"> Date for </w:t>
      </w:r>
      <w:r>
        <w:t>Completion</w:t>
      </w:r>
      <w:r w:rsidRPr="009C65D5">
        <w:t>.</w:t>
      </w:r>
    </w:p>
    <w:p w14:paraId="75E979CB" w14:textId="539D2E04" w:rsidR="007164D2" w:rsidRDefault="0677D67D" w:rsidP="00A66B4A">
      <w:pPr>
        <w:pStyle w:val="Heading3numbered"/>
      </w:pPr>
      <w:bookmarkStart w:id="2193" w:name="_Ref132303311"/>
      <w:r>
        <w:t>Time KRA and Performance Reward Potential Pool</w:t>
      </w:r>
      <w:bookmarkEnd w:id="2193"/>
      <w:r w:rsidR="4377857B">
        <w:t xml:space="preserve"> (</w:t>
      </w:r>
      <w:r w:rsidR="1133178F">
        <w:t>S</w:t>
      </w:r>
      <w:r w:rsidR="4377857B">
        <w:t>chedule</w:t>
      </w:r>
      <w:r w:rsidR="7865FA55" w:rsidRPr="2C5D2C8B">
        <w:rPr>
          <w:rFonts w:ascii="Calibri" w:hAnsi="Calibri" w:cs="Calibri"/>
        </w:rPr>
        <w:t> </w:t>
      </w:r>
      <w:r w:rsidR="4377857B">
        <w:t>5 to the ITC Delivery Deed)</w:t>
      </w:r>
    </w:p>
    <w:p w14:paraId="6BF0DBAA" w14:textId="50C6A2A8" w:rsidR="005B37F6" w:rsidRDefault="0677D67D" w:rsidP="0005402F">
      <w:pPr>
        <w:pStyle w:val="NormalIndent"/>
      </w:pPr>
      <w:r>
        <w:t>The ITC Delivery Deed contemplates a time KRA to incentivise on</w:t>
      </w:r>
      <w:r w:rsidR="1B4CF6DD">
        <w:t>-</w:t>
      </w:r>
      <w:r>
        <w:t>time delivery under the Risk or Reward Regime depending on the Contractor’s performance against pre</w:t>
      </w:r>
      <w:r w:rsidR="29C5117B">
        <w:t>-agreed</w:t>
      </w:r>
      <w:r>
        <w:t xml:space="preserve"> milestones</w:t>
      </w:r>
      <w:r w:rsidR="1867AD7F">
        <w:t xml:space="preserve"> (see section</w:t>
      </w:r>
      <w:r w:rsidR="7865FA55" w:rsidRPr="2C5D2C8B">
        <w:rPr>
          <w:rFonts w:ascii="Calibri" w:hAnsi="Calibri" w:cs="Calibri"/>
        </w:rPr>
        <w:t> </w:t>
      </w:r>
      <w:r w:rsidR="007164D2">
        <w:fldChar w:fldCharType="begin" w:fldLock="1"/>
      </w:r>
      <w:r w:rsidR="007164D2">
        <w:instrText xml:space="preserve"> REF _Ref132302110 \r \h  \* MERGEFORMAT </w:instrText>
      </w:r>
      <w:r w:rsidR="007164D2">
        <w:fldChar w:fldCharType="separate"/>
      </w:r>
      <w:r w:rsidR="00400321">
        <w:t>5.2.3</w:t>
      </w:r>
      <w:r w:rsidR="007164D2">
        <w:fldChar w:fldCharType="end"/>
      </w:r>
      <w:r w:rsidR="1867AD7F">
        <w:t>)</w:t>
      </w:r>
      <w:r>
        <w:t>.</w:t>
      </w:r>
    </w:p>
    <w:p w14:paraId="1530185C" w14:textId="0FECB499" w:rsidR="007164D2" w:rsidRDefault="1867AD7F" w:rsidP="0005402F">
      <w:pPr>
        <w:pStyle w:val="NormalIndent"/>
      </w:pPr>
      <w:r>
        <w:t>As referred to in section</w:t>
      </w:r>
      <w:r w:rsidR="7865FA55" w:rsidRPr="2C5D2C8B">
        <w:rPr>
          <w:rFonts w:ascii="Calibri" w:hAnsi="Calibri" w:cs="Calibri"/>
        </w:rPr>
        <w:t> </w:t>
      </w:r>
      <w:r w:rsidR="005B37F6">
        <w:fldChar w:fldCharType="begin" w:fldLock="1"/>
      </w:r>
      <w:r w:rsidR="005B37F6">
        <w:instrText xml:space="preserve"> REF _Ref132302151 \r \h  \* MERGEFORMAT </w:instrText>
      </w:r>
      <w:r w:rsidR="005B37F6">
        <w:fldChar w:fldCharType="separate"/>
      </w:r>
      <w:r w:rsidR="00400321">
        <w:t>5.2.3.3</w:t>
      </w:r>
      <w:r w:rsidR="005B37F6">
        <w:fldChar w:fldCharType="end"/>
      </w:r>
      <w:r>
        <w:t xml:space="preserve">, the </w:t>
      </w:r>
      <w:r w:rsidR="7E8D7BB1">
        <w:t>procuring agency</w:t>
      </w:r>
      <w:r>
        <w:t xml:space="preserve"> </w:t>
      </w:r>
      <w:r w:rsidR="1B4CF6DD">
        <w:t>is</w:t>
      </w:r>
      <w:r>
        <w:t xml:space="preserve"> required to develop the methodology for calculating the KPS for the time KPI. This methodology </w:t>
      </w:r>
      <w:r w:rsidR="0677D67D">
        <w:t xml:space="preserve">should be tailored to the characteristics of the </w:t>
      </w:r>
      <w:r>
        <w:t>P</w:t>
      </w:r>
      <w:r w:rsidR="0677D67D">
        <w:t>roject</w:t>
      </w:r>
      <w:r>
        <w:t>,</w:t>
      </w:r>
      <w:r w:rsidR="0677D67D">
        <w:t xml:space="preserve"> including the extent to which there are interdependencies with other projects or other critical milestones.</w:t>
      </w:r>
    </w:p>
    <w:p w14:paraId="04802B03" w14:textId="6F5E843A" w:rsidR="007164D2" w:rsidRDefault="1867AD7F" w:rsidP="0005402F">
      <w:pPr>
        <w:pStyle w:val="NormalIndent"/>
      </w:pPr>
      <w:r>
        <w:t>An example methodology that</w:t>
      </w:r>
      <w:r w:rsidR="0677D67D">
        <w:t xml:space="preserve"> involves positive incentives for timely completion</w:t>
      </w:r>
      <w:r>
        <w:t xml:space="preserve"> is set out below</w:t>
      </w:r>
      <w:r w:rsidR="1CF70B02">
        <w:t>.</w:t>
      </w:r>
    </w:p>
    <w:p w14:paraId="58B264C9" w14:textId="70204198" w:rsidR="007164D2" w:rsidRDefault="0677D67D" w:rsidP="0005402F">
      <w:pPr>
        <w:pStyle w:val="Bulletindent"/>
      </w:pPr>
      <w:r>
        <w:t>Project is completed ahead of schedule or within 5</w:t>
      </w:r>
      <w:r w:rsidR="7865FA55" w:rsidRPr="2C5D2C8B">
        <w:rPr>
          <w:rFonts w:ascii="Calibri" w:hAnsi="Calibri"/>
        </w:rPr>
        <w:t> </w:t>
      </w:r>
      <w:r w:rsidR="2BEA0074">
        <w:t>per</w:t>
      </w:r>
      <w:r w:rsidR="7865FA55" w:rsidRPr="2C5D2C8B">
        <w:rPr>
          <w:rFonts w:ascii="Calibri" w:hAnsi="Calibri"/>
        </w:rPr>
        <w:t> </w:t>
      </w:r>
      <w:r w:rsidR="2BEA0074">
        <w:t>cent</w:t>
      </w:r>
      <w:r>
        <w:t xml:space="preserve"> of schedule: </w:t>
      </w:r>
      <w:r w:rsidR="207A0A0A">
        <w:t>t</w:t>
      </w:r>
      <w:r>
        <w:t xml:space="preserve">he </w:t>
      </w:r>
      <w:r w:rsidR="1867AD7F">
        <w:t>KPS for the time KPI is 100.</w:t>
      </w:r>
    </w:p>
    <w:p w14:paraId="5809A295" w14:textId="32F36B44" w:rsidR="007164D2" w:rsidRDefault="0677D67D" w:rsidP="0005402F">
      <w:pPr>
        <w:pStyle w:val="Bulletindent"/>
      </w:pPr>
      <w:r>
        <w:t>Project is delayed by more than 5</w:t>
      </w:r>
      <w:r w:rsidR="7865FA55" w:rsidRPr="2C5D2C8B">
        <w:rPr>
          <w:rFonts w:ascii="Calibri" w:hAnsi="Calibri"/>
        </w:rPr>
        <w:t> </w:t>
      </w:r>
      <w:r w:rsidR="2BEA0074">
        <w:t>per</w:t>
      </w:r>
      <w:r w:rsidR="7865FA55" w:rsidRPr="2C5D2C8B">
        <w:rPr>
          <w:rFonts w:ascii="Calibri" w:hAnsi="Calibri"/>
        </w:rPr>
        <w:t> </w:t>
      </w:r>
      <w:r w:rsidR="2BEA0074">
        <w:t>cent</w:t>
      </w:r>
      <w:r>
        <w:t xml:space="preserve"> but less than 10</w:t>
      </w:r>
      <w:r w:rsidR="7865FA55" w:rsidRPr="2C5D2C8B">
        <w:rPr>
          <w:rFonts w:ascii="Calibri" w:hAnsi="Calibri"/>
        </w:rPr>
        <w:t> </w:t>
      </w:r>
      <w:r w:rsidR="2BEA0074">
        <w:t>per</w:t>
      </w:r>
      <w:r w:rsidR="7865FA55" w:rsidRPr="2C5D2C8B">
        <w:rPr>
          <w:rFonts w:ascii="Calibri" w:hAnsi="Calibri"/>
        </w:rPr>
        <w:t> </w:t>
      </w:r>
      <w:r w:rsidR="2BEA0074">
        <w:t>cent</w:t>
      </w:r>
      <w:r>
        <w:t xml:space="preserve"> of schedule: </w:t>
      </w:r>
      <w:r w:rsidR="207A0A0A">
        <w:t>t</w:t>
      </w:r>
      <w:r w:rsidR="1867AD7F">
        <w:t>he KPS reduce</w:t>
      </w:r>
      <w:r w:rsidR="207A0A0A">
        <w:t>s</w:t>
      </w:r>
      <w:r w:rsidR="1867AD7F">
        <w:t xml:space="preserve"> proportionally with the delay (</w:t>
      </w:r>
      <w:r w:rsidR="2848D62A">
        <w:t>e.g.</w:t>
      </w:r>
      <w:r w:rsidR="1867AD7F">
        <w:t xml:space="preserve"> if the delay is 6</w:t>
      </w:r>
      <w:r w:rsidR="7865FA55" w:rsidRPr="2C5D2C8B">
        <w:rPr>
          <w:rFonts w:ascii="Calibri" w:hAnsi="Calibri"/>
        </w:rPr>
        <w:t> </w:t>
      </w:r>
      <w:r w:rsidR="2BEA0074">
        <w:t>per</w:t>
      </w:r>
      <w:r w:rsidR="7865FA55" w:rsidRPr="2C5D2C8B">
        <w:rPr>
          <w:rFonts w:ascii="Calibri" w:hAnsi="Calibri"/>
        </w:rPr>
        <w:t> </w:t>
      </w:r>
      <w:r w:rsidR="2BEA0074">
        <w:t>cent</w:t>
      </w:r>
      <w:r w:rsidR="1867AD7F">
        <w:t>, the KPS is 80, but if it is 9</w:t>
      </w:r>
      <w:r w:rsidR="7865FA55" w:rsidRPr="2C5D2C8B">
        <w:rPr>
          <w:rFonts w:ascii="Calibri" w:hAnsi="Calibri"/>
        </w:rPr>
        <w:t> </w:t>
      </w:r>
      <w:r w:rsidR="2BEA0074">
        <w:t>per</w:t>
      </w:r>
      <w:r w:rsidR="7865FA55" w:rsidRPr="2C5D2C8B">
        <w:rPr>
          <w:rFonts w:ascii="Calibri" w:hAnsi="Calibri"/>
        </w:rPr>
        <w:t> </w:t>
      </w:r>
      <w:r w:rsidR="2BEA0074">
        <w:t>cent</w:t>
      </w:r>
      <w:r w:rsidR="1867AD7F">
        <w:t>, the KPS is 20).</w:t>
      </w:r>
    </w:p>
    <w:p w14:paraId="1EAE51F6" w14:textId="7903204E" w:rsidR="005B37F6" w:rsidRPr="007164D2" w:rsidRDefault="1867AD7F" w:rsidP="0005402F">
      <w:pPr>
        <w:pStyle w:val="Bulletindent"/>
      </w:pPr>
      <w:r>
        <w:t>Project is delayed by 10</w:t>
      </w:r>
      <w:r w:rsidR="7865FA55" w:rsidRPr="2C5D2C8B">
        <w:rPr>
          <w:rFonts w:ascii="Calibri" w:hAnsi="Calibri"/>
        </w:rPr>
        <w:t> </w:t>
      </w:r>
      <w:r w:rsidR="2BEA0074">
        <w:t>per</w:t>
      </w:r>
      <w:r w:rsidR="7865FA55" w:rsidRPr="2C5D2C8B">
        <w:rPr>
          <w:rFonts w:ascii="Calibri" w:hAnsi="Calibri"/>
        </w:rPr>
        <w:t> </w:t>
      </w:r>
      <w:r w:rsidR="2BEA0074">
        <w:t>cent</w:t>
      </w:r>
      <w:r>
        <w:t xml:space="preserve"> or more of schedule: </w:t>
      </w:r>
      <w:r w:rsidR="2468CDF7">
        <w:t>t</w:t>
      </w:r>
      <w:r>
        <w:t>he KPS for the time KPI is</w:t>
      </w:r>
      <w:r w:rsidR="7865FA55" w:rsidRPr="2C5D2C8B">
        <w:rPr>
          <w:rFonts w:ascii="Calibri" w:hAnsi="Calibri"/>
        </w:rPr>
        <w:t> </w:t>
      </w:r>
      <w:r>
        <w:t>0.</w:t>
      </w:r>
    </w:p>
    <w:p w14:paraId="7EC4951F" w14:textId="034E4698" w:rsidR="002B5BB6" w:rsidRPr="009C65D5" w:rsidRDefault="7383905E" w:rsidP="00D76786">
      <w:pPr>
        <w:pStyle w:val="Heading3numbered"/>
      </w:pPr>
      <w:bookmarkStart w:id="2194" w:name="_Ref131519711"/>
      <w:r>
        <w:t xml:space="preserve">Liquidated </w:t>
      </w:r>
      <w:r w:rsidR="0687DCFA">
        <w:t>d</w:t>
      </w:r>
      <w:r>
        <w:t>amages</w:t>
      </w:r>
      <w:bookmarkEnd w:id="2194"/>
      <w:r w:rsidR="4377857B">
        <w:t xml:space="preserve"> (clause</w:t>
      </w:r>
      <w:r w:rsidR="7865FA55" w:rsidRPr="2C5D2C8B">
        <w:rPr>
          <w:rFonts w:ascii="Calibri" w:hAnsi="Calibri" w:cs="Calibri"/>
        </w:rPr>
        <w:t> </w:t>
      </w:r>
      <w:r w:rsidR="4377857B">
        <w:t>27.18 of the ITC Delivery Deed)</w:t>
      </w:r>
    </w:p>
    <w:p w14:paraId="2C005526" w14:textId="2BAB7FD6" w:rsidR="00514566" w:rsidRDefault="1C9F410C" w:rsidP="0005402F">
      <w:pPr>
        <w:pStyle w:val="NormalIndent"/>
      </w:pPr>
      <w:r>
        <w:t xml:space="preserve">The ITC Delivery Deed provides that the Principal </w:t>
      </w:r>
      <w:r w:rsidR="45FB9233">
        <w:t>is</w:t>
      </w:r>
      <w:r>
        <w:t xml:space="preserve"> entitled to be paid an agreed, liquidated sum (up to an agreed cap) by the Contractor for failure to achieve </w:t>
      </w:r>
      <w:r w:rsidR="0677D67D">
        <w:t>P</w:t>
      </w:r>
      <w:r>
        <w:t xml:space="preserve">ractical Completion by the Date for Practical Completion or failure to achieve Close-out by the Date for Close-out. This is necessary to incentivise timely completion. The rate for liquidated damages and the liquidated damages cap are found in the Contract Particulars in </w:t>
      </w:r>
      <w:r w:rsidR="1133178F">
        <w:t>S</w:t>
      </w:r>
      <w:r>
        <w:t>chedule</w:t>
      </w:r>
      <w:r w:rsidR="7865FA55" w:rsidRPr="2C5D2C8B">
        <w:rPr>
          <w:rFonts w:ascii="Calibri" w:hAnsi="Calibri" w:cs="Calibri"/>
        </w:rPr>
        <w:t> </w:t>
      </w:r>
      <w:r>
        <w:t>1</w:t>
      </w:r>
      <w:r w:rsidR="0677D67D">
        <w:t xml:space="preserve"> of the ITC Delivery Deed</w:t>
      </w:r>
      <w:r>
        <w:t>.</w:t>
      </w:r>
    </w:p>
    <w:p w14:paraId="0EC3A1DB" w14:textId="504936C8" w:rsidR="00EF62F0" w:rsidRDefault="57B65742" w:rsidP="0005402F">
      <w:pPr>
        <w:pStyle w:val="NormalIndent"/>
      </w:pPr>
      <w:r>
        <w:t>Schedule</w:t>
      </w:r>
      <w:r w:rsidR="7865FA55" w:rsidRPr="2C5D2C8B">
        <w:rPr>
          <w:rFonts w:ascii="Calibri" w:hAnsi="Calibri" w:cs="Calibri"/>
        </w:rPr>
        <w:t> </w:t>
      </w:r>
      <w:r>
        <w:t xml:space="preserve">1 </w:t>
      </w:r>
      <w:r w:rsidR="4126D4DD">
        <w:t>does not form part of this standard form contract suite and need</w:t>
      </w:r>
      <w:r w:rsidR="677640EB">
        <w:t>s</w:t>
      </w:r>
      <w:r w:rsidR="4126D4DD">
        <w:t xml:space="preserve"> to be developed by the Principal based on project-specific characteristics.</w:t>
      </w:r>
    </w:p>
    <w:p w14:paraId="205B8DC3" w14:textId="0CA3D913" w:rsidR="00924216" w:rsidRDefault="6A07D9D1" w:rsidP="00400321">
      <w:pPr>
        <w:pStyle w:val="NormalIndent"/>
        <w:keepNext/>
      </w:pPr>
      <w:r>
        <w:t>The ITC Delivery Deed provides</w:t>
      </w:r>
      <w:r w:rsidR="24226716">
        <w:t xml:space="preserve"> the following</w:t>
      </w:r>
      <w:r>
        <w:t xml:space="preserve"> two regimes addressing the Contractor’s failure to reach Completion by the Date for Completion</w:t>
      </w:r>
      <w:r w:rsidR="24226716">
        <w:t>.</w:t>
      </w:r>
    </w:p>
    <w:p w14:paraId="3094CB83" w14:textId="4467C5C6" w:rsidR="00924216" w:rsidRDefault="1C9F410C" w:rsidP="00400321">
      <w:pPr>
        <w:pStyle w:val="Bulletindent"/>
        <w:keepNext/>
      </w:pPr>
      <w:r w:rsidRPr="2C5D2C8B">
        <w:rPr>
          <w:b/>
          <w:bCs/>
        </w:rPr>
        <w:t xml:space="preserve">Alternative A: </w:t>
      </w:r>
      <w:r w:rsidR="54FC62F7" w:rsidRPr="2C5D2C8B">
        <w:rPr>
          <w:b/>
          <w:bCs/>
        </w:rPr>
        <w:t>l</w:t>
      </w:r>
      <w:r w:rsidR="6A07D9D1" w:rsidRPr="2C5D2C8B">
        <w:rPr>
          <w:b/>
          <w:bCs/>
        </w:rPr>
        <w:t xml:space="preserve">iquidated </w:t>
      </w:r>
      <w:r w:rsidR="54FC62F7" w:rsidRPr="2C5D2C8B">
        <w:rPr>
          <w:b/>
          <w:bCs/>
        </w:rPr>
        <w:t>d</w:t>
      </w:r>
      <w:r w:rsidR="6A07D9D1" w:rsidRPr="2C5D2C8B">
        <w:rPr>
          <w:b/>
          <w:bCs/>
        </w:rPr>
        <w:t>amages regime only</w:t>
      </w:r>
      <w:r w:rsidR="24226716">
        <w:t>.</w:t>
      </w:r>
      <w:r w:rsidR="39EC98BC">
        <w:t xml:space="preserve"> If the Contractor does not achieve Completion by the relevant Date for Completion, the Contractor must pay the Principal liquidated damages at the daily amount specified in the Contract Particulars</w:t>
      </w:r>
      <w:r w:rsidR="1867AD7F">
        <w:t>.</w:t>
      </w:r>
    </w:p>
    <w:p w14:paraId="222B7BDE" w14:textId="4CD7F6D0" w:rsidR="00924216" w:rsidRDefault="1C9F410C" w:rsidP="0005402F">
      <w:pPr>
        <w:pStyle w:val="Bulletindent"/>
      </w:pPr>
      <w:r w:rsidRPr="2C5D2C8B">
        <w:rPr>
          <w:b/>
          <w:bCs/>
        </w:rPr>
        <w:t>Alternative B</w:t>
      </w:r>
      <w:r>
        <w:t xml:space="preserve">: </w:t>
      </w:r>
      <w:r w:rsidR="54FC62F7" w:rsidRPr="2C5D2C8B">
        <w:rPr>
          <w:b/>
          <w:bCs/>
        </w:rPr>
        <w:t>d</w:t>
      </w:r>
      <w:r w:rsidR="6A07D9D1" w:rsidRPr="2C5D2C8B">
        <w:rPr>
          <w:b/>
          <w:bCs/>
        </w:rPr>
        <w:t xml:space="preserve">elayed </w:t>
      </w:r>
      <w:r w:rsidR="54FC62F7" w:rsidRPr="2C5D2C8B">
        <w:rPr>
          <w:b/>
          <w:bCs/>
        </w:rPr>
        <w:t>l</w:t>
      </w:r>
      <w:r w:rsidR="6A07D9D1" w:rsidRPr="2C5D2C8B">
        <w:rPr>
          <w:b/>
          <w:bCs/>
        </w:rPr>
        <w:t xml:space="preserve">iquidated </w:t>
      </w:r>
      <w:r w:rsidR="54FC62F7" w:rsidRPr="2C5D2C8B">
        <w:rPr>
          <w:b/>
          <w:bCs/>
        </w:rPr>
        <w:t>d</w:t>
      </w:r>
      <w:r w:rsidR="6A07D9D1" w:rsidRPr="2C5D2C8B">
        <w:rPr>
          <w:b/>
          <w:bCs/>
        </w:rPr>
        <w:t>amages regime</w:t>
      </w:r>
      <w:r w:rsidR="40584571">
        <w:t>.</w:t>
      </w:r>
      <w:r w:rsidR="39EC98BC">
        <w:t xml:space="preserve"> </w:t>
      </w:r>
      <w:r w:rsidR="6A07D9D1">
        <w:t xml:space="preserve">Liquidated </w:t>
      </w:r>
      <w:r w:rsidR="54FC62F7">
        <w:t>d</w:t>
      </w:r>
      <w:r w:rsidR="6A07D9D1">
        <w:t>amages are applied where the Performance Reward Potential Pool</w:t>
      </w:r>
      <w:r w:rsidR="39EC98BC">
        <w:t xml:space="preserve"> allocated to the </w:t>
      </w:r>
      <w:r w:rsidR="0677D67D">
        <w:t>t</w:t>
      </w:r>
      <w:r w:rsidR="39EC98BC">
        <w:t>ime KRA</w:t>
      </w:r>
      <w:r w:rsidR="6A07D9D1">
        <w:t xml:space="preserve"> is reduced to zero</w:t>
      </w:r>
      <w:r w:rsidR="0677D67D">
        <w:t xml:space="preserve"> (</w:t>
      </w:r>
      <w:r w:rsidR="1867AD7F">
        <w:t xml:space="preserve">see section </w:t>
      </w:r>
      <w:r w:rsidR="00514566">
        <w:fldChar w:fldCharType="begin" w:fldLock="1"/>
      </w:r>
      <w:r w:rsidR="00514566">
        <w:instrText xml:space="preserve"> REF _Ref132303311 \r \h </w:instrText>
      </w:r>
      <w:r w:rsidR="00514566">
        <w:fldChar w:fldCharType="separate"/>
      </w:r>
      <w:r w:rsidR="00400321">
        <w:t>5.12.5</w:t>
      </w:r>
      <w:r w:rsidR="00514566">
        <w:fldChar w:fldCharType="end"/>
      </w:r>
      <w:r w:rsidR="0677D67D">
        <w:t>). A</w:t>
      </w:r>
      <w:r w:rsidR="39EC98BC">
        <w:t>fter this point</w:t>
      </w:r>
      <w:r w:rsidR="425F557E">
        <w:t>,</w:t>
      </w:r>
      <w:r w:rsidR="39EC98BC">
        <w:t xml:space="preserve"> the Contractor must pay the Principal liquidated damages at the daily amount specified in the Contract Particulars.</w:t>
      </w:r>
      <w:r w:rsidR="0677D67D">
        <w:t xml:space="preserve"> It is expect</w:t>
      </w:r>
      <w:r w:rsidR="4CDCF95B">
        <w:t>ed</w:t>
      </w:r>
      <w:r w:rsidR="0677D67D">
        <w:t xml:space="preserve"> that this delayed liquidated damages regime appl</w:t>
      </w:r>
      <w:r w:rsidR="425F557E">
        <w:t>ies</w:t>
      </w:r>
      <w:r w:rsidR="0677D67D">
        <w:t xml:space="preserve"> to the ITC Delivery Deed. However, there may be instances where a traditional liquidated damages regime is more appropriate. This may include projects where achievement of milestones is critical</w:t>
      </w:r>
      <w:r w:rsidR="485566F8">
        <w:t>,</w:t>
      </w:r>
      <w:r w:rsidR="0677D67D">
        <w:t xml:space="preserve"> or there are multiple complex interfaces to manage.</w:t>
      </w:r>
    </w:p>
    <w:p w14:paraId="5FE51D5B" w14:textId="7E8D8E23" w:rsidR="00924216" w:rsidRDefault="39EC98BC" w:rsidP="0005402F">
      <w:pPr>
        <w:pStyle w:val="NormalIndent"/>
      </w:pPr>
      <w:r>
        <w:t>The Contractor</w:t>
      </w:r>
      <w:r w:rsidR="629BCFA6">
        <w:t>’</w:t>
      </w:r>
      <w:r>
        <w:t xml:space="preserve">s total aggregate liability to the Principal </w:t>
      </w:r>
      <w:r w:rsidR="0677D67D">
        <w:t xml:space="preserve">for liquidated damages </w:t>
      </w:r>
      <w:r>
        <w:t>is limited to an amount equal to 10</w:t>
      </w:r>
      <w:r w:rsidR="7865FA55" w:rsidRPr="2C5D2C8B">
        <w:rPr>
          <w:rFonts w:ascii="Calibri" w:hAnsi="Calibri" w:cs="Calibri"/>
        </w:rPr>
        <w:t> </w:t>
      </w:r>
      <w:r w:rsidR="11C7035F">
        <w:t>per</w:t>
      </w:r>
      <w:r w:rsidR="7865FA55" w:rsidRPr="2C5D2C8B">
        <w:rPr>
          <w:rFonts w:ascii="Calibri" w:hAnsi="Calibri" w:cs="Calibri"/>
        </w:rPr>
        <w:t> </w:t>
      </w:r>
      <w:r w:rsidR="11C7035F">
        <w:t>cent</w:t>
      </w:r>
      <w:r>
        <w:t xml:space="preserve"> of the Initial TOC.</w:t>
      </w:r>
    </w:p>
    <w:p w14:paraId="3AB1F55A" w14:textId="4F1221FE" w:rsidR="007164D2" w:rsidRPr="0089210D" w:rsidRDefault="0677D67D" w:rsidP="0005402F">
      <w:pPr>
        <w:pStyle w:val="NormalIndent"/>
      </w:pPr>
      <w:r>
        <w:t>Once the liquidated damages cap is exhausted</w:t>
      </w:r>
      <w:r w:rsidR="4B677FD9">
        <w:t>,</w:t>
      </w:r>
      <w:r>
        <w:t xml:space="preserve"> other contractual measures, such as Default Termination, are available to the Principal.</w:t>
      </w:r>
    </w:p>
    <w:p w14:paraId="62688B88" w14:textId="6383BB0E" w:rsidR="002B5BB6" w:rsidRPr="009C65D5" w:rsidRDefault="7383905E" w:rsidP="00D76786">
      <w:pPr>
        <w:pStyle w:val="Heading3numbered"/>
      </w:pPr>
      <w:bookmarkStart w:id="2195" w:name="_Ref487799859"/>
      <w:r>
        <w:t>Concurrent Delays</w:t>
      </w:r>
      <w:bookmarkEnd w:id="2195"/>
      <w:r w:rsidR="4377857B">
        <w:t xml:space="preserve"> (clause</w:t>
      </w:r>
      <w:r w:rsidR="7865FA55" w:rsidRPr="2C5D2C8B">
        <w:rPr>
          <w:rFonts w:ascii="Calibri" w:hAnsi="Calibri" w:cs="Calibri"/>
        </w:rPr>
        <w:t> </w:t>
      </w:r>
      <w:r w:rsidR="4377857B">
        <w:t>27.10 of the ITC Delivery Deed)</w:t>
      </w:r>
    </w:p>
    <w:p w14:paraId="5FBDD871" w14:textId="4E295CBA" w:rsidR="002B5BB6" w:rsidRDefault="7383905E" w:rsidP="0005402F">
      <w:pPr>
        <w:pStyle w:val="NormalIndent"/>
      </w:pPr>
      <w:r>
        <w:t xml:space="preserve">The </w:t>
      </w:r>
      <w:r w:rsidR="64161985">
        <w:t>C</w:t>
      </w:r>
      <w:r>
        <w:t xml:space="preserve">oncurrent </w:t>
      </w:r>
      <w:r w:rsidR="64161985">
        <w:t>D</w:t>
      </w:r>
      <w:r>
        <w:t>elay principle limits the Contractor</w:t>
      </w:r>
      <w:r w:rsidR="629BCFA6">
        <w:t>’</w:t>
      </w:r>
      <w:r>
        <w:t xml:space="preserve">s entitlement to time and cost relief for an Adjustment Event (Time) where, at the same time as the delay caused by the Adjustment Event (Time), the Contractor is also delayed by an event </w:t>
      </w:r>
      <w:r w:rsidR="5A7B4044">
        <w:t xml:space="preserve">that </w:t>
      </w:r>
      <w:r>
        <w:t xml:space="preserve">is not an Adjustment Event (Time). This limitation applies whether or not the Adjustment Event (Time) occurs first. </w:t>
      </w:r>
      <w:r w:rsidR="53B821AA">
        <w:t xml:space="preserve">In those circumstances, the Contractor </w:t>
      </w:r>
      <w:r w:rsidR="693828F8">
        <w:t xml:space="preserve">is </w:t>
      </w:r>
      <w:r w:rsidR="53B821AA">
        <w:t>not entitled to claim compensation.</w:t>
      </w:r>
    </w:p>
    <w:p w14:paraId="11254072" w14:textId="0A14AA1E" w:rsidR="002B5BB6" w:rsidRDefault="7383905E" w:rsidP="006D3D5C">
      <w:pPr>
        <w:pStyle w:val="NormalIndent"/>
        <w:keepNext/>
      </w:pPr>
      <w:r>
        <w:t xml:space="preserve">The exception to this principle is where there is a Principal Concurrent Event </w:t>
      </w:r>
      <w:r w:rsidR="5012C788">
        <w:t xml:space="preserve">that </w:t>
      </w:r>
      <w:r>
        <w:t xml:space="preserve">occurs before the other concurrent event </w:t>
      </w:r>
      <w:r w:rsidR="5012C788">
        <w:t xml:space="preserve">that </w:t>
      </w:r>
      <w:r>
        <w:t>is not an Adjustment Event (Time). Principal Concurrent Events consist of:</w:t>
      </w:r>
    </w:p>
    <w:p w14:paraId="1ED4B30D" w14:textId="3E996AD4" w:rsidR="002A524B" w:rsidRPr="002A524B" w:rsidRDefault="7383905E" w:rsidP="0005402F">
      <w:pPr>
        <w:pStyle w:val="Bulletindent"/>
      </w:pPr>
      <w:r>
        <w:t>an Adjustment Event (</w:t>
      </w:r>
      <w:r w:rsidR="614F3150">
        <w:t>Cost</w:t>
      </w:r>
      <w:r>
        <w:t xml:space="preserve">) </w:t>
      </w:r>
      <w:r w:rsidR="28AFF662">
        <w:t xml:space="preserve">that </w:t>
      </w:r>
      <w:r>
        <w:t xml:space="preserve">is a Principal breach of a Principal Project Document or an act or omission of the Principal or an Associate of the Principal when acting in connection with the Project </w:t>
      </w:r>
      <w:r w:rsidR="1EE9BC9F">
        <w:t xml:space="preserve">that </w:t>
      </w:r>
      <w:r>
        <w:t>is not a Permitted Act</w:t>
      </w:r>
      <w:r w:rsidR="1EE9BC9F">
        <w:t>;</w:t>
      </w:r>
      <w:r w:rsidR="60E32293">
        <w:t xml:space="preserve"> and</w:t>
      </w:r>
    </w:p>
    <w:p w14:paraId="48C32E20" w14:textId="29FE60CF" w:rsidR="001E5174" w:rsidRDefault="00EC6DF2" w:rsidP="0005402F">
      <w:pPr>
        <w:pStyle w:val="Bulletindent"/>
      </w:pPr>
      <w:r>
        <w:t>Scope Variations</w:t>
      </w:r>
      <w:r w:rsidR="002B5BB6">
        <w:t>.</w:t>
      </w:r>
    </w:p>
    <w:p w14:paraId="6394F89F" w14:textId="17E47AEB" w:rsidR="002B5BB6" w:rsidRDefault="7383905E" w:rsidP="0005402F">
      <w:pPr>
        <w:pStyle w:val="Bulletindent"/>
      </w:pPr>
      <w:r>
        <w:t>This approach to risk sharing for Concurrent Delay reflects a fair and common</w:t>
      </w:r>
      <w:r w:rsidR="007A0EBA">
        <w:noBreakHyphen/>
      </w:r>
      <w:r>
        <w:t>sense approach to causation.</w:t>
      </w:r>
    </w:p>
    <w:p w14:paraId="6512E6A4" w14:textId="0CA76E92" w:rsidR="002B5BB6" w:rsidRDefault="00D510C1" w:rsidP="0005402F">
      <w:pPr>
        <w:pStyle w:val="NormalIndent"/>
      </w:pPr>
      <w:r>
        <w:fldChar w:fldCharType="begin" w:fldLock="1"/>
      </w:r>
      <w:r>
        <w:instrText xml:space="preserve"> REF _Ref143096600 \h </w:instrText>
      </w:r>
      <w:r>
        <w:fldChar w:fldCharType="separate"/>
      </w:r>
      <w:r w:rsidR="00400321">
        <w:t xml:space="preserve">Figure </w:t>
      </w:r>
      <w:r w:rsidR="00400321">
        <w:rPr>
          <w:noProof/>
        </w:rPr>
        <w:t>11</w:t>
      </w:r>
      <w:r>
        <w:fldChar w:fldCharType="end"/>
      </w:r>
      <w:r w:rsidR="34684AC9">
        <w:t xml:space="preserve"> </w:t>
      </w:r>
      <w:r w:rsidR="7383905E">
        <w:t>illustrates where the Contractor</w:t>
      </w:r>
      <w:r w:rsidR="629BCFA6">
        <w:t>’</w:t>
      </w:r>
      <w:r w:rsidR="7383905E">
        <w:t xml:space="preserve">s entitlement to claim an extension of time is limited by the </w:t>
      </w:r>
      <w:r w:rsidR="5A2FA3C0">
        <w:t>C</w:t>
      </w:r>
      <w:r w:rsidR="7383905E">
        <w:t xml:space="preserve">oncurrent </w:t>
      </w:r>
      <w:r w:rsidR="5A2FA3C0">
        <w:t>D</w:t>
      </w:r>
      <w:r w:rsidR="7383905E">
        <w:t>elay principle set out in clause</w:t>
      </w:r>
      <w:r w:rsidR="7865FA55" w:rsidRPr="2C5D2C8B">
        <w:rPr>
          <w:rFonts w:ascii="Calibri" w:hAnsi="Calibri" w:cs="Calibri"/>
        </w:rPr>
        <w:t> </w:t>
      </w:r>
      <w:r w:rsidR="614F3150">
        <w:t>2</w:t>
      </w:r>
      <w:r w:rsidR="4377857B">
        <w:t>7</w:t>
      </w:r>
      <w:r w:rsidR="614F3150">
        <w:t>.10 of the ITC Delivery Deed</w:t>
      </w:r>
      <w:r w:rsidR="7383905E">
        <w:t>.</w:t>
      </w:r>
    </w:p>
    <w:p w14:paraId="64AA195E" w14:textId="4A2CB104" w:rsidR="00B27B1A" w:rsidRDefault="00B27B1A" w:rsidP="00BA17E2">
      <w:pPr>
        <w:pStyle w:val="Captionindent"/>
      </w:pPr>
      <w:bookmarkStart w:id="2196" w:name="_Ref143096600"/>
      <w:r>
        <w:t xml:space="preserve">Figure </w:t>
      </w:r>
      <w:r>
        <w:fldChar w:fldCharType="begin"/>
      </w:r>
      <w:r>
        <w:instrText>SEQ Figure \* ARABIC</w:instrText>
      </w:r>
      <w:r>
        <w:fldChar w:fldCharType="separate"/>
      </w:r>
      <w:r w:rsidR="00131EE1">
        <w:rPr>
          <w:noProof/>
        </w:rPr>
        <w:t>11</w:t>
      </w:r>
      <w:r>
        <w:fldChar w:fldCharType="end"/>
      </w:r>
      <w:bookmarkEnd w:id="2196"/>
      <w:r w:rsidRPr="00B27B1A">
        <w:t xml:space="preserve"> </w:t>
      </w:r>
      <w:r>
        <w:t>– Concurrent Delays</w:t>
      </w:r>
    </w:p>
    <w:p w14:paraId="65257579" w14:textId="058CCF8C" w:rsidR="00AB5DB0" w:rsidRDefault="0027776F" w:rsidP="006D3D5C">
      <w:pPr>
        <w:pStyle w:val="NormalIndent"/>
      </w:pPr>
      <w:r w:rsidRPr="0027776F">
        <w:rPr>
          <w:noProof/>
        </w:rPr>
        <w:drawing>
          <wp:inline distT="0" distB="0" distL="0" distR="0" wp14:anchorId="0B899D8E" wp14:editId="7A97A7CA">
            <wp:extent cx="5212080" cy="2541942"/>
            <wp:effectExtent l="0" t="0" r="7620" b="0"/>
            <wp:docPr id="28" name="Picture 28" descr="Figure illustrates where the Contractor’s entitlement to claim an extension of time is limited by the concurrent delay principle set out in clause 27.10 of the ITC Delivery Deed and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Figure illustrates where the Contractor’s entitlement to claim an extension of time is limited by the concurrent delay principle set out in clause 27.10 of the ITC Delivery Deed and as described above."/>
                    <pic:cNvPicPr/>
                  </pic:nvPicPr>
                  <pic:blipFill>
                    <a:blip r:embed="rId66">
                      <a:extLst>
                        <a:ext uri="{96DAC541-7B7A-43D3-8B79-37D633B846F1}">
                          <asvg:svgBlip xmlns:asvg="http://schemas.microsoft.com/office/drawing/2016/SVG/main" r:embed="rId67"/>
                        </a:ext>
                      </a:extLst>
                    </a:blip>
                    <a:stretch>
                      <a:fillRect/>
                    </a:stretch>
                  </pic:blipFill>
                  <pic:spPr>
                    <a:xfrm>
                      <a:off x="0" y="0"/>
                      <a:ext cx="5212080" cy="2541942"/>
                    </a:xfrm>
                    <a:prstGeom prst="rect">
                      <a:avLst/>
                    </a:prstGeom>
                  </pic:spPr>
                </pic:pic>
              </a:graphicData>
            </a:graphic>
          </wp:inline>
        </w:drawing>
      </w:r>
      <w:r w:rsidR="00B47B49" w:rsidRPr="00B47B49">
        <w:rPr>
          <w:noProof/>
        </w:rPr>
        <w:drawing>
          <wp:inline distT="0" distB="0" distL="0" distR="0" wp14:anchorId="2D80910A" wp14:editId="5535E527">
            <wp:extent cx="5212080" cy="2541942"/>
            <wp:effectExtent l="0" t="0" r="762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5212080" cy="2541942"/>
                    </a:xfrm>
                    <a:prstGeom prst="rect">
                      <a:avLst/>
                    </a:prstGeom>
                  </pic:spPr>
                </pic:pic>
              </a:graphicData>
            </a:graphic>
          </wp:inline>
        </w:drawing>
      </w:r>
      <w:r w:rsidR="00465284" w:rsidRPr="00465284">
        <w:rPr>
          <w:noProof/>
        </w:rPr>
        <w:drawing>
          <wp:inline distT="0" distB="0" distL="0" distR="0" wp14:anchorId="2C4ACEA2" wp14:editId="2C26AF79">
            <wp:extent cx="5212080" cy="2541943"/>
            <wp:effectExtent l="0" t="0" r="762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5212080" cy="2541943"/>
                    </a:xfrm>
                    <a:prstGeom prst="rect">
                      <a:avLst/>
                    </a:prstGeom>
                  </pic:spPr>
                </pic:pic>
              </a:graphicData>
            </a:graphic>
          </wp:inline>
        </w:drawing>
      </w:r>
    </w:p>
    <w:p w14:paraId="59B21E2F" w14:textId="4D98D990" w:rsidR="002B5BB6" w:rsidRPr="009C65D5" w:rsidRDefault="7383905E" w:rsidP="009475C7">
      <w:pPr>
        <w:pStyle w:val="Heading3numbered"/>
      </w:pPr>
      <w:r>
        <w:t>Acceleration</w:t>
      </w:r>
      <w:r w:rsidR="4377857B">
        <w:t xml:space="preserve"> (clauses</w:t>
      </w:r>
      <w:r w:rsidR="7865FA55" w:rsidRPr="2C5D2C8B">
        <w:rPr>
          <w:rFonts w:ascii="Calibri" w:hAnsi="Calibri" w:cs="Calibri"/>
        </w:rPr>
        <w:t> </w:t>
      </w:r>
      <w:r w:rsidR="4377857B">
        <w:t>27.11, 27.12, 27.13 and 27.15 of the ITC Delivery Deed)</w:t>
      </w:r>
    </w:p>
    <w:p w14:paraId="213CE24B" w14:textId="7A11113B" w:rsidR="002B5BB6" w:rsidRDefault="7383905E" w:rsidP="0005402F">
      <w:pPr>
        <w:pStyle w:val="NormalIndent"/>
      </w:pPr>
      <w:r>
        <w:t xml:space="preserve">The Contractor may choose to compress the </w:t>
      </w:r>
      <w:r w:rsidR="614F3150">
        <w:t>Contractor</w:t>
      </w:r>
      <w:r w:rsidR="182D99C3">
        <w:t>’</w:t>
      </w:r>
      <w:r w:rsidR="614F3150">
        <w:t>s Activities</w:t>
      </w:r>
      <w:r>
        <w:t xml:space="preserve"> or otherwise accelerate progress at its own cost and risk.</w:t>
      </w:r>
    </w:p>
    <w:p w14:paraId="752A537B" w14:textId="3FACE360" w:rsidR="007A52F0" w:rsidRDefault="5429EC5A" w:rsidP="0005402F">
      <w:pPr>
        <w:pStyle w:val="NormalIndent"/>
      </w:pPr>
      <w:r>
        <w:t>The Principal may direct the Contractor to complete the Contractor</w:t>
      </w:r>
      <w:r w:rsidR="51525540">
        <w:t>’</w:t>
      </w:r>
      <w:r>
        <w:t xml:space="preserve">s Activities in advance of the </w:t>
      </w:r>
      <w:r w:rsidR="76635CCF">
        <w:t>D</w:t>
      </w:r>
      <w:r>
        <w:t xml:space="preserve">ate for </w:t>
      </w:r>
      <w:r w:rsidR="76635CCF">
        <w:t>C</w:t>
      </w:r>
      <w:r>
        <w:t>ompletion of those activities shown on the Program, including to:</w:t>
      </w:r>
    </w:p>
    <w:p w14:paraId="436B9F69" w14:textId="2C494AE1" w:rsidR="002A524B" w:rsidRPr="002A524B" w:rsidRDefault="5429EC5A" w:rsidP="0005402F">
      <w:pPr>
        <w:pStyle w:val="Bulletindent"/>
      </w:pPr>
      <w:r>
        <w:t>achieve Completion prior to the relevant Date for Completion</w:t>
      </w:r>
      <w:r w:rsidR="51525540">
        <w:t xml:space="preserve">; </w:t>
      </w:r>
      <w:r w:rsidR="1DBF7C81">
        <w:t>or</w:t>
      </w:r>
    </w:p>
    <w:p w14:paraId="5465F9AE" w14:textId="68A61058" w:rsidR="007A52F0" w:rsidRPr="009C65D5" w:rsidRDefault="5429EC5A" w:rsidP="0005402F">
      <w:pPr>
        <w:pStyle w:val="Bulletindent"/>
      </w:pPr>
      <w:r>
        <w:t xml:space="preserve">overcome or minimise the extent and effects of some </w:t>
      </w:r>
      <w:r w:rsidR="7817D05F">
        <w:t xml:space="preserve">or </w:t>
      </w:r>
      <w:r>
        <w:t>all of a delay caused by an Adjustment Event (Time) for which the Contractor is or would have been entitled to an extension of time to a Date for Completion</w:t>
      </w:r>
      <w:r w:rsidR="5791D9F3">
        <w:t xml:space="preserve"> </w:t>
      </w:r>
      <w:r>
        <w:t>for that Adjustment Event (Time).</w:t>
      </w:r>
    </w:p>
    <w:p w14:paraId="6740249B" w14:textId="501C04BF" w:rsidR="007A52F0" w:rsidRDefault="5429EC5A" w:rsidP="0005402F">
      <w:pPr>
        <w:pStyle w:val="NormalIndent"/>
      </w:pPr>
      <w:r>
        <w:t>The Contractor must submit a written claim to the Principal and the Principal Representative within the time required under the ITC Delivery Deed setting out the estimated time and cost consequences of accelerating any part or the whole of the Contractor</w:t>
      </w:r>
      <w:r w:rsidR="0AC2826C">
        <w:t>’</w:t>
      </w:r>
      <w:r>
        <w:t>s Activities</w:t>
      </w:r>
      <w:r w:rsidR="0AC2826C">
        <w:t xml:space="preserve"> that are</w:t>
      </w:r>
      <w:r>
        <w:t xml:space="preserve"> the subject of the Principal</w:t>
      </w:r>
      <w:r w:rsidR="0AC2826C">
        <w:t>’</w:t>
      </w:r>
      <w:r>
        <w:t>s notice and must identify whether and to what extent that acceleration is reasonably achievable in the circumstances. If the Principal Representative accepts an acceleration proposal, the Contractor</w:t>
      </w:r>
      <w:r w:rsidR="74D38558">
        <w:t>’</w:t>
      </w:r>
      <w:r>
        <w:t xml:space="preserve">s entitlements (including to extensions of time and adjustments to the TOC and KRAs) in connection with the acceleration </w:t>
      </w:r>
      <w:r w:rsidR="4ABF2C58">
        <w:t>are</w:t>
      </w:r>
      <w:r>
        <w:t xml:space="preserve"> governed by the proposal </w:t>
      </w:r>
      <w:r w:rsidR="4ABF2C58">
        <w:t xml:space="preserve">that </w:t>
      </w:r>
      <w:r>
        <w:t>was accepted by the Principal Representative.</w:t>
      </w:r>
    </w:p>
    <w:p w14:paraId="70093649" w14:textId="28161714" w:rsidR="007A52F0" w:rsidRDefault="5429EC5A" w:rsidP="0005402F">
      <w:pPr>
        <w:pStyle w:val="NormalIndent"/>
      </w:pPr>
      <w:r>
        <w:t xml:space="preserve">The Contractor </w:t>
      </w:r>
      <w:r w:rsidR="75E412C3">
        <w:t>is</w:t>
      </w:r>
      <w:r>
        <w:t xml:space="preserve"> entitled to claim as Reimbursable Costs the direct, reasonable and properly evidenced extra costs necessarily incurred by the Contractor by reason of the direction</w:t>
      </w:r>
      <w:r w:rsidR="75E412C3">
        <w:t>,</w:t>
      </w:r>
      <w:r>
        <w:t xml:space="preserve"> as determined by the Principal Representative, except that the Contractor </w:t>
      </w:r>
      <w:r w:rsidR="07CF60C0">
        <w:t>has</w:t>
      </w:r>
      <w:r>
        <w:t xml:space="preserve"> no entitlement to claim Reimbursable Costs for a direction to accelerate to the extent</w:t>
      </w:r>
      <w:r w:rsidR="7CC41FF3">
        <w:t xml:space="preserve"> that</w:t>
      </w:r>
      <w:r>
        <w:t>:</w:t>
      </w:r>
    </w:p>
    <w:p w14:paraId="4F45B5AF" w14:textId="25DE0E70" w:rsidR="002A524B" w:rsidRPr="002A524B" w:rsidRDefault="5429EC5A" w:rsidP="0005402F">
      <w:pPr>
        <w:pStyle w:val="Bulletindent"/>
      </w:pPr>
      <w:r>
        <w:t>the need for acceleration arises out of or in connection with any breach of the Project Documents by the Contractor (</w:t>
      </w:r>
      <w:r w:rsidR="2848D62A">
        <w:t>e.g.</w:t>
      </w:r>
      <w:r>
        <w:t xml:space="preserve"> a failure to reach Completion by the Date for Completion)</w:t>
      </w:r>
      <w:r w:rsidR="07CF60C0">
        <w:t>; or</w:t>
      </w:r>
    </w:p>
    <w:p w14:paraId="0D60A5CC" w14:textId="1DCE0B31" w:rsidR="007A52F0" w:rsidRDefault="5429EC5A" w:rsidP="0005402F">
      <w:pPr>
        <w:pStyle w:val="Bulletindent"/>
      </w:pPr>
      <w:r>
        <w:t>the direction for acceleration is</w:t>
      </w:r>
      <w:r w:rsidR="0A8E731B">
        <w:t>,</w:t>
      </w:r>
      <w:r>
        <w:t xml:space="preserve"> in effect</w:t>
      </w:r>
      <w:r w:rsidR="0A8E731B">
        <w:t>,</w:t>
      </w:r>
      <w:r>
        <w:t xml:space="preserve"> a direction to the Contractor to take corrective action to rectify any non-compliance with the requirements of the Project Documents.</w:t>
      </w:r>
    </w:p>
    <w:p w14:paraId="4FC546FE" w14:textId="2EE86F15" w:rsidR="007A52F0" w:rsidRDefault="5429EC5A" w:rsidP="000C32E9">
      <w:pPr>
        <w:pStyle w:val="NormalIndent"/>
        <w:keepNext/>
      </w:pPr>
      <w:r>
        <w:t>If compliance with the Principal Representative</w:t>
      </w:r>
      <w:r w:rsidR="0C8AAD6C">
        <w:t>’</w:t>
      </w:r>
      <w:r>
        <w:t xml:space="preserve">s direction causes the Contractor to incur more or less cost than would have been incurred had the Contractor not been given the notice, </w:t>
      </w:r>
      <w:r w:rsidR="33477142">
        <w:t xml:space="preserve">the </w:t>
      </w:r>
      <w:r>
        <w:t>notice constitute</w:t>
      </w:r>
      <w:r w:rsidR="7CC41FF3">
        <w:t>s</w:t>
      </w:r>
      <w:r>
        <w:t xml:space="preserve"> an Adjustment Event (Cost), except to the extent</w:t>
      </w:r>
      <w:r w:rsidR="7CC41FF3">
        <w:t xml:space="preserve"> that</w:t>
      </w:r>
      <w:r>
        <w:t>:</w:t>
      </w:r>
    </w:p>
    <w:p w14:paraId="14C03BC8" w14:textId="2C3561AD" w:rsidR="002A524B" w:rsidRPr="002A524B" w:rsidRDefault="5429EC5A" w:rsidP="000C32E9">
      <w:pPr>
        <w:pStyle w:val="Bulletindent"/>
        <w:keepNext/>
      </w:pPr>
      <w:r>
        <w:t>the need for acceleration arises out of or in connection with any breach of the Project Documents by the Contractor (</w:t>
      </w:r>
      <w:r w:rsidR="2848D62A">
        <w:t>e.g.</w:t>
      </w:r>
      <w:r>
        <w:t xml:space="preserve"> a failure to reach Completion by the Date for Completion)</w:t>
      </w:r>
      <w:r w:rsidR="33477142">
        <w:t>; or</w:t>
      </w:r>
    </w:p>
    <w:p w14:paraId="0FE62E0E" w14:textId="47458FF8" w:rsidR="007A52F0" w:rsidRPr="009C65D5" w:rsidRDefault="5429EC5A" w:rsidP="0005402F">
      <w:pPr>
        <w:pStyle w:val="Bulletindent"/>
      </w:pPr>
      <w:r>
        <w:t>the direction for acceleration is</w:t>
      </w:r>
      <w:r w:rsidR="33477142">
        <w:t>,</w:t>
      </w:r>
      <w:r>
        <w:t xml:space="preserve"> in effect</w:t>
      </w:r>
      <w:r w:rsidR="33477142">
        <w:t>,</w:t>
      </w:r>
      <w:r>
        <w:t xml:space="preserve"> a direction to the Contractor to take corrective action to rectify any non-compliance with the requirements of the Project Documents.</w:t>
      </w:r>
    </w:p>
    <w:p w14:paraId="6DEC0415" w14:textId="2DE1B755" w:rsidR="00232F50" w:rsidRPr="000C75CA" w:rsidRDefault="79789428" w:rsidP="00985F69">
      <w:pPr>
        <w:pStyle w:val="Heading2numbered"/>
      </w:pPr>
      <w:bookmarkStart w:id="2197" w:name="_Toc133577907"/>
      <w:bookmarkStart w:id="2198" w:name="_Toc145612602"/>
      <w:r>
        <w:t>Variations</w:t>
      </w:r>
      <w:bookmarkEnd w:id="2197"/>
      <w:r w:rsidR="6B3711B5">
        <w:t xml:space="preserve"> </w:t>
      </w:r>
      <w:r w:rsidR="4377857B">
        <w:t>(clauses</w:t>
      </w:r>
      <w:r w:rsidR="7865FA55" w:rsidRPr="2C5D2C8B">
        <w:rPr>
          <w:rFonts w:ascii="Calibri" w:hAnsi="Calibri" w:cs="Calibri"/>
        </w:rPr>
        <w:t> </w:t>
      </w:r>
      <w:r w:rsidR="4377857B">
        <w:t xml:space="preserve">1, 6, 34, 35 and 36 of, and </w:t>
      </w:r>
      <w:r w:rsidR="1133178F">
        <w:t>S</w:t>
      </w:r>
      <w:r w:rsidR="4377857B">
        <w:t>chedules</w:t>
      </w:r>
      <w:r w:rsidR="7865FA55" w:rsidRPr="2C5D2C8B">
        <w:rPr>
          <w:rFonts w:ascii="Calibri" w:hAnsi="Calibri" w:cs="Calibri"/>
        </w:rPr>
        <w:t> </w:t>
      </w:r>
      <w:r w:rsidR="4377857B">
        <w:t>9 and 15 to, the ITC Delivery Deed)</w:t>
      </w:r>
      <w:bookmarkEnd w:id="2198"/>
    </w:p>
    <w:p w14:paraId="12659C15" w14:textId="79B54674" w:rsidR="00232F50" w:rsidRPr="000C75CA" w:rsidRDefault="79789428" w:rsidP="003F1C3F">
      <w:pPr>
        <w:pStyle w:val="Heading3numbered"/>
      </w:pPr>
      <w:r>
        <w:t>Introduction</w:t>
      </w:r>
      <w:r w:rsidR="4377857B">
        <w:t xml:space="preserve"> (clauses</w:t>
      </w:r>
      <w:r w:rsidR="7865FA55" w:rsidRPr="2C5D2C8B">
        <w:rPr>
          <w:rFonts w:ascii="Calibri" w:hAnsi="Calibri" w:cs="Calibri"/>
        </w:rPr>
        <w:t> </w:t>
      </w:r>
      <w:r w:rsidR="4377857B">
        <w:t xml:space="preserve">1 and 34.1 of, and </w:t>
      </w:r>
      <w:r w:rsidR="1133178F">
        <w:t>S</w:t>
      </w:r>
      <w:r w:rsidR="4377857B">
        <w:t>chedule</w:t>
      </w:r>
      <w:r w:rsidR="7865FA55" w:rsidRPr="2C5D2C8B">
        <w:rPr>
          <w:rFonts w:ascii="Calibri" w:hAnsi="Calibri" w:cs="Calibri"/>
        </w:rPr>
        <w:t> </w:t>
      </w:r>
      <w:r w:rsidR="4377857B">
        <w:t>15 to, the ITC Delivery Deed)</w:t>
      </w:r>
    </w:p>
    <w:p w14:paraId="4893E2D5" w14:textId="6349D4BB" w:rsidR="00F24408" w:rsidRPr="00356BE2" w:rsidRDefault="00066E49" w:rsidP="0005402F">
      <w:pPr>
        <w:pStyle w:val="NormalIndent"/>
      </w:pPr>
      <w:r w:rsidRPr="000C75CA">
        <w:t xml:space="preserve">A </w:t>
      </w:r>
      <w:r w:rsidR="00232F50" w:rsidRPr="000C75CA">
        <w:t>Variat</w:t>
      </w:r>
      <w:r w:rsidR="00232F50" w:rsidRPr="00356BE2">
        <w:t>ion is</w:t>
      </w:r>
      <w:r w:rsidR="00F24408" w:rsidRPr="00356BE2">
        <w:t>:</w:t>
      </w:r>
    </w:p>
    <w:p w14:paraId="6DB2BCBC" w14:textId="5ABDBDFD" w:rsidR="00F24408" w:rsidRPr="00D762E5" w:rsidRDefault="1316778D" w:rsidP="0005402F">
      <w:pPr>
        <w:pStyle w:val="Bulletindent"/>
      </w:pPr>
      <w:r>
        <w:t>an increase, decrease or omission of any part of the Contractor</w:t>
      </w:r>
      <w:r w:rsidR="695AFFEB">
        <w:t>’</w:t>
      </w:r>
      <w:r>
        <w:t>s Activities</w:t>
      </w:r>
      <w:r w:rsidR="695AFFEB">
        <w:t>;</w:t>
      </w:r>
    </w:p>
    <w:p w14:paraId="7CFF6D42" w14:textId="150D9F11" w:rsidR="00F24408" w:rsidRPr="00CD6F14" w:rsidRDefault="1316778D" w:rsidP="0005402F">
      <w:pPr>
        <w:pStyle w:val="Bulletindent"/>
      </w:pPr>
      <w:r>
        <w:t>a change to the character or quality of any material or work or of anything described in the ITC Delivery Deed or the Design Documentation</w:t>
      </w:r>
      <w:r w:rsidR="695AFFEB">
        <w:t>;</w:t>
      </w:r>
    </w:p>
    <w:p w14:paraId="6E0F6BA5" w14:textId="7CEF68A3" w:rsidR="00F24408" w:rsidRPr="00CD6F14" w:rsidRDefault="1316778D" w:rsidP="0005402F">
      <w:pPr>
        <w:pStyle w:val="Bulletindent"/>
      </w:pPr>
      <w:r>
        <w:t>a change to the levels, lines, positions or dimensions of anything described in the ITC Delivery Deed, the Design Documentation or any part of the Contractor</w:t>
      </w:r>
      <w:r w:rsidR="695AFFEB">
        <w:t>’</w:t>
      </w:r>
      <w:r>
        <w:t>s Activities</w:t>
      </w:r>
      <w:r w:rsidR="695AFFEB">
        <w:t>;</w:t>
      </w:r>
    </w:p>
    <w:p w14:paraId="50413B52" w14:textId="19D6A7CD" w:rsidR="002A524B" w:rsidRPr="002A524B" w:rsidRDefault="1316778D" w:rsidP="0005402F">
      <w:pPr>
        <w:pStyle w:val="Bulletindent"/>
      </w:pPr>
      <w:r>
        <w:t>the performance of additional work</w:t>
      </w:r>
      <w:r w:rsidR="05425C66">
        <w:t>;</w:t>
      </w:r>
      <w:r w:rsidR="1E51A938">
        <w:t xml:space="preserve"> or</w:t>
      </w:r>
    </w:p>
    <w:p w14:paraId="2E60E186" w14:textId="25D0A471" w:rsidR="00F24408" w:rsidRPr="00D91071" w:rsidRDefault="00F24408" w:rsidP="0005402F">
      <w:pPr>
        <w:pStyle w:val="Bulletindent"/>
      </w:pPr>
      <w:r w:rsidRPr="00D91071">
        <w:t>the demolition or removal of material or work no longer required by the Principal</w:t>
      </w:r>
      <w:r w:rsidR="00066E49">
        <w:t>.</w:t>
      </w:r>
    </w:p>
    <w:p w14:paraId="255ADEB4" w14:textId="67E4494B" w:rsidR="00232F50" w:rsidRPr="00C0343C" w:rsidRDefault="6350A610" w:rsidP="0005402F">
      <w:pPr>
        <w:pStyle w:val="NormalIndent"/>
      </w:pPr>
      <w:r>
        <w:t>The occurrence of c</w:t>
      </w:r>
      <w:r w:rsidR="79789428">
        <w:t xml:space="preserve">ertain events </w:t>
      </w:r>
      <w:r w:rsidR="1E51A938">
        <w:t>is</w:t>
      </w:r>
      <w:r w:rsidR="77276072">
        <w:t xml:space="preserve"> deemed to be a</w:t>
      </w:r>
      <w:r w:rsidR="79789428">
        <w:t xml:space="preserve"> Variation.</w:t>
      </w:r>
    </w:p>
    <w:p w14:paraId="2A1E74BC" w14:textId="77777777" w:rsidR="00232F50" w:rsidRPr="00356BE2" w:rsidRDefault="00232F50" w:rsidP="0005402F">
      <w:pPr>
        <w:pStyle w:val="Bulletindent"/>
      </w:pPr>
      <w:r w:rsidRPr="00356BE2">
        <w:t>Variations do not include:</w:t>
      </w:r>
    </w:p>
    <w:p w14:paraId="38B80B5D" w14:textId="081E2DA2" w:rsidR="002A524B" w:rsidRPr="002A524B" w:rsidRDefault="79789428" w:rsidP="0005402F">
      <w:pPr>
        <w:pStyle w:val="Bulletindent"/>
      </w:pPr>
      <w:r>
        <w:t xml:space="preserve">Changes in Law or Changes in Policy (unless they are a Change in Mandatory Requirements </w:t>
      </w:r>
      <w:r w:rsidR="1E51A938">
        <w:t xml:space="preserve">that are </w:t>
      </w:r>
      <w:r>
        <w:t>the subject of a Variation Proposal)</w:t>
      </w:r>
      <w:r w:rsidR="1E51A938">
        <w:t>; or</w:t>
      </w:r>
    </w:p>
    <w:p w14:paraId="0196FC3E" w14:textId="65BF4E6C" w:rsidR="00F24408" w:rsidRPr="004F2825" w:rsidRDefault="1316778D" w:rsidP="0005402F">
      <w:pPr>
        <w:pStyle w:val="Bulletindent"/>
      </w:pPr>
      <w:r>
        <w:t>directions by the Principal or the Principal Representative to perform the Contractor</w:t>
      </w:r>
      <w:r w:rsidR="1E51A938">
        <w:t>’</w:t>
      </w:r>
      <w:r>
        <w:t>s Activities in accordance with the ITC Delivery Deed or in respect of Provisional Sum Work.</w:t>
      </w:r>
    </w:p>
    <w:p w14:paraId="138B4670" w14:textId="48584495" w:rsidR="00F24408" w:rsidRPr="00C0343C" w:rsidRDefault="79789428" w:rsidP="000C32E9">
      <w:pPr>
        <w:pStyle w:val="NormalIndent"/>
        <w:keepNext/>
      </w:pPr>
      <w:r>
        <w:t>The Contractor acknowledges and agrees that an amount for Variation</w:t>
      </w:r>
      <w:r w:rsidR="179F7332">
        <w:t>s</w:t>
      </w:r>
      <w:r w:rsidR="1316778D">
        <w:t>, other than Variations determined to be Scope Variations</w:t>
      </w:r>
      <w:r w:rsidR="6350A610">
        <w:t>,</w:t>
      </w:r>
      <w:r>
        <w:t xml:space="preserve"> is included in the Risk </w:t>
      </w:r>
      <w:r w:rsidR="2C518519">
        <w:t>and</w:t>
      </w:r>
      <w:r>
        <w:t xml:space="preserve"> Contingency Provisions component of the TOC. The Contractor bears the risk of less material Variations and is only entitled to make a Claim </w:t>
      </w:r>
      <w:r w:rsidR="47B6E1AC">
        <w:t xml:space="preserve">for an adjustment to the TOC, KRAs or a Date for Completion for </w:t>
      </w:r>
      <w:r>
        <w:t xml:space="preserve">Scope Variations. Scope Variations are Variations </w:t>
      </w:r>
      <w:r w:rsidR="22E63684">
        <w:t xml:space="preserve">that </w:t>
      </w:r>
      <w:r>
        <w:t>amount to either</w:t>
      </w:r>
      <w:r w:rsidR="1316778D">
        <w:t>:</w:t>
      </w:r>
    </w:p>
    <w:p w14:paraId="5F1F0FF4" w14:textId="08F07024" w:rsidR="002A524B" w:rsidRPr="002A524B" w:rsidRDefault="79789428" w:rsidP="0005402F">
      <w:pPr>
        <w:pStyle w:val="Bulletindent"/>
      </w:pPr>
      <w:r>
        <w:t xml:space="preserve">a significant change, </w:t>
      </w:r>
      <w:r w:rsidR="1316778D">
        <w:t xml:space="preserve">significant </w:t>
      </w:r>
      <w:r>
        <w:t xml:space="preserve">amendment or </w:t>
      </w:r>
      <w:r w:rsidR="1316778D">
        <w:t xml:space="preserve">significant </w:t>
      </w:r>
      <w:r>
        <w:t xml:space="preserve">alteration to the scope of the </w:t>
      </w:r>
      <w:r w:rsidR="1316778D">
        <w:t>Contractor</w:t>
      </w:r>
      <w:r w:rsidR="22E63684">
        <w:t>’</w:t>
      </w:r>
      <w:r w:rsidR="1316778D">
        <w:t>s Activities</w:t>
      </w:r>
      <w:r w:rsidR="22E63684">
        <w:t>; or</w:t>
      </w:r>
    </w:p>
    <w:p w14:paraId="6139E5A9" w14:textId="56327B43" w:rsidR="00232F50" w:rsidRPr="00D762E5" w:rsidRDefault="79789428" w:rsidP="0005402F">
      <w:pPr>
        <w:pStyle w:val="Bulletindent"/>
      </w:pPr>
      <w:r>
        <w:t xml:space="preserve">a significant change to the fundamental requirements of the </w:t>
      </w:r>
      <w:r w:rsidR="1316778D">
        <w:t>Contractor</w:t>
      </w:r>
      <w:r w:rsidR="22E63684">
        <w:t>’</w:t>
      </w:r>
      <w:r w:rsidR="1316778D">
        <w:t>s Activities</w:t>
      </w:r>
      <w:r>
        <w:t>.</w:t>
      </w:r>
    </w:p>
    <w:p w14:paraId="052C6A9A" w14:textId="657C4223" w:rsidR="00232F50" w:rsidRPr="00763175" w:rsidRDefault="4A89844E" w:rsidP="00985F69">
      <w:pPr>
        <w:pStyle w:val="Heading3numbered"/>
      </w:pPr>
      <w:r>
        <w:t>Variations requested by the Principal</w:t>
      </w:r>
      <w:r w:rsidR="4377857B">
        <w:t xml:space="preserve"> (clause</w:t>
      </w:r>
      <w:r w:rsidR="7865FA55" w:rsidRPr="2C5D2C8B">
        <w:rPr>
          <w:rFonts w:ascii="Calibri" w:hAnsi="Calibri" w:cs="Calibri"/>
        </w:rPr>
        <w:t> </w:t>
      </w:r>
      <w:r w:rsidR="4377857B">
        <w:t>34.1 of the ITC Delivery Deed)</w:t>
      </w:r>
    </w:p>
    <w:p w14:paraId="682A4A67" w14:textId="11928FA6" w:rsidR="00356BE2" w:rsidRDefault="79789428" w:rsidP="0005402F">
      <w:pPr>
        <w:pStyle w:val="NormalIndent"/>
      </w:pPr>
      <w:r>
        <w:t xml:space="preserve">At any time </w:t>
      </w:r>
      <w:r w:rsidR="4A89844E">
        <w:t>prior to the issue of the Final Certificate</w:t>
      </w:r>
      <w:r>
        <w:t>,</w:t>
      </w:r>
      <w:r w:rsidR="47B6E1AC">
        <w:t xml:space="preserve"> the Principal may issue a Variation Request to the Contractor </w:t>
      </w:r>
      <w:r w:rsidR="12D5C245">
        <w:t xml:space="preserve">that </w:t>
      </w:r>
      <w:r w:rsidR="47B6E1AC">
        <w:t>must include details of:</w:t>
      </w:r>
    </w:p>
    <w:p w14:paraId="2A9F7468" w14:textId="01A120FA" w:rsidR="002A524B" w:rsidRPr="002A524B" w:rsidRDefault="47B6E1AC" w:rsidP="0005402F">
      <w:pPr>
        <w:pStyle w:val="Bulletindent"/>
      </w:pPr>
      <w:r>
        <w:t xml:space="preserve">the proposed Variation or Scope Variation (as applicable) </w:t>
      </w:r>
      <w:r w:rsidR="12D5C245">
        <w:t xml:space="preserve">that </w:t>
      </w:r>
      <w:r>
        <w:t>the Principal is considering</w:t>
      </w:r>
      <w:r w:rsidR="12D5C245">
        <w:t>;</w:t>
      </w:r>
      <w:r w:rsidR="0FC2F416">
        <w:t xml:space="preserve"> and</w:t>
      </w:r>
    </w:p>
    <w:p w14:paraId="24A5A687" w14:textId="2C21E01D" w:rsidR="00356BE2" w:rsidRDefault="00356BE2" w:rsidP="0005402F">
      <w:pPr>
        <w:pStyle w:val="Bulletindent"/>
      </w:pPr>
      <w:r>
        <w:t>any specific information that the Principal requires the Contractor to include in its Variation Proposal or that may be relevant to the preparation of the Variation Proposal, including whether the Contractor considers that the proposed Variation is a Scope Variation.</w:t>
      </w:r>
    </w:p>
    <w:p w14:paraId="5F4FAE1A" w14:textId="4EFF6AA3" w:rsidR="00356BE2" w:rsidRDefault="47B6E1AC" w:rsidP="0005402F">
      <w:pPr>
        <w:pStyle w:val="NormalIndent"/>
      </w:pPr>
      <w:r>
        <w:t xml:space="preserve">The Principal </w:t>
      </w:r>
      <w:r w:rsidR="25D38708">
        <w:t xml:space="preserve">is </w:t>
      </w:r>
      <w:r>
        <w:t>not obliged to proceed with any Variation or Scope Variation (as applicable) proposed in a Variation Request.</w:t>
      </w:r>
    </w:p>
    <w:p w14:paraId="7F8610C5" w14:textId="1016ECBF" w:rsidR="00232F50" w:rsidRPr="005F1B15" w:rsidRDefault="47B6E1AC" w:rsidP="00985F69">
      <w:pPr>
        <w:pStyle w:val="Heading3numbered"/>
      </w:pPr>
      <w:r>
        <w:t xml:space="preserve">Directions giving rise to </w:t>
      </w:r>
      <w:r w:rsidR="25D38708">
        <w:t xml:space="preserve">a </w:t>
      </w:r>
      <w:r>
        <w:t>Variation or Scope Variation</w:t>
      </w:r>
      <w:r w:rsidR="4377857B">
        <w:t xml:space="preserve"> (clause</w:t>
      </w:r>
      <w:r w:rsidR="7865FA55" w:rsidRPr="2C5D2C8B">
        <w:rPr>
          <w:rFonts w:ascii="Calibri" w:hAnsi="Calibri" w:cs="Calibri"/>
        </w:rPr>
        <w:t> </w:t>
      </w:r>
      <w:r w:rsidR="4377857B">
        <w:t>34.4 of the ITC Delivery Deed)</w:t>
      </w:r>
    </w:p>
    <w:p w14:paraId="72702092" w14:textId="41882399" w:rsidR="00356BE2" w:rsidRDefault="79789428" w:rsidP="0005402F">
      <w:pPr>
        <w:pStyle w:val="NormalIndent"/>
      </w:pPr>
      <w:r>
        <w:t>At any time</w:t>
      </w:r>
      <w:r w:rsidR="25D38708">
        <w:t>,</w:t>
      </w:r>
      <w:r>
        <w:t xml:space="preserve"> if the Contractor considers that an approval, consent, direction, requirement, determination, request, claim, notice, agreement, demand or the like (a </w:t>
      </w:r>
      <w:r w:rsidRPr="2C5D2C8B">
        <w:rPr>
          <w:b/>
          <w:bCs/>
        </w:rPr>
        <w:t>direction</w:t>
      </w:r>
      <w:r>
        <w:t>) by the Principal constitutes or involves a Variation</w:t>
      </w:r>
      <w:r w:rsidR="47B6E1AC">
        <w:t xml:space="preserve"> or Scope Variation</w:t>
      </w:r>
      <w:r w:rsidR="736D6D4B">
        <w:t>,</w:t>
      </w:r>
      <w:r w:rsidR="47B6E1AC">
        <w:t xml:space="preserve"> and the Principal has not given that direction by way of a Variation Order or Scope Variation Order (as applicable), the Contractor must</w:t>
      </w:r>
      <w:r w:rsidR="3EAE6DCD">
        <w:t>:</w:t>
      </w:r>
    </w:p>
    <w:p w14:paraId="0B18940F" w14:textId="044BBE3D" w:rsidR="002A524B" w:rsidRPr="002A524B" w:rsidRDefault="3EAE6DCD" w:rsidP="0005402F">
      <w:pPr>
        <w:pStyle w:val="Bulletindent"/>
      </w:pPr>
      <w:r>
        <w:t>give written notice to the Principal within the time period required under the ITC Delivery Deed that it considers the direction constitutes or involves a Variation or Scope Variation (as applicable)</w:t>
      </w:r>
      <w:r w:rsidR="5F05C66A">
        <w:t>;</w:t>
      </w:r>
      <w:r w:rsidR="01E20A3A">
        <w:t xml:space="preserve"> and</w:t>
      </w:r>
    </w:p>
    <w:p w14:paraId="57973900" w14:textId="61F3F6D0" w:rsidR="005D2172" w:rsidRDefault="3EAE6DCD" w:rsidP="0005402F">
      <w:pPr>
        <w:pStyle w:val="Bulletindent"/>
      </w:pPr>
      <w:r>
        <w:t>give the Principal a Variation Proposal within the time period required under the ITC Delivery Deed, as if that direction by the Principal was a Variation Request.</w:t>
      </w:r>
    </w:p>
    <w:p w14:paraId="3A7646D5" w14:textId="1898D4B9" w:rsidR="00C313D6" w:rsidRDefault="3EAE6DCD" w:rsidP="000C32E9">
      <w:pPr>
        <w:pStyle w:val="NormalIndent"/>
        <w:keepNext/>
      </w:pPr>
      <w:r>
        <w:t>If</w:t>
      </w:r>
      <w:r w:rsidR="634E5864">
        <w:t>, within 10 Business Days</w:t>
      </w:r>
      <w:r w:rsidR="28A923D6">
        <w:t>, the Principal</w:t>
      </w:r>
      <w:r w:rsidR="4895D259">
        <w:t xml:space="preserve"> does not:</w:t>
      </w:r>
    </w:p>
    <w:p w14:paraId="3A9EC0B5" w14:textId="2D2078D7" w:rsidR="005D2172" w:rsidRDefault="634E5864" w:rsidP="2C5D2C8B">
      <w:pPr>
        <w:pStyle w:val="Bullet3"/>
        <w:keepNext/>
      </w:pPr>
      <w:r>
        <w:t xml:space="preserve">issue a notice </w:t>
      </w:r>
      <w:r w:rsidR="165E0296">
        <w:t xml:space="preserve">that </w:t>
      </w:r>
      <w:r w:rsidR="3EAE6DCD">
        <w:t>is a Variation Order or Scope Variation Order (as applicable) in respect of the relevant direction</w:t>
      </w:r>
      <w:r w:rsidR="165E0296">
        <w:t>;</w:t>
      </w:r>
    </w:p>
    <w:p w14:paraId="44356BB9" w14:textId="1318B7FB" w:rsidR="00EB18C7" w:rsidRDefault="3EAE6DCD" w:rsidP="000C32E9">
      <w:pPr>
        <w:pStyle w:val="Bulletindent"/>
        <w:keepNext/>
      </w:pPr>
      <w:r>
        <w:t>withdraw</w:t>
      </w:r>
      <w:r w:rsidR="634E5864">
        <w:t xml:space="preserve"> </w:t>
      </w:r>
      <w:r>
        <w:t>the direction</w:t>
      </w:r>
      <w:r w:rsidR="165E0296">
        <w:t>;</w:t>
      </w:r>
      <w:r w:rsidR="4CA56598">
        <w:t xml:space="preserve"> or</w:t>
      </w:r>
    </w:p>
    <w:p w14:paraId="63B8BA3B" w14:textId="494378EA" w:rsidR="005D2172" w:rsidRDefault="3EAE6DCD" w:rsidP="2C5D2C8B">
      <w:pPr>
        <w:pStyle w:val="Bulletindent"/>
      </w:pPr>
      <w:r>
        <w:t>inform the Contractor that, in the Principal</w:t>
      </w:r>
      <w:r w:rsidR="4CA56598">
        <w:t>’</w:t>
      </w:r>
      <w:r>
        <w:t>s view, the direction does not constitute or involve a Variation or Scope Variation (as applicable)</w:t>
      </w:r>
    </w:p>
    <w:p w14:paraId="40CD5CC0" w14:textId="03E836AF" w:rsidR="005D2172" w:rsidRDefault="3EAE6DCD" w:rsidP="0005402F">
      <w:pPr>
        <w:pStyle w:val="NormalIndent"/>
      </w:pPr>
      <w:r>
        <w:t>the direction will be deemed to be withdrawn</w:t>
      </w:r>
      <w:r w:rsidR="4895D259">
        <w:t>,</w:t>
      </w:r>
      <w:r w:rsidR="28A923D6">
        <w:t xml:space="preserve"> and the Contractor must not comply with the direction</w:t>
      </w:r>
      <w:r w:rsidR="40A3A773">
        <w:t>.</w:t>
      </w:r>
    </w:p>
    <w:p w14:paraId="473C2080" w14:textId="2534AE4A" w:rsidR="00360B1A" w:rsidRDefault="5C4EDCD1" w:rsidP="2C5D2C8B">
      <w:pPr>
        <w:pStyle w:val="NormalIndent"/>
      </w:pPr>
      <w:r>
        <w:t>If, within 10 Business Days, the Principal:</w:t>
      </w:r>
    </w:p>
    <w:p w14:paraId="70BC676C" w14:textId="7E4865F4" w:rsidR="00C313D6" w:rsidRDefault="28A923D6" w:rsidP="0005402F">
      <w:pPr>
        <w:pStyle w:val="Bulletindent"/>
      </w:pPr>
      <w:r>
        <w:t xml:space="preserve">issues a notice </w:t>
      </w:r>
      <w:r w:rsidR="5C4EDCD1">
        <w:t xml:space="preserve">that </w:t>
      </w:r>
      <w:r>
        <w:t>is a Variation Order in respect of the relevant direction, the Contractor must comply with the Variation Order</w:t>
      </w:r>
      <w:r w:rsidR="5C4EDCD1">
        <w:t>;</w:t>
      </w:r>
    </w:p>
    <w:p w14:paraId="510C7DE1" w14:textId="3676BC16" w:rsidR="002A524B" w:rsidRPr="002A524B" w:rsidRDefault="28A923D6" w:rsidP="0005402F">
      <w:pPr>
        <w:pStyle w:val="Bulletindent"/>
      </w:pPr>
      <w:r>
        <w:t>withdraws the direction, the Contractor must not comply with the direction</w:t>
      </w:r>
      <w:r w:rsidR="5C4EDCD1">
        <w:t>;</w:t>
      </w:r>
      <w:r w:rsidR="232C7228">
        <w:t xml:space="preserve"> or</w:t>
      </w:r>
    </w:p>
    <w:p w14:paraId="0FCC4232" w14:textId="30E070FD" w:rsidR="00C313D6" w:rsidRDefault="28A923D6" w:rsidP="0005402F">
      <w:pPr>
        <w:pStyle w:val="Bulletindent"/>
      </w:pPr>
      <w:r>
        <w:t>informs the Contractor that, in the Principal</w:t>
      </w:r>
      <w:r w:rsidR="5C4EDCD1">
        <w:t>’</w:t>
      </w:r>
      <w:r>
        <w:t>s view, the direction does not constitute or involve a Variation, the Contractor must comply with the direction but may refer the matter to expert determination.</w:t>
      </w:r>
    </w:p>
    <w:p w14:paraId="0AEA6221" w14:textId="60B01A67" w:rsidR="005D2172" w:rsidRDefault="3EAE6DCD" w:rsidP="0005402F">
      <w:pPr>
        <w:pStyle w:val="NormalIndent"/>
      </w:pPr>
      <w:r>
        <w:t>The Contractor is not entitled to make any Claim for an extension of time to any Date for Completion or an adjustment to the TOC or KRAs in respect of a direction that may constitute or involve a Scope Variation</w:t>
      </w:r>
      <w:r w:rsidR="7D7F7208">
        <w:t>,</w:t>
      </w:r>
      <w:r>
        <w:t xml:space="preserve"> unless it has given a Variation Proposal within the time period required under the ITC Delivery Deed.</w:t>
      </w:r>
    </w:p>
    <w:p w14:paraId="78C3B516" w14:textId="564FC988" w:rsidR="005D2172" w:rsidRDefault="3EAE6DCD" w:rsidP="00210D7A">
      <w:pPr>
        <w:pStyle w:val="Heading3numbered"/>
      </w:pPr>
      <w:r>
        <w:t>Variation Proposal</w:t>
      </w:r>
      <w:r w:rsidR="4377857B">
        <w:t xml:space="preserve"> (clause</w:t>
      </w:r>
      <w:r w:rsidR="7865FA55" w:rsidRPr="2C5D2C8B">
        <w:rPr>
          <w:rFonts w:ascii="Calibri" w:hAnsi="Calibri" w:cs="Calibri"/>
        </w:rPr>
        <w:t> </w:t>
      </w:r>
      <w:r w:rsidR="4377857B">
        <w:t>34.2 of the ITC Delivery Deed)</w:t>
      </w:r>
    </w:p>
    <w:p w14:paraId="43984B61" w14:textId="6919167B" w:rsidR="005D2172" w:rsidRDefault="3EAE6DCD" w:rsidP="0005402F">
      <w:pPr>
        <w:pStyle w:val="NormalIndent"/>
      </w:pPr>
      <w:r>
        <w:t>The Contractor must submit a Variation Proposal to the Principal within 10 Business Days after receiving a Variation Request from the Principa</w:t>
      </w:r>
      <w:r w:rsidR="68D83B78">
        <w:t>l</w:t>
      </w:r>
      <w:r>
        <w:t>. The Variation Proposal must satisfy the requirements of clause</w:t>
      </w:r>
      <w:r w:rsidR="7865FA55" w:rsidRPr="2C5D2C8B">
        <w:rPr>
          <w:rFonts w:ascii="Calibri" w:hAnsi="Calibri" w:cs="Calibri"/>
        </w:rPr>
        <w:t> </w:t>
      </w:r>
      <w:r>
        <w:t>3</w:t>
      </w:r>
      <w:r w:rsidR="4377857B">
        <w:t>4</w:t>
      </w:r>
      <w:r>
        <w:t>.2 of the ITC Delivery Deed and include:</w:t>
      </w:r>
    </w:p>
    <w:p w14:paraId="44DF210F" w14:textId="64FCD3BC" w:rsidR="005D2172" w:rsidRDefault="3EAE6DCD" w:rsidP="0005402F">
      <w:pPr>
        <w:pStyle w:val="Bulletindent"/>
      </w:pPr>
      <w:r>
        <w:t xml:space="preserve">the effect </w:t>
      </w:r>
      <w:r w:rsidR="1B12097E">
        <w:t xml:space="preserve">that </w:t>
      </w:r>
      <w:r>
        <w:t>the Contractor anticipates the Variation or Scope Variation (as applicable) will have on the Program and each Date for Completion</w:t>
      </w:r>
      <w:r w:rsidR="1B12097E">
        <w:t>;</w:t>
      </w:r>
    </w:p>
    <w:p w14:paraId="3F041B89" w14:textId="4B95DD9F" w:rsidR="005D2172" w:rsidRDefault="3EAE6DCD" w:rsidP="0005402F">
      <w:pPr>
        <w:pStyle w:val="Bulletindent"/>
      </w:pPr>
      <w:r>
        <w:t xml:space="preserve">whether the Contractor considers that the proposed Variation (which is not stated to be a Scope Variation) is a Scope Variation and include the basis </w:t>
      </w:r>
      <w:r w:rsidR="68D83B78">
        <w:t>for its consideration</w:t>
      </w:r>
      <w:r w:rsidR="622D7CB8">
        <w:t>;</w:t>
      </w:r>
    </w:p>
    <w:p w14:paraId="1BA11D81" w14:textId="5FF54FAF" w:rsidR="005D2172" w:rsidRDefault="3EAE6DCD" w:rsidP="0005402F">
      <w:pPr>
        <w:pStyle w:val="Bulletindent"/>
      </w:pPr>
      <w:r>
        <w:t>submissions or recommendations that the Contractor believes are appropriate to reduce or optimise the impact of the Variation or Scope Variation (as applicable) on the AOC, the Contractor</w:t>
      </w:r>
      <w:r w:rsidR="622D7CB8">
        <w:t>’</w:t>
      </w:r>
      <w:r>
        <w:t>s performance against the KRAs and the achievement of Completion by the Date for Completion</w:t>
      </w:r>
      <w:r w:rsidR="622D7CB8">
        <w:t>;</w:t>
      </w:r>
    </w:p>
    <w:p w14:paraId="6084C9DD" w14:textId="23062EB8" w:rsidR="002A524B" w:rsidRPr="002A524B" w:rsidRDefault="3EAE6DCD" w:rsidP="0005402F">
      <w:pPr>
        <w:pStyle w:val="Bulletindent"/>
      </w:pPr>
      <w:r>
        <w:t xml:space="preserve">submissions or recommendations on any alteration to the TOC, the KRAs and any Date for Completion (as the case may be) </w:t>
      </w:r>
      <w:r w:rsidR="622D7CB8">
        <w:t xml:space="preserve">that </w:t>
      </w:r>
      <w:r>
        <w:t>are required as a result of the Scope Variation</w:t>
      </w:r>
      <w:r w:rsidR="622D7CB8">
        <w:t>;</w:t>
      </w:r>
      <w:r w:rsidR="628E25B0">
        <w:t xml:space="preserve"> and</w:t>
      </w:r>
    </w:p>
    <w:p w14:paraId="02BFB574" w14:textId="6827F8E8" w:rsidR="005D2172" w:rsidRDefault="3EAE6DCD" w:rsidP="0005402F">
      <w:pPr>
        <w:pStyle w:val="Bulletindent"/>
      </w:pPr>
      <w:r>
        <w:t>the likely changes to, or additional, permits and approvals required to implement the Variation or Scope Variation (as applicable).</w:t>
      </w:r>
    </w:p>
    <w:p w14:paraId="6CE48276" w14:textId="08485D2D" w:rsidR="00F74C5C" w:rsidRDefault="68D83B78" w:rsidP="0005402F">
      <w:pPr>
        <w:pStyle w:val="NormalIndent"/>
      </w:pPr>
      <w:r>
        <w:t>The Contractor must provide the Principal with any additional information reasonably requested by the Principal. The Principal must then inform the Contractor whether it accepts the Variation Proposal, and</w:t>
      </w:r>
      <w:r w:rsidR="3C761E79">
        <w:t>,</w:t>
      </w:r>
      <w:r>
        <w:t xml:space="preserve"> if it does accept, issue a Variation Order or Scope Variation Order (as applicable) to the Contractor.</w:t>
      </w:r>
    </w:p>
    <w:p w14:paraId="2CE3E0A5" w14:textId="4BBD9AD6" w:rsidR="00232F50" w:rsidRPr="005F1B15" w:rsidRDefault="68D83B78" w:rsidP="00802322">
      <w:pPr>
        <w:pStyle w:val="Heading3numbered"/>
      </w:pPr>
      <w:r>
        <w:t>Deemed</w:t>
      </w:r>
      <w:r w:rsidR="79789428">
        <w:t xml:space="preserve"> Variations</w:t>
      </w:r>
      <w:r w:rsidR="4377857B">
        <w:t xml:space="preserve"> (clauses</w:t>
      </w:r>
      <w:r w:rsidR="7865FA55" w:rsidRPr="2C5D2C8B">
        <w:rPr>
          <w:rFonts w:ascii="Calibri" w:hAnsi="Calibri" w:cs="Calibri"/>
        </w:rPr>
        <w:t> </w:t>
      </w:r>
      <w:r w:rsidR="4377857B">
        <w:t>6.1, 24.2, 36.2 and 39.2 of the ITC Delivery Deed)</w:t>
      </w:r>
    </w:p>
    <w:p w14:paraId="3D2DD9C8" w14:textId="054D8830" w:rsidR="00232F50" w:rsidRPr="00F74C5C" w:rsidRDefault="6534F235" w:rsidP="0005402F">
      <w:pPr>
        <w:pStyle w:val="NormalIndent"/>
      </w:pPr>
      <w:r>
        <w:t xml:space="preserve">The following events </w:t>
      </w:r>
      <w:r w:rsidR="3C761E79">
        <w:t>are</w:t>
      </w:r>
      <w:r>
        <w:t xml:space="preserve"> deemed to be Variation in respect of which the Contractor may submit a Variation Proposal</w:t>
      </w:r>
      <w:r w:rsidR="79789428">
        <w:t>:</w:t>
      </w:r>
    </w:p>
    <w:p w14:paraId="23089E35" w14:textId="3701C2B1" w:rsidR="00232F50" w:rsidRPr="00F74C5C" w:rsidRDefault="79789428" w:rsidP="0005402F">
      <w:pPr>
        <w:pStyle w:val="Bulletindent"/>
      </w:pPr>
      <w:r>
        <w:t>a Principal Approval Event</w:t>
      </w:r>
      <w:r w:rsidR="4574A131">
        <w:t>;</w:t>
      </w:r>
    </w:p>
    <w:p w14:paraId="1CAA14D9" w14:textId="0755D462" w:rsidR="00232F50" w:rsidRDefault="79789428" w:rsidP="0005402F">
      <w:pPr>
        <w:pStyle w:val="Bulletindent"/>
      </w:pPr>
      <w:r>
        <w:t>a Change in Mandatory Requirements</w:t>
      </w:r>
      <w:r w:rsidR="4574A131">
        <w:t>;</w:t>
      </w:r>
    </w:p>
    <w:p w14:paraId="0D5017EB" w14:textId="74C16D1F" w:rsidR="0049540B" w:rsidRDefault="4377857B" w:rsidP="0049540B">
      <w:pPr>
        <w:pStyle w:val="Bulletindent"/>
        <w:numPr>
          <w:ilvl w:val="0"/>
          <w:numId w:val="0"/>
        </w:numPr>
        <w:ind w:left="792"/>
      </w:pPr>
      <w:r>
        <w:t>i</w:t>
      </w:r>
      <w:r w:rsidR="36F43366">
        <w:t>f l</w:t>
      </w:r>
      <w:r w:rsidR="68D83B78">
        <w:t>oss or damage to the Works or the Temporary Works occurs due to an Uninsurable Risk (in combination with other risks</w:t>
      </w:r>
      <w:r w:rsidR="001C3A93">
        <w:t xml:space="preserve"> or not</w:t>
      </w:r>
      <w:r w:rsidR="68D83B78">
        <w:t>)</w:t>
      </w:r>
      <w:r w:rsidR="4E098888">
        <w:t>,</w:t>
      </w:r>
      <w:r w:rsidR="68D83B78">
        <w:t xml:space="preserve"> and the Principal Representative directs the Contractor to rectify such loss or damage</w:t>
      </w:r>
      <w:r w:rsidR="36F43366">
        <w:t xml:space="preserve">, the rectification </w:t>
      </w:r>
      <w:r w:rsidR="4E098888">
        <w:t>is</w:t>
      </w:r>
      <w:r w:rsidR="36F43366">
        <w:t xml:space="preserve"> deemed to be a Scope Variation</w:t>
      </w:r>
      <w:r w:rsidR="0049540B">
        <w:t xml:space="preserve">. </w:t>
      </w:r>
    </w:p>
    <w:p w14:paraId="333BFC8C" w14:textId="3669A0F1" w:rsidR="00C42310" w:rsidRPr="005F1B15" w:rsidRDefault="4377857B" w:rsidP="0049540B">
      <w:pPr>
        <w:pStyle w:val="Bulletindent"/>
        <w:numPr>
          <w:ilvl w:val="0"/>
          <w:numId w:val="0"/>
        </w:numPr>
        <w:ind w:left="792"/>
      </w:pPr>
      <w:r>
        <w:t>i</w:t>
      </w:r>
      <w:r w:rsidR="6534F235">
        <w:t>f the parties reach early agreement on certain specifications in respect of an item of Equipment, and the Principal later changes those specifications, that change constitute</w:t>
      </w:r>
      <w:r w:rsidR="234586C6">
        <w:t>s</w:t>
      </w:r>
      <w:r w:rsidR="6534F235">
        <w:t xml:space="preserve"> a Scope Variation and the Principal </w:t>
      </w:r>
      <w:r w:rsidR="234586C6">
        <w:t>is</w:t>
      </w:r>
      <w:r w:rsidR="6534F235">
        <w:t xml:space="preserve"> deemed to have issued a Variation Direction with a request to prepare a Variation Proposal.</w:t>
      </w:r>
    </w:p>
    <w:p w14:paraId="67F0A2FF" w14:textId="7D84522E" w:rsidR="00232F50" w:rsidRPr="005F1B15" w:rsidRDefault="68D83B78" w:rsidP="00210D7A">
      <w:pPr>
        <w:pStyle w:val="Heading3numbered"/>
      </w:pPr>
      <w:r>
        <w:t>Variations proposed by the Contractor</w:t>
      </w:r>
      <w:r w:rsidR="4377857B">
        <w:t xml:space="preserve"> (clause</w:t>
      </w:r>
      <w:r w:rsidR="7865FA55" w:rsidRPr="2C5D2C8B">
        <w:rPr>
          <w:rFonts w:ascii="Calibri" w:hAnsi="Calibri" w:cs="Calibri"/>
        </w:rPr>
        <w:t> </w:t>
      </w:r>
      <w:r w:rsidR="4377857B">
        <w:t>34.7 of the ITC Delivery Deed)</w:t>
      </w:r>
    </w:p>
    <w:p w14:paraId="15A9F98A" w14:textId="7706B92C" w:rsidR="00232F50" w:rsidRPr="005F1B15" w:rsidRDefault="79789428" w:rsidP="0005402F">
      <w:pPr>
        <w:pStyle w:val="NormalIndent"/>
      </w:pPr>
      <w:r>
        <w:t>The Contractor may</w:t>
      </w:r>
      <w:r w:rsidR="6F97F78C">
        <w:t>,</w:t>
      </w:r>
      <w:r>
        <w:t xml:space="preserve"> at any time</w:t>
      </w:r>
      <w:r w:rsidR="6F97F78C">
        <w:t>,</w:t>
      </w:r>
      <w:r>
        <w:t xml:space="preserve"> </w:t>
      </w:r>
      <w:r w:rsidR="68D83B78">
        <w:t>request the Principal to direct a Variation by submitting a Contractor Variation Proposal to the Principal</w:t>
      </w:r>
      <w:r>
        <w:t xml:space="preserve">. If such </w:t>
      </w:r>
      <w:r w:rsidR="6A564121">
        <w:t xml:space="preserve">a </w:t>
      </w:r>
      <w:r>
        <w:t xml:space="preserve">Variation is approved by the Principal, the Contractor must implement </w:t>
      </w:r>
      <w:r w:rsidR="6A564121">
        <w:t xml:space="preserve">the </w:t>
      </w:r>
      <w:r>
        <w:t xml:space="preserve">Variation at its own cost and risk and </w:t>
      </w:r>
      <w:r w:rsidR="34717B5F">
        <w:t xml:space="preserve">is </w:t>
      </w:r>
      <w:r>
        <w:t xml:space="preserve">not entitled to make any Claim against the Principal in connection with </w:t>
      </w:r>
      <w:r w:rsidR="6A564121">
        <w:t xml:space="preserve">the </w:t>
      </w:r>
      <w:r>
        <w:t>Variation, including in respect of an extension of time or relief from performance.</w:t>
      </w:r>
    </w:p>
    <w:p w14:paraId="34D6E200" w14:textId="506C9C9C" w:rsidR="00232F50" w:rsidRDefault="79789428" w:rsidP="00210D7A">
      <w:pPr>
        <w:pStyle w:val="Heading3numbered"/>
      </w:pPr>
      <w:r>
        <w:t>Pre-Agreed Scope Variations</w:t>
      </w:r>
      <w:r w:rsidR="4377857B">
        <w:t xml:space="preserve"> (clause</w:t>
      </w:r>
      <w:r w:rsidR="7865FA55" w:rsidRPr="2C5D2C8B">
        <w:rPr>
          <w:rFonts w:ascii="Calibri" w:hAnsi="Calibri" w:cs="Calibri"/>
        </w:rPr>
        <w:t> </w:t>
      </w:r>
      <w:r w:rsidR="4377857B">
        <w:t xml:space="preserve">35 of, and </w:t>
      </w:r>
      <w:r w:rsidR="1133178F">
        <w:t>S</w:t>
      </w:r>
      <w:r w:rsidR="4377857B">
        <w:t>chedule</w:t>
      </w:r>
      <w:r w:rsidR="7865FA55" w:rsidRPr="2C5D2C8B">
        <w:rPr>
          <w:rFonts w:ascii="Calibri" w:hAnsi="Calibri" w:cs="Calibri"/>
        </w:rPr>
        <w:t> </w:t>
      </w:r>
      <w:r w:rsidR="4377857B">
        <w:t>9 to, the ITC Delivery Deed)</w:t>
      </w:r>
    </w:p>
    <w:p w14:paraId="61BB12F5" w14:textId="4319BD36" w:rsidR="00232F50" w:rsidRDefault="79789428" w:rsidP="0005402F">
      <w:pPr>
        <w:pStyle w:val="NormalIndent"/>
      </w:pPr>
      <w:r>
        <w:t xml:space="preserve">The rights and obligations of the parties in respect of Pre-Agreed Scope Variations </w:t>
      </w:r>
      <w:r w:rsidR="19AE3D3F">
        <w:t xml:space="preserve">are </w:t>
      </w:r>
      <w:r>
        <w:t xml:space="preserve">set out in </w:t>
      </w:r>
      <w:r w:rsidR="1133178F">
        <w:t>S</w:t>
      </w:r>
      <w:r>
        <w:t>chedule</w:t>
      </w:r>
      <w:r w:rsidR="7865FA55" w:rsidRPr="2C5D2C8B">
        <w:rPr>
          <w:rFonts w:ascii="Calibri" w:hAnsi="Calibri" w:cs="Calibri"/>
        </w:rPr>
        <w:t> </w:t>
      </w:r>
      <w:r>
        <w:t xml:space="preserve">9 </w:t>
      </w:r>
      <w:r w:rsidR="4518DDAF">
        <w:t>of the ITC Delivery Deed</w:t>
      </w:r>
      <w:r>
        <w:t>.</w:t>
      </w:r>
    </w:p>
    <w:p w14:paraId="2F951E98" w14:textId="0106E66B" w:rsidR="000933F1" w:rsidRDefault="0944E8F2" w:rsidP="0005402F">
      <w:pPr>
        <w:pStyle w:val="NormalIndent"/>
      </w:pPr>
      <w:r>
        <w:t>Schedule</w:t>
      </w:r>
      <w:r w:rsidR="7865FA55" w:rsidRPr="2C5D2C8B">
        <w:rPr>
          <w:rFonts w:ascii="Calibri" w:hAnsi="Calibri" w:cs="Calibri"/>
        </w:rPr>
        <w:t> </w:t>
      </w:r>
      <w:r>
        <w:t xml:space="preserve">9 </w:t>
      </w:r>
      <w:r w:rsidR="52E3763D">
        <w:t>does not form part of this standard form contract</w:t>
      </w:r>
      <w:r w:rsidR="4126D4DD">
        <w:t xml:space="preserve"> suite</w:t>
      </w:r>
      <w:r w:rsidR="52E3763D">
        <w:t xml:space="preserve"> and </w:t>
      </w:r>
      <w:r>
        <w:t>need</w:t>
      </w:r>
      <w:r w:rsidR="19AE3D3F">
        <w:t>s</w:t>
      </w:r>
      <w:r>
        <w:t xml:space="preserve"> to be developed by the Principal </w:t>
      </w:r>
      <w:r w:rsidR="52E3763D">
        <w:t>based on project-specific</w:t>
      </w:r>
      <w:r w:rsidR="4C6AFB52">
        <w:t xml:space="preserve"> characteristics.</w:t>
      </w:r>
    </w:p>
    <w:p w14:paraId="78E66165" w14:textId="0B9F2993" w:rsidR="002B5BB6" w:rsidRPr="00296CC3" w:rsidRDefault="7383905E" w:rsidP="00210D7A">
      <w:pPr>
        <w:pStyle w:val="Heading2numbered"/>
      </w:pPr>
      <w:bookmarkStart w:id="2199" w:name="_Toc507712233"/>
      <w:bookmarkStart w:id="2200" w:name="_Toc133577908"/>
      <w:bookmarkStart w:id="2201" w:name="_Toc145612603"/>
      <w:r>
        <w:t>Indemnities</w:t>
      </w:r>
      <w:bookmarkEnd w:id="2199"/>
      <w:bookmarkEnd w:id="2200"/>
      <w:r w:rsidR="4377857B">
        <w:t xml:space="preserve"> (clause</w:t>
      </w:r>
      <w:r w:rsidR="7865FA55" w:rsidRPr="2C5D2C8B">
        <w:rPr>
          <w:rFonts w:ascii="Calibri" w:hAnsi="Calibri" w:cs="Calibri"/>
        </w:rPr>
        <w:t> </w:t>
      </w:r>
      <w:r w:rsidR="4377857B">
        <w:t>41 of the ITC Delivery Deed)</w:t>
      </w:r>
      <w:bookmarkEnd w:id="2201"/>
    </w:p>
    <w:p w14:paraId="7F01B341" w14:textId="3B1D0992" w:rsidR="002B5BB6" w:rsidRPr="00296CC3" w:rsidRDefault="7383905E" w:rsidP="00210D7A">
      <w:pPr>
        <w:pStyle w:val="Heading3numbered"/>
      </w:pPr>
      <w:r>
        <w:t>General principle</w:t>
      </w:r>
      <w:r w:rsidR="4377857B">
        <w:t xml:space="preserve"> (clauses</w:t>
      </w:r>
      <w:r w:rsidR="7865FA55" w:rsidRPr="2C5D2C8B">
        <w:rPr>
          <w:rFonts w:ascii="Calibri" w:hAnsi="Calibri" w:cs="Calibri"/>
        </w:rPr>
        <w:t> </w:t>
      </w:r>
      <w:r w:rsidR="4377857B">
        <w:t>41.1, 41.2, 41.3, 41.4, 41.5, 41.6, 41.11, 41.12 and 41.13 of the ITC Delivery Deed)</w:t>
      </w:r>
    </w:p>
    <w:p w14:paraId="7F46B90C" w14:textId="4BF43506" w:rsidR="002B5BB6" w:rsidRPr="00CB12DF" w:rsidRDefault="7383905E" w:rsidP="0005402F">
      <w:pPr>
        <w:pStyle w:val="NormalIndent"/>
      </w:pPr>
      <w:r>
        <w:t xml:space="preserve">The ITC Delivery Deed sets out a number of broad indemnities </w:t>
      </w:r>
      <w:r w:rsidR="5846CA2E">
        <w:t xml:space="preserve">that </w:t>
      </w:r>
      <w:r>
        <w:t>the Contractor must provide, including indemnities in relation to:</w:t>
      </w:r>
    </w:p>
    <w:p w14:paraId="744BBE7D" w14:textId="065EE83D" w:rsidR="00A240F8" w:rsidRPr="009C65D5" w:rsidRDefault="15E1262D" w:rsidP="0005402F">
      <w:pPr>
        <w:pStyle w:val="Bulletindent"/>
      </w:pPr>
      <w:bookmarkStart w:id="2202" w:name="_Hlk64902970"/>
      <w:r>
        <w:t>destruction, loss or damage to the Works</w:t>
      </w:r>
      <w:r w:rsidR="7D0AAB8C">
        <w:t xml:space="preserve"> or the</w:t>
      </w:r>
      <w:r>
        <w:t xml:space="preserve"> Temporary Works during the period the Contractor is responsible for their care</w:t>
      </w:r>
      <w:r w:rsidR="5846CA2E">
        <w:t>;</w:t>
      </w:r>
    </w:p>
    <w:p w14:paraId="57360C0D" w14:textId="58F456FD" w:rsidR="002B5BB6" w:rsidRDefault="7383905E" w:rsidP="0005402F">
      <w:pPr>
        <w:pStyle w:val="Bulletindent"/>
      </w:pPr>
      <w:r>
        <w:t>property damage and personal injury or death in connection with any act or omission of the Contractor or any Contractor Associate in connection with the Project</w:t>
      </w:r>
      <w:r w:rsidR="5846CA2E">
        <w:t>;</w:t>
      </w:r>
    </w:p>
    <w:p w14:paraId="4F7930F4" w14:textId="2D5981E8" w:rsidR="002B5BB6" w:rsidRPr="009C65D5" w:rsidRDefault="7383905E" w:rsidP="0005402F">
      <w:pPr>
        <w:pStyle w:val="Bulletindent"/>
      </w:pPr>
      <w:r>
        <w:t>the Contractor or Contractor Associate breach of any Project Document</w:t>
      </w:r>
      <w:r w:rsidR="5846CA2E">
        <w:t>;</w:t>
      </w:r>
    </w:p>
    <w:p w14:paraId="7757DF7F" w14:textId="100FD04A" w:rsidR="002B5BB6" w:rsidRPr="009C65D5" w:rsidRDefault="7383905E" w:rsidP="0005402F">
      <w:pPr>
        <w:pStyle w:val="Bulletindent"/>
      </w:pPr>
      <w:r>
        <w:t>the provision and use of Project Information by the Contractor</w:t>
      </w:r>
      <w:r w:rsidR="438FE91F">
        <w:t>, a Contractor Associate or any other person to whom the Project Information is disclosed</w:t>
      </w:r>
      <w:r w:rsidR="5846CA2E">
        <w:t>;</w:t>
      </w:r>
    </w:p>
    <w:p w14:paraId="012609B2" w14:textId="67F0E359" w:rsidR="002B5BB6" w:rsidRPr="00CB12DF" w:rsidRDefault="7383905E" w:rsidP="0005402F">
      <w:pPr>
        <w:pStyle w:val="Bulletindent"/>
      </w:pPr>
      <w:r>
        <w:t>the disruption, damage, removal and relocation of Utility Infrastructure to the extent caused or contributed to by a Contractor Act or Omission</w:t>
      </w:r>
      <w:r w:rsidR="11651CA1">
        <w:t>;</w:t>
      </w:r>
    </w:p>
    <w:p w14:paraId="43E5A8ED" w14:textId="11F6187F" w:rsidR="004C7FAE" w:rsidRDefault="7383905E" w:rsidP="0005402F">
      <w:pPr>
        <w:pStyle w:val="Bulletindent"/>
      </w:pPr>
      <w:r>
        <w:t>Contamination caused or contributed to by the Contractor or any Contractor Associate</w:t>
      </w:r>
      <w:r w:rsidR="11651CA1">
        <w:t>;</w:t>
      </w:r>
    </w:p>
    <w:p w14:paraId="2B4E9D33" w14:textId="0865B6CE" w:rsidR="002B5BB6" w:rsidRPr="00CB12DF" w:rsidRDefault="438FE91F" w:rsidP="0005402F">
      <w:pPr>
        <w:pStyle w:val="Bulletindent"/>
      </w:pPr>
      <w:r>
        <w:t xml:space="preserve">Contamination that is not caused or contributed to by the Contractor or any Contractor Associate but </w:t>
      </w:r>
      <w:r w:rsidR="7383905E">
        <w:t>emanat</w:t>
      </w:r>
      <w:r w:rsidR="11651CA1">
        <w:t>es</w:t>
      </w:r>
      <w:r w:rsidR="7383905E">
        <w:t xml:space="preserve"> or </w:t>
      </w:r>
      <w:r w:rsidR="11651CA1">
        <w:t xml:space="preserve">migrates </w:t>
      </w:r>
      <w:r w:rsidR="7383905E">
        <w:t xml:space="preserve">from the </w:t>
      </w:r>
      <w:r>
        <w:t>Site or Extra Land</w:t>
      </w:r>
      <w:r w:rsidR="11651CA1">
        <w:t>,</w:t>
      </w:r>
      <w:r w:rsidR="7383905E">
        <w:t xml:space="preserve"> and the Contractor or a Contractor Associate has caused or contributed to such Contamination emanating or migrating from the </w:t>
      </w:r>
      <w:r>
        <w:t>Site or Extra Land</w:t>
      </w:r>
      <w:r w:rsidR="11651CA1">
        <w:t>;</w:t>
      </w:r>
    </w:p>
    <w:p w14:paraId="514A49B8" w14:textId="1ED24610" w:rsidR="00DC270C" w:rsidRDefault="569AEB56" w:rsidP="0005402F">
      <w:pPr>
        <w:pStyle w:val="Bulletindent"/>
      </w:pPr>
      <w:r>
        <w:t xml:space="preserve">any Claim or Liability suffered or incurred by an Indemnified IP Person in connection with any alleged or actual infringement or violation of </w:t>
      </w:r>
      <w:r w:rsidR="45C0694D">
        <w:t>IP</w:t>
      </w:r>
      <w:r>
        <w:t xml:space="preserve"> Rights or Moral Rights (other than in relation to any Principal IP)</w:t>
      </w:r>
      <w:r w:rsidR="1560216E">
        <w:t>;</w:t>
      </w:r>
    </w:p>
    <w:p w14:paraId="18E526DD" w14:textId="4482E169" w:rsidR="004C7FAE" w:rsidRDefault="438FE91F" w:rsidP="0005402F">
      <w:pPr>
        <w:pStyle w:val="Bulletindent"/>
      </w:pPr>
      <w:r>
        <w:t xml:space="preserve">any Claim or Liability suffered or incurred by an Indemnified </w:t>
      </w:r>
      <w:r w:rsidR="15E1262D">
        <w:t>I</w:t>
      </w:r>
      <w:r>
        <w:t xml:space="preserve">P Person in connection with a breach of the warranties in relation to </w:t>
      </w:r>
      <w:r w:rsidR="45C0694D">
        <w:t>IP</w:t>
      </w:r>
      <w:r>
        <w:t xml:space="preserve"> Rights</w:t>
      </w:r>
      <w:r w:rsidR="1560216E">
        <w:t>;</w:t>
      </w:r>
    </w:p>
    <w:p w14:paraId="59754D4E" w14:textId="67BA4711" w:rsidR="002A524B" w:rsidRPr="002A524B" w:rsidRDefault="438FE91F" w:rsidP="0005402F">
      <w:pPr>
        <w:pStyle w:val="Bulletindent"/>
      </w:pPr>
      <w:r>
        <w:t xml:space="preserve">any Claim or Liability suffered or incurred by an Indemnified IP Person in connection with the </w:t>
      </w:r>
      <w:r w:rsidR="45C0694D">
        <w:t>IP</w:t>
      </w:r>
      <w:r>
        <w:t xml:space="preserve"> Rights necessary for the continuation of the Contractor</w:t>
      </w:r>
      <w:r w:rsidR="1560216E">
        <w:t>’</w:t>
      </w:r>
      <w:r>
        <w:t>s Activities being unavailable as a result of or in connection with the Contractor breaching its obligation to obtain the required licen</w:t>
      </w:r>
      <w:r w:rsidR="29C5117B">
        <w:t>c</w:t>
      </w:r>
      <w:r>
        <w:t>es</w:t>
      </w:r>
      <w:r w:rsidR="47DD15FF">
        <w:t>;</w:t>
      </w:r>
      <w:r w:rsidR="2F14E27E">
        <w:t xml:space="preserve"> and</w:t>
      </w:r>
    </w:p>
    <w:p w14:paraId="0AB49DC5" w14:textId="60838297" w:rsidR="004C7FAE" w:rsidRPr="00CB12DF" w:rsidRDefault="438FE91F" w:rsidP="0005402F">
      <w:pPr>
        <w:pStyle w:val="Bulletindent"/>
      </w:pPr>
      <w:r>
        <w:t xml:space="preserve">any Claims </w:t>
      </w:r>
      <w:r w:rsidR="47DD15FF">
        <w:t xml:space="preserve">that </w:t>
      </w:r>
      <w:r>
        <w:t>arise in connection with an infringement of Moral Rights resulting from the use, operation or modification of the Contractor</w:t>
      </w:r>
      <w:r w:rsidR="47DD15FF">
        <w:t>’</w:t>
      </w:r>
      <w:r>
        <w:t>s Activities or the Works</w:t>
      </w:r>
      <w:r w:rsidR="2B728882">
        <w:t>.</w:t>
      </w:r>
    </w:p>
    <w:p w14:paraId="3D9D60CC" w14:textId="1EBFAE10" w:rsidR="008B4CEE" w:rsidRPr="00CB12DF" w:rsidRDefault="007E1891" w:rsidP="001D061B">
      <w:pPr>
        <w:pStyle w:val="NormalIndent"/>
        <w:keepNext/>
      </w:pPr>
      <w:r>
        <w:t>The Contractor</w:t>
      </w:r>
      <w:r w:rsidR="2F14E27E">
        <w:t>’</w:t>
      </w:r>
      <w:r>
        <w:t xml:space="preserve">s </w:t>
      </w:r>
      <w:r w:rsidR="773CDB78">
        <w:t>l</w:t>
      </w:r>
      <w:r>
        <w:t xml:space="preserve">iability to indemnify </w:t>
      </w:r>
      <w:r w:rsidR="2F14E27E">
        <w:t>is</w:t>
      </w:r>
      <w:r>
        <w:t xml:space="preserve"> reduced to the extent that any such </w:t>
      </w:r>
      <w:r w:rsidR="773CDB78">
        <w:t>l</w:t>
      </w:r>
      <w:r>
        <w:t>iability is caused or contributed to by:</w:t>
      </w:r>
    </w:p>
    <w:p w14:paraId="59973758" w14:textId="41B4E24F" w:rsidR="008B4CEE" w:rsidRPr="009C65D5" w:rsidRDefault="007E1891" w:rsidP="001D061B">
      <w:pPr>
        <w:pStyle w:val="Bulletindent"/>
        <w:keepNext/>
      </w:pPr>
      <w:r>
        <w:t>any breach by the Principal of any Project Document</w:t>
      </w:r>
      <w:r w:rsidR="2F14E27E">
        <w:t>;</w:t>
      </w:r>
    </w:p>
    <w:p w14:paraId="1932FE84" w14:textId="6E023D60" w:rsidR="008B4CEE" w:rsidRPr="009C65D5" w:rsidRDefault="007E1891" w:rsidP="001D061B">
      <w:pPr>
        <w:pStyle w:val="Bulletindent"/>
        <w:keepNext/>
      </w:pPr>
      <w:r>
        <w:t>any fraudulent, negligent, reckless, unlawful or malicious act or omission of the Principal</w:t>
      </w:r>
      <w:r w:rsidR="00A8888A">
        <w:t>,</w:t>
      </w:r>
      <w:r>
        <w:t xml:space="preserve"> any Principal Associate or other indemnified parties</w:t>
      </w:r>
      <w:r w:rsidR="00A8888A">
        <w:t>;</w:t>
      </w:r>
    </w:p>
    <w:p w14:paraId="545AD5BC" w14:textId="479E7838" w:rsidR="008B4CEE" w:rsidRPr="009C65D5" w:rsidRDefault="007E1891" w:rsidP="001D061B">
      <w:pPr>
        <w:pStyle w:val="Bulletindent"/>
        <w:keepNext/>
      </w:pPr>
      <w:r>
        <w:t>any Adjustment Event (Time)</w:t>
      </w:r>
      <w:r w:rsidR="00A8888A">
        <w:t>;</w:t>
      </w:r>
    </w:p>
    <w:p w14:paraId="3ED5CF54" w14:textId="3DD0885B" w:rsidR="002A524B" w:rsidRPr="002A524B" w:rsidRDefault="007E1891" w:rsidP="0005402F">
      <w:pPr>
        <w:pStyle w:val="Bulletindent"/>
      </w:pPr>
      <w:r>
        <w:t>subject to a notification requirement by the Contractor, the Contractor complying strictly with a direction from the Principal or the Principal Representative (except to the extent the direction is to comply with a Project Document, is permitted under a Project Document or was given as a result of a Contractor Act or Omission)</w:t>
      </w:r>
      <w:r w:rsidR="3493A06E">
        <w:t>; or</w:t>
      </w:r>
    </w:p>
    <w:p w14:paraId="4580BA9C" w14:textId="1443A828" w:rsidR="008B4CEE" w:rsidRPr="00F50FD1" w:rsidRDefault="007E1891" w:rsidP="0005402F">
      <w:pPr>
        <w:pStyle w:val="Bulletindent"/>
      </w:pPr>
      <w:r>
        <w:t>a failure by the Principal, any Principal Associate, any Interface Party (other than any Direct Interface Party) or any other Indemnified IP Person (as relevant) to use reasonable endeavours to mitigate the extent or consequences of the Liability</w:t>
      </w:r>
    </w:p>
    <w:p w14:paraId="7683D9B2" w14:textId="7FE00E5F" w:rsidR="008B4CEE" w:rsidRPr="00AB2540" w:rsidRDefault="008B4CEE" w:rsidP="0005402F">
      <w:pPr>
        <w:pStyle w:val="NormalIndent"/>
      </w:pPr>
      <w:r>
        <w:t>other than to the extent that the Contractor or any Contractor Associate is entitled to recover an indemnified amount under the Insurances (or would have been entitled to do so but for an Insurance Failure Event)</w:t>
      </w:r>
      <w:r w:rsidRPr="009C65D5">
        <w:t>.</w:t>
      </w:r>
    </w:p>
    <w:p w14:paraId="4DCDD64E" w14:textId="41E695EB" w:rsidR="008B4CEE" w:rsidRDefault="007E1891" w:rsidP="0005402F">
      <w:pPr>
        <w:pStyle w:val="NormalIndent"/>
      </w:pPr>
      <w:r>
        <w:t>Further, the Contractor</w:t>
      </w:r>
      <w:r w:rsidR="5BB8ADAF">
        <w:t>’</w:t>
      </w:r>
      <w:r>
        <w:t>s liability to indemnify is limited by:</w:t>
      </w:r>
    </w:p>
    <w:p w14:paraId="2D5E109A" w14:textId="0F59D017" w:rsidR="002A524B" w:rsidRPr="002A524B" w:rsidRDefault="7D0AAB8C" w:rsidP="0005402F">
      <w:pPr>
        <w:pStyle w:val="Bulletindent"/>
      </w:pPr>
      <w:r>
        <w:t>subject to certain exclusions, the Contractor</w:t>
      </w:r>
      <w:r w:rsidR="5BB8ADAF">
        <w:t>’</w:t>
      </w:r>
      <w:r>
        <w:t>s aggregate liability cap (refer to section</w:t>
      </w:r>
      <w:r w:rsidR="7865FA55" w:rsidRPr="00754976">
        <w:rPr>
          <w:rFonts w:ascii="Calibri" w:hAnsi="Calibri"/>
        </w:rPr>
        <w:t> </w:t>
      </w:r>
      <w:r w:rsidR="00296CC3">
        <w:rPr>
          <w:color w:val="2B579A"/>
          <w:shd w:val="clear" w:color="auto" w:fill="E6E6E6"/>
        </w:rPr>
        <w:fldChar w:fldCharType="begin" w:fldLock="1"/>
      </w:r>
      <w:r w:rsidR="00296CC3">
        <w:instrText xml:space="preserve"> REF _Ref492734079 \r \h </w:instrText>
      </w:r>
      <w:r w:rsidR="00296CC3">
        <w:rPr>
          <w:color w:val="2B579A"/>
          <w:shd w:val="clear" w:color="auto" w:fill="E6E6E6"/>
        </w:rPr>
      </w:r>
      <w:r w:rsidR="00296CC3">
        <w:rPr>
          <w:color w:val="2B579A"/>
          <w:shd w:val="clear" w:color="auto" w:fill="E6E6E6"/>
        </w:rPr>
        <w:fldChar w:fldCharType="separate"/>
      </w:r>
      <w:r w:rsidR="00400321">
        <w:t>5.15.1</w:t>
      </w:r>
      <w:r w:rsidR="00296CC3">
        <w:rPr>
          <w:color w:val="2B579A"/>
          <w:shd w:val="clear" w:color="auto" w:fill="E6E6E6"/>
        </w:rPr>
        <w:fldChar w:fldCharType="end"/>
      </w:r>
      <w:r>
        <w:t>)</w:t>
      </w:r>
      <w:r w:rsidR="3DD9D03C">
        <w:t>; and</w:t>
      </w:r>
    </w:p>
    <w:p w14:paraId="2D8B4E60" w14:textId="31557285" w:rsidR="00296CC3" w:rsidRDefault="7D0AAB8C" w:rsidP="0005402F">
      <w:pPr>
        <w:pStyle w:val="Bulletindent"/>
      </w:pPr>
      <w:r>
        <w:t xml:space="preserve">subject to certain exceptions, </w:t>
      </w:r>
      <w:r w:rsidR="7383905E">
        <w:t xml:space="preserve">the </w:t>
      </w:r>
      <w:r>
        <w:t xml:space="preserve">exclusion of </w:t>
      </w:r>
      <w:r w:rsidR="7975302D">
        <w:t>L</w:t>
      </w:r>
      <w:r>
        <w:t xml:space="preserve">iability for </w:t>
      </w:r>
      <w:r w:rsidR="7383905E">
        <w:t>Indirect or Consequential Loss exclusion</w:t>
      </w:r>
      <w:r>
        <w:t>.</w:t>
      </w:r>
    </w:p>
    <w:bookmarkEnd w:id="2202"/>
    <w:p w14:paraId="10869BF7" w14:textId="65DD03F6" w:rsidR="002B5BB6" w:rsidRDefault="002B5BB6" w:rsidP="00210D7A">
      <w:pPr>
        <w:pStyle w:val="Heading4numbered"/>
      </w:pPr>
      <w:r>
        <w:t>Project</w:t>
      </w:r>
      <w:r w:rsidR="00043711">
        <w:t>-specific</w:t>
      </w:r>
      <w:r>
        <w:t xml:space="preserve"> amendments</w:t>
      </w:r>
    </w:p>
    <w:p w14:paraId="7AC3E3F1" w14:textId="5D5A0535" w:rsidR="000F668B" w:rsidRPr="00012D62" w:rsidRDefault="02478897" w:rsidP="0005402F">
      <w:pPr>
        <w:pStyle w:val="NormalIndent"/>
      </w:pPr>
      <w:r>
        <w:t>Procuring</w:t>
      </w:r>
      <w:r w:rsidR="7383905E">
        <w:t xml:space="preserve"> agencies may consider who</w:t>
      </w:r>
      <w:r w:rsidR="6AE7B5D4">
        <w:t>,</w:t>
      </w:r>
      <w:r w:rsidR="7383905E">
        <w:t xml:space="preserve"> in addition to the Principal</w:t>
      </w:r>
      <w:r w:rsidR="6AE7B5D4">
        <w:t>,</w:t>
      </w:r>
      <w:r w:rsidR="7383905E">
        <w:t xml:space="preserve"> should be indemnified for breach, having regard to the number of Principal Associates involved in the Project and the arrangements that the Principal may have in respect of the Principal Associates. Consideration should also be given on a project</w:t>
      </w:r>
      <w:r w:rsidR="0C9053DD">
        <w:t>-specific</w:t>
      </w:r>
      <w:r w:rsidR="7383905E">
        <w:t xml:space="preserve"> basis to limiting the liability of the Contractor in respect of economic loss that may be suffered by those Principal Associates by way of carve</w:t>
      </w:r>
      <w:r w:rsidR="2A0EED99">
        <w:t xml:space="preserve"> </w:t>
      </w:r>
      <w:r w:rsidR="7383905E">
        <w:t>outs to the Indirect or Consequential Loss exclusion for the Contractor.</w:t>
      </w:r>
    </w:p>
    <w:p w14:paraId="5C4622AC" w14:textId="1615638E" w:rsidR="002B5BB6" w:rsidRPr="009C65D5" w:rsidRDefault="48DEEB68" w:rsidP="00210D7A">
      <w:pPr>
        <w:pStyle w:val="Heading2numbered"/>
      </w:pPr>
      <w:bookmarkStart w:id="2203" w:name="_Toc133577909"/>
      <w:bookmarkStart w:id="2204" w:name="_Toc145612604"/>
      <w:r>
        <w:t>L</w:t>
      </w:r>
      <w:r w:rsidR="7383905E">
        <w:t xml:space="preserve">imitation </w:t>
      </w:r>
      <w:r w:rsidR="007E1891">
        <w:t xml:space="preserve">and exclusion of </w:t>
      </w:r>
      <w:r w:rsidR="7383905E">
        <w:t>Liability</w:t>
      </w:r>
      <w:bookmarkEnd w:id="2203"/>
      <w:r w:rsidR="4377857B">
        <w:t xml:space="preserve"> (clause</w:t>
      </w:r>
      <w:r w:rsidR="7865FA55" w:rsidRPr="2C5D2C8B">
        <w:rPr>
          <w:rFonts w:ascii="Calibri" w:hAnsi="Calibri" w:cs="Calibri"/>
        </w:rPr>
        <w:t> </w:t>
      </w:r>
      <w:r w:rsidR="4377857B">
        <w:t>41 of the ITC Delivery Deed)</w:t>
      </w:r>
      <w:bookmarkEnd w:id="2204"/>
    </w:p>
    <w:p w14:paraId="09ACF7F7" w14:textId="2F28A5AC" w:rsidR="002B5BB6" w:rsidRDefault="7383905E" w:rsidP="00210D7A">
      <w:pPr>
        <w:pStyle w:val="Heading3numbered"/>
      </w:pPr>
      <w:bookmarkStart w:id="2205" w:name="_Ref492734079"/>
      <w:r>
        <w:t>General principle</w:t>
      </w:r>
      <w:bookmarkEnd w:id="2205"/>
      <w:r w:rsidR="4377857B">
        <w:t xml:space="preserve"> (clauses</w:t>
      </w:r>
      <w:r w:rsidR="7865FA55" w:rsidRPr="2C5D2C8B">
        <w:rPr>
          <w:rFonts w:ascii="Calibri" w:hAnsi="Calibri" w:cs="Calibri"/>
        </w:rPr>
        <w:t> </w:t>
      </w:r>
      <w:r w:rsidR="4377857B">
        <w:t>41.11, 41.12 and 41.13 of the ITC Delivery</w:t>
      </w:r>
      <w:r w:rsidR="00AB543D">
        <w:rPr>
          <w:rFonts w:ascii="Calibri" w:hAnsi="Calibri" w:cs="Calibri"/>
        </w:rPr>
        <w:t> </w:t>
      </w:r>
      <w:r w:rsidR="4377857B">
        <w:t>Deed)</w:t>
      </w:r>
    </w:p>
    <w:p w14:paraId="057C27C2" w14:textId="0B7C5B52" w:rsidR="008B4CEE" w:rsidRDefault="008B4CEE" w:rsidP="00210D7A">
      <w:pPr>
        <w:pStyle w:val="Heading4numbered"/>
      </w:pPr>
      <w:r>
        <w:t>Limitation of Liability</w:t>
      </w:r>
    </w:p>
    <w:p w14:paraId="5E83DEE2" w14:textId="12E1A7B0" w:rsidR="008E407E" w:rsidRDefault="338555DE" w:rsidP="0005402F">
      <w:pPr>
        <w:pStyle w:val="NormalIndent"/>
      </w:pPr>
      <w:r>
        <w:t>The Contractor</w:t>
      </w:r>
      <w:r w:rsidR="47C04A77">
        <w:t>’</w:t>
      </w:r>
      <w:r>
        <w:t>s total aggregate liability is limited to 50</w:t>
      </w:r>
      <w:r w:rsidR="7865FA55" w:rsidRPr="2C5D2C8B">
        <w:rPr>
          <w:rFonts w:ascii="Calibri" w:hAnsi="Calibri" w:cs="Calibri"/>
        </w:rPr>
        <w:t> </w:t>
      </w:r>
      <w:r w:rsidR="2BEA0074">
        <w:t>per</w:t>
      </w:r>
      <w:r w:rsidR="7865FA55" w:rsidRPr="2C5D2C8B">
        <w:rPr>
          <w:rFonts w:ascii="Calibri" w:hAnsi="Calibri" w:cs="Calibri"/>
        </w:rPr>
        <w:t> </w:t>
      </w:r>
      <w:r w:rsidR="2BEA0074">
        <w:t>cent</w:t>
      </w:r>
      <w:r>
        <w:t xml:space="preserve"> of the Initial TOC</w:t>
      </w:r>
      <w:r w:rsidR="569AEB56">
        <w:t>.</w:t>
      </w:r>
      <w:r w:rsidR="032E87C3">
        <w:t xml:space="preserve"> </w:t>
      </w:r>
      <w:r w:rsidR="569AEB56">
        <w:t>T</w:t>
      </w:r>
      <w:r w:rsidR="032E87C3">
        <w:t>his liability cap is subject to the exclusions detailed in clause</w:t>
      </w:r>
      <w:r w:rsidR="7865FA55" w:rsidRPr="2C5D2C8B">
        <w:rPr>
          <w:rFonts w:ascii="Calibri" w:hAnsi="Calibri" w:cs="Calibri"/>
        </w:rPr>
        <w:t> </w:t>
      </w:r>
      <w:r w:rsidR="032E87C3">
        <w:t>4</w:t>
      </w:r>
      <w:r w:rsidR="4377857B">
        <w:t>1</w:t>
      </w:r>
      <w:r w:rsidR="032E87C3">
        <w:t>.13</w:t>
      </w:r>
      <w:r w:rsidR="569AEB56">
        <w:t xml:space="preserve"> of the ITC Delivery Deed</w:t>
      </w:r>
      <w:r w:rsidR="032E87C3">
        <w:t>, which include:</w:t>
      </w:r>
    </w:p>
    <w:p w14:paraId="70A19416" w14:textId="415F3605" w:rsidR="008E407E" w:rsidRPr="00DC270C" w:rsidRDefault="032E87C3" w:rsidP="0005402F">
      <w:pPr>
        <w:pStyle w:val="Bulletindent"/>
      </w:pPr>
      <w:r>
        <w:t xml:space="preserve">Liability </w:t>
      </w:r>
      <w:r w:rsidR="569AEB56">
        <w:t xml:space="preserve">to the extent it </w:t>
      </w:r>
      <w:r>
        <w:t>cannot be limited</w:t>
      </w:r>
      <w:r w:rsidR="569AEB56">
        <w:t xml:space="preserve"> or excluded</w:t>
      </w:r>
      <w:r>
        <w:t xml:space="preserve"> at Law</w:t>
      </w:r>
      <w:r w:rsidR="3A3C28AA">
        <w:t>;</w:t>
      </w:r>
    </w:p>
    <w:p w14:paraId="255457A6" w14:textId="3D610204" w:rsidR="008E407E" w:rsidRPr="00DC270C" w:rsidRDefault="032E87C3" w:rsidP="0005402F">
      <w:pPr>
        <w:pStyle w:val="Bulletindent"/>
      </w:pPr>
      <w:r>
        <w:t xml:space="preserve">the extent to which the Contractor or a Contractor Associate </w:t>
      </w:r>
      <w:r w:rsidR="3A3C28AA">
        <w:t>is</w:t>
      </w:r>
      <w:r>
        <w:t xml:space="preserve"> entitled and able to recover under any Insurances in respect of such a Liability</w:t>
      </w:r>
      <w:r w:rsidR="3A3C28AA">
        <w:t>;</w:t>
      </w:r>
    </w:p>
    <w:p w14:paraId="62C73E8B" w14:textId="3AD129C8" w:rsidR="00DC270C" w:rsidRPr="00DC270C" w:rsidRDefault="569AEB56" w:rsidP="0005402F">
      <w:pPr>
        <w:pStyle w:val="Bulletindent"/>
      </w:pPr>
      <w:r>
        <w:t>Liability to the extent the Contractor recovers in accordance with an indemnity under any Project Documents</w:t>
      </w:r>
      <w:r w:rsidR="20A50B9A">
        <w:t>;</w:t>
      </w:r>
    </w:p>
    <w:p w14:paraId="120C4B04" w14:textId="483F4570" w:rsidR="002A524B" w:rsidRPr="002A524B" w:rsidRDefault="032E87C3" w:rsidP="0005402F">
      <w:pPr>
        <w:pStyle w:val="Bulletindent"/>
      </w:pPr>
      <w:r>
        <w:t>Liability in connection with any criminal act</w:t>
      </w:r>
      <w:r w:rsidR="20A50B9A">
        <w:t>,</w:t>
      </w:r>
      <w:r>
        <w:t xml:space="preserve"> fraud or Wilful Misconduct on the part of the Contractor or any Contractor Associate</w:t>
      </w:r>
      <w:r w:rsidR="20A50B9A">
        <w:t>;</w:t>
      </w:r>
      <w:r w:rsidR="5576853D">
        <w:t xml:space="preserve"> and</w:t>
      </w:r>
    </w:p>
    <w:p w14:paraId="60DCF53F" w14:textId="36CACF4D" w:rsidR="008E407E" w:rsidRPr="009C65D5" w:rsidRDefault="032E87C3" w:rsidP="0005402F">
      <w:pPr>
        <w:pStyle w:val="Bulletindent"/>
      </w:pPr>
      <w:r>
        <w:t>Liability in connection with abandonment of the whole or a substantial part of the Contractor</w:t>
      </w:r>
      <w:r w:rsidR="5576853D">
        <w:t>’</w:t>
      </w:r>
      <w:r>
        <w:t>s Activities by the Contractor or any Contractor Associate.</w:t>
      </w:r>
    </w:p>
    <w:p w14:paraId="381E660A" w14:textId="1F268808" w:rsidR="008B4CEE" w:rsidRDefault="008B4CEE" w:rsidP="00210D7A">
      <w:pPr>
        <w:pStyle w:val="Heading4numbered"/>
      </w:pPr>
      <w:r>
        <w:t xml:space="preserve">Exclusion of Liability for Indirect </w:t>
      </w:r>
      <w:r w:rsidR="00210D7A">
        <w:t>or</w:t>
      </w:r>
      <w:r>
        <w:t xml:space="preserve"> Consequential Loss</w:t>
      </w:r>
    </w:p>
    <w:p w14:paraId="3F445243" w14:textId="63B34A7B" w:rsidR="002A5B53" w:rsidRDefault="7383905E" w:rsidP="0005402F">
      <w:pPr>
        <w:pStyle w:val="NormalIndent"/>
      </w:pPr>
      <w:r>
        <w:t xml:space="preserve">The ITC Delivery Deed provides that the Principal and the Contractor have no </w:t>
      </w:r>
      <w:r w:rsidR="7975302D">
        <w:t>L</w:t>
      </w:r>
      <w:r>
        <w:t>iability in respect of Indirect or Consequential Loss incurred or suffered by the Contractor or the Principal respectively, except in limited circumstances</w:t>
      </w:r>
      <w:r w:rsidR="384CA38B">
        <w:t>.</w:t>
      </w:r>
    </w:p>
    <w:p w14:paraId="6AB81009" w14:textId="767193EF" w:rsidR="002B5BB6" w:rsidRPr="004E04D9" w:rsidRDefault="5FE9E6BB" w:rsidP="0005402F">
      <w:pPr>
        <w:pStyle w:val="NormalIndent"/>
      </w:pPr>
      <w:r>
        <w:t>E</w:t>
      </w:r>
      <w:r w:rsidR="384CA38B">
        <w:t>xceptions to the Contractor</w:t>
      </w:r>
      <w:r>
        <w:t>’</w:t>
      </w:r>
      <w:r w:rsidR="384CA38B">
        <w:t xml:space="preserve">s exclusion of </w:t>
      </w:r>
      <w:r w:rsidR="7975302D">
        <w:t>L</w:t>
      </w:r>
      <w:r w:rsidR="384CA38B">
        <w:t xml:space="preserve">iability for Indirect or Consequential Loss </w:t>
      </w:r>
      <w:r w:rsidR="7383905E">
        <w:t>include:</w:t>
      </w:r>
    </w:p>
    <w:p w14:paraId="0352DDCC" w14:textId="59E2A315" w:rsidR="00DC270C" w:rsidRPr="00A302AA" w:rsidRDefault="569AEB56" w:rsidP="0005402F">
      <w:pPr>
        <w:pStyle w:val="Bulletindent"/>
      </w:pPr>
      <w:r>
        <w:t>Liability to the extent it cannot be limited or excluded at Law</w:t>
      </w:r>
      <w:r w:rsidR="5FE9E6BB">
        <w:t>;</w:t>
      </w:r>
    </w:p>
    <w:p w14:paraId="1D138AEB" w14:textId="70C3DC8C" w:rsidR="00DC270C" w:rsidRPr="00A302AA" w:rsidRDefault="569AEB56" w:rsidP="0005402F">
      <w:pPr>
        <w:pStyle w:val="Bulletindent"/>
      </w:pPr>
      <w:r>
        <w:t xml:space="preserve">the extent to which the Contractor or a Contractor Associate </w:t>
      </w:r>
      <w:r w:rsidR="5FE9E6BB">
        <w:t>is</w:t>
      </w:r>
      <w:r>
        <w:t xml:space="preserve"> entitled and able to recover under any Insurances in respect of such a Liability</w:t>
      </w:r>
      <w:r w:rsidR="5FE9E6BB">
        <w:t>;</w:t>
      </w:r>
    </w:p>
    <w:p w14:paraId="11C50882" w14:textId="3589F333" w:rsidR="00DC270C" w:rsidRPr="00A302AA" w:rsidRDefault="569AEB56" w:rsidP="0005402F">
      <w:pPr>
        <w:pStyle w:val="Bulletindent"/>
      </w:pPr>
      <w:r>
        <w:t>Liability to the extent the Contractor recovers in accordance with an indemnity under any Project Documents</w:t>
      </w:r>
      <w:r w:rsidR="5FE9E6BB">
        <w:t>;</w:t>
      </w:r>
    </w:p>
    <w:p w14:paraId="31171513" w14:textId="1F72A519" w:rsidR="002A524B" w:rsidRPr="002A524B" w:rsidRDefault="569AEB56" w:rsidP="0005402F">
      <w:pPr>
        <w:pStyle w:val="Bulletindent"/>
      </w:pPr>
      <w:r>
        <w:t>Liability in connection with any criminal act</w:t>
      </w:r>
      <w:r w:rsidR="5FE9E6BB">
        <w:t>,</w:t>
      </w:r>
      <w:r>
        <w:t xml:space="preserve"> fraud or Wilful Misconduct on the part of the Contractor or any Contractor Associate</w:t>
      </w:r>
      <w:r w:rsidR="5FE9E6BB">
        <w:t>; and</w:t>
      </w:r>
    </w:p>
    <w:p w14:paraId="1E6D52E5" w14:textId="4B48E110" w:rsidR="00DC270C" w:rsidRDefault="569AEB56" w:rsidP="0005402F">
      <w:pPr>
        <w:pStyle w:val="Bulletindent"/>
      </w:pPr>
      <w:r>
        <w:t>Liability in connection with abandonment of the whole or a substantial part of the Contractor</w:t>
      </w:r>
      <w:r w:rsidR="5FE9E6BB">
        <w:t>’</w:t>
      </w:r>
      <w:r>
        <w:t>s Activities by the Contractor or any Contractor Associate.</w:t>
      </w:r>
    </w:p>
    <w:p w14:paraId="7F6241D3" w14:textId="3589428C" w:rsidR="002A5B53" w:rsidRPr="009C65D5" w:rsidRDefault="002A5B53" w:rsidP="00210D7A">
      <w:pPr>
        <w:pStyle w:val="Heading4numbered"/>
      </w:pPr>
      <w:r>
        <w:t>Subcontractors</w:t>
      </w:r>
    </w:p>
    <w:p w14:paraId="28337B4D" w14:textId="34EBA5DF" w:rsidR="002B5BB6" w:rsidRDefault="7383905E" w:rsidP="001D061B">
      <w:pPr>
        <w:pStyle w:val="NormalIndent"/>
        <w:keepNext/>
      </w:pPr>
      <w:r>
        <w:t xml:space="preserve">The carve outs to the </w:t>
      </w:r>
      <w:r w:rsidR="384CA38B">
        <w:t>Contractor</w:t>
      </w:r>
      <w:r w:rsidR="2A0EED99">
        <w:t>’</w:t>
      </w:r>
      <w:r w:rsidR="384CA38B">
        <w:t xml:space="preserve">s </w:t>
      </w:r>
      <w:r>
        <w:t xml:space="preserve">exclusion of Indirect or Consequential Loss </w:t>
      </w:r>
      <w:r w:rsidR="6441F7B2">
        <w:t xml:space="preserve">are </w:t>
      </w:r>
      <w:r>
        <w:t xml:space="preserve">typically passed through to Significant Subcontractors and </w:t>
      </w:r>
      <w:r w:rsidR="6441F7B2">
        <w:t xml:space="preserve">are </w:t>
      </w:r>
      <w:r>
        <w:t>accordingly subject to the liability caps in their Significant Subcontracts.</w:t>
      </w:r>
    </w:p>
    <w:p w14:paraId="5A0DF750" w14:textId="6BFBCF0A" w:rsidR="002B5BB6" w:rsidRDefault="002B5BB6" w:rsidP="00210D7A">
      <w:pPr>
        <w:pStyle w:val="Heading3numbered"/>
      </w:pPr>
      <w:r>
        <w:t>Project</w:t>
      </w:r>
      <w:r w:rsidR="007C277D">
        <w:t>-specific</w:t>
      </w:r>
      <w:r>
        <w:t xml:space="preserve"> amendments</w:t>
      </w:r>
    </w:p>
    <w:p w14:paraId="64D596B2" w14:textId="49E8A1B9" w:rsidR="002B5BB6" w:rsidRPr="0077378C" w:rsidRDefault="7383905E" w:rsidP="0005402F">
      <w:pPr>
        <w:pStyle w:val="NormalIndent"/>
      </w:pPr>
      <w:r>
        <w:t>The ITC Delivery Deed contemplates that the carve outs to the exclusion of the Contractor</w:t>
      </w:r>
      <w:r w:rsidR="61ADB322">
        <w:t>’</w:t>
      </w:r>
      <w:r>
        <w:t xml:space="preserve">s liability for Indirect or Consequential Loss may include </w:t>
      </w:r>
      <w:r w:rsidR="7975302D">
        <w:t>liability</w:t>
      </w:r>
      <w:r>
        <w:t xml:space="preserve"> the Principal has to third parties (including for economic loss)</w:t>
      </w:r>
      <w:r w:rsidR="569AEB56">
        <w:t xml:space="preserve"> </w:t>
      </w:r>
      <w:r>
        <w:t>(see clause</w:t>
      </w:r>
      <w:r w:rsidR="7865FA55" w:rsidRPr="2C5D2C8B">
        <w:rPr>
          <w:rFonts w:ascii="Calibri" w:hAnsi="Calibri" w:cs="Calibri"/>
        </w:rPr>
        <w:t> </w:t>
      </w:r>
      <w:r w:rsidR="569AEB56">
        <w:t>4</w:t>
      </w:r>
      <w:r w:rsidR="1EF1A80E">
        <w:t>1</w:t>
      </w:r>
      <w:r w:rsidR="569AEB56">
        <w:t>.13(j)</w:t>
      </w:r>
      <w:r>
        <w:t xml:space="preserve"> of the ITC Delivery Deed). The clause should be carefully considered on a project</w:t>
      </w:r>
      <w:r w:rsidR="0C9053DD">
        <w:t>-specific</w:t>
      </w:r>
      <w:r>
        <w:t xml:space="preserve"> basis, having regard to the likelihood of the risk of any such liability, the potential extent of that liability, the level of control the Contractor has in respect of the risk that might give rise to such a liability and the insolvency risk that it creates for the Contractor. The carve out, if it is used, should be limited to specified parties. It may also be appropriate to consider a </w:t>
      </w:r>
      <w:r w:rsidR="766A4E30">
        <w:t xml:space="preserve">specific </w:t>
      </w:r>
      <w:r>
        <w:t xml:space="preserve">cap on that liability. The Principal may also need to disclose the terms of its agreements with the relevant third party to the Shortlisted Respondents during the RFP </w:t>
      </w:r>
      <w:r w:rsidR="5F09FBF9">
        <w:t>p</w:t>
      </w:r>
      <w:r>
        <w:t>hase</w:t>
      </w:r>
      <w:r w:rsidR="41C5CE9D">
        <w:t>,</w:t>
      </w:r>
      <w:r>
        <w:t xml:space="preserve"> so the Shortlisted Respondents can make an informed assessment of their potential exposure.</w:t>
      </w:r>
    </w:p>
    <w:p w14:paraId="7103144F" w14:textId="3D617797" w:rsidR="002B5BB6" w:rsidRDefault="7383905E" w:rsidP="0005402F">
      <w:pPr>
        <w:pStyle w:val="NormalIndent"/>
      </w:pPr>
      <w:r>
        <w:t>The list of exceptions to the exclusion for Indirect or Consequential Loss may include additional project</w:t>
      </w:r>
      <w:r w:rsidR="710D21F3">
        <w:t>-</w:t>
      </w:r>
      <w:r w:rsidR="257551F3">
        <w:t>specific</w:t>
      </w:r>
      <w:r>
        <w:t xml:space="preserve"> items to reflect relevant project</w:t>
      </w:r>
      <w:r w:rsidR="0C9053DD">
        <w:t>-specific</w:t>
      </w:r>
      <w:r>
        <w:t xml:space="preserve"> payments or liabilities, for example</w:t>
      </w:r>
      <w:r w:rsidR="3E442605">
        <w:t>,</w:t>
      </w:r>
      <w:r>
        <w:t xml:space="preserve"> where there are known </w:t>
      </w:r>
      <w:r w:rsidR="437814BB">
        <w:t>l</w:t>
      </w:r>
      <w:r>
        <w:t xml:space="preserve">iabilities that the Principal has to third parties for loss of revenue that either need to be covered by the Contractor or </w:t>
      </w:r>
      <w:r w:rsidR="0867496B">
        <w:t xml:space="preserve">are </w:t>
      </w:r>
      <w:r>
        <w:t>subject to a different regime. However, the circumstances for project</w:t>
      </w:r>
      <w:r w:rsidR="0C9053DD">
        <w:t>-specific</w:t>
      </w:r>
      <w:r>
        <w:t xml:space="preserve"> amendment</w:t>
      </w:r>
      <w:r w:rsidR="0C9053DD">
        <w:t>s</w:t>
      </w:r>
      <w:r>
        <w:t xml:space="preserve"> should be limited</w:t>
      </w:r>
      <w:r w:rsidR="0867496B">
        <w:t>,</w:t>
      </w:r>
      <w:r>
        <w:t xml:space="preserve"> given the insolvency risk it creates for the Contractor.</w:t>
      </w:r>
    </w:p>
    <w:p w14:paraId="1E2F1F40" w14:textId="615DB8E7" w:rsidR="002B5BB6" w:rsidRPr="00C30AAE" w:rsidRDefault="7383905E" w:rsidP="00210D7A">
      <w:pPr>
        <w:pStyle w:val="Heading3numbered"/>
      </w:pPr>
      <w:bookmarkStart w:id="2206" w:name="_Ref81342340"/>
      <w:r>
        <w:t>Limitation on Principal Liability to the Contractor for Relief Events</w:t>
      </w:r>
      <w:bookmarkEnd w:id="2206"/>
      <w:r w:rsidR="1EF1A80E">
        <w:t xml:space="preserve"> (clause</w:t>
      </w:r>
      <w:r w:rsidR="7865FA55" w:rsidRPr="2C5D2C8B">
        <w:rPr>
          <w:rFonts w:ascii="Calibri" w:hAnsi="Calibri" w:cs="Calibri"/>
        </w:rPr>
        <w:t> </w:t>
      </w:r>
      <w:r w:rsidR="1EF1A80E">
        <w:t>41.14 of the ITC Delivery Deed)</w:t>
      </w:r>
    </w:p>
    <w:p w14:paraId="10CE9A2B" w14:textId="384F597E" w:rsidR="002B5BB6" w:rsidRPr="009C65D5" w:rsidRDefault="766A4E30" w:rsidP="0005402F">
      <w:pPr>
        <w:pStyle w:val="NormalIndent"/>
      </w:pPr>
      <w:r>
        <w:t>As mentioned in section</w:t>
      </w:r>
      <w:r w:rsidR="7865FA55" w:rsidRPr="2C5D2C8B">
        <w:rPr>
          <w:rFonts w:ascii="Calibri" w:hAnsi="Calibri" w:cs="Calibri"/>
        </w:rPr>
        <w:t> </w:t>
      </w:r>
      <w:r w:rsidR="00722AB8">
        <w:fldChar w:fldCharType="begin" w:fldLock="1"/>
      </w:r>
      <w:r w:rsidR="00722AB8">
        <w:instrText xml:space="preserve"> REF _Ref132362490 \r \h  \* MERGEFORMAT </w:instrText>
      </w:r>
      <w:r w:rsidR="00722AB8">
        <w:fldChar w:fldCharType="separate"/>
      </w:r>
      <w:r w:rsidR="00400321">
        <w:t>5.12.1</w:t>
      </w:r>
      <w:r w:rsidR="00722AB8">
        <w:fldChar w:fldCharType="end"/>
      </w:r>
      <w:r>
        <w:t>, t</w:t>
      </w:r>
      <w:r w:rsidR="7383905E">
        <w:t>he Principal</w:t>
      </w:r>
      <w:r w:rsidR="0867496B">
        <w:t>’</w:t>
      </w:r>
      <w:r w:rsidR="7383905E">
        <w:t xml:space="preserve">s Liability to the Contractor in connection with any Relief Event </w:t>
      </w:r>
      <w:r w:rsidR="0867496B">
        <w:t>is</w:t>
      </w:r>
      <w:r w:rsidR="7383905E">
        <w:t xml:space="preserve"> reduced to the extent that:</w:t>
      </w:r>
    </w:p>
    <w:p w14:paraId="360BA914" w14:textId="6E31A476" w:rsidR="002A524B" w:rsidRPr="002A524B" w:rsidRDefault="7383905E" w:rsidP="0005402F">
      <w:pPr>
        <w:pStyle w:val="Bulletindent"/>
      </w:pPr>
      <w:r>
        <w:t>the Relief Event or the consequences of the Relief Event are caused or contributed to by a Contractor Act or Omission</w:t>
      </w:r>
      <w:r w:rsidR="5FC9520C">
        <w:t>;</w:t>
      </w:r>
    </w:p>
    <w:p w14:paraId="6812CFC3" w14:textId="6CA67216" w:rsidR="002B5BB6" w:rsidRPr="009C65D5" w:rsidRDefault="7383905E" w:rsidP="0005402F">
      <w:pPr>
        <w:pStyle w:val="Bulletindent"/>
      </w:pPr>
      <w:r>
        <w:t xml:space="preserve">the Contractor or any Contractor Associate fails to take all reasonable steps </w:t>
      </w:r>
      <w:r w:rsidR="5FC9520C">
        <w:t xml:space="preserve">that </w:t>
      </w:r>
      <w:r>
        <w:t>a prudent, competent and experienced contractor in the circumstances of the Contractor or the relevant Contractor Associate exercising Best D</w:t>
      </w:r>
      <w:r w:rsidR="569AEB56">
        <w:t>&amp;C</w:t>
      </w:r>
      <w:r>
        <w:t xml:space="preserve"> Practices would take to mitigate, minimise or avoid the effects, consequences or duration of the Relief Event.</w:t>
      </w:r>
    </w:p>
    <w:p w14:paraId="34B951E5" w14:textId="13D1E247" w:rsidR="002B5BB6" w:rsidRPr="009C65D5" w:rsidRDefault="7383905E" w:rsidP="0005402F">
      <w:pPr>
        <w:pStyle w:val="NormalIndent"/>
      </w:pPr>
      <w:r>
        <w:t>Further, to the extent that compensation in relation to a Relief Event is in respect of an Insured Risk, the Contractor is not entitled to claim such compensation from the Principal, unless the Contractor can demonstrate that the compensation is not covered by the proceeds of Insurance due to a Principal Insurance Breach.</w:t>
      </w:r>
    </w:p>
    <w:p w14:paraId="69F97BA4" w14:textId="27B2DF58" w:rsidR="002B5BB6" w:rsidRPr="000F668B" w:rsidRDefault="7383905E" w:rsidP="004F2A71">
      <w:pPr>
        <w:pStyle w:val="Heading2numbered"/>
      </w:pPr>
      <w:bookmarkStart w:id="2207" w:name="_Toc133577910"/>
      <w:bookmarkStart w:id="2208" w:name="_Toc507712234"/>
      <w:bookmarkStart w:id="2209" w:name="_Toc145612605"/>
      <w:r>
        <w:t>Insurance</w:t>
      </w:r>
      <w:bookmarkEnd w:id="2207"/>
      <w:r w:rsidR="1EF1A80E">
        <w:t xml:space="preserve"> (clause</w:t>
      </w:r>
      <w:r w:rsidR="7865FA55" w:rsidRPr="2C5D2C8B">
        <w:rPr>
          <w:rFonts w:ascii="Calibri" w:hAnsi="Calibri" w:cs="Calibri"/>
        </w:rPr>
        <w:t> </w:t>
      </w:r>
      <w:r w:rsidR="1EF1A80E">
        <w:t>42 of the ITC Delivery Deed)</w:t>
      </w:r>
      <w:bookmarkEnd w:id="2208"/>
      <w:bookmarkEnd w:id="2209"/>
    </w:p>
    <w:p w14:paraId="23093CF0" w14:textId="01E31E5D" w:rsidR="002B5BB6" w:rsidRPr="000F668B" w:rsidRDefault="7383905E" w:rsidP="006643FB">
      <w:pPr>
        <w:pStyle w:val="Heading3numbered"/>
      </w:pPr>
      <w:r>
        <w:t>General principle</w:t>
      </w:r>
      <w:r w:rsidR="1EF1A80E">
        <w:t xml:space="preserve"> (clause</w:t>
      </w:r>
      <w:r w:rsidR="141D7549">
        <w:t>s</w:t>
      </w:r>
      <w:r w:rsidR="7865FA55" w:rsidRPr="2C5D2C8B">
        <w:rPr>
          <w:rFonts w:ascii="Calibri" w:hAnsi="Calibri" w:cs="Calibri"/>
        </w:rPr>
        <w:t> </w:t>
      </w:r>
      <w:r w:rsidR="1EF1A80E">
        <w:t xml:space="preserve">42.1, 42.2 and 42.3 of, and </w:t>
      </w:r>
      <w:r w:rsidR="1133178F">
        <w:t>S</w:t>
      </w:r>
      <w:r w:rsidR="1EF1A80E">
        <w:t>chedule</w:t>
      </w:r>
      <w:r w:rsidR="7865FA55" w:rsidRPr="2C5D2C8B">
        <w:rPr>
          <w:rFonts w:ascii="Calibri" w:hAnsi="Calibri" w:cs="Calibri"/>
        </w:rPr>
        <w:t> </w:t>
      </w:r>
      <w:r w:rsidR="1EF1A80E">
        <w:t>13 to, the ITC Delivery Deed)</w:t>
      </w:r>
    </w:p>
    <w:p w14:paraId="34738E6B" w14:textId="3474BCF2" w:rsidR="002B5BB6" w:rsidRPr="000F668B" w:rsidRDefault="16F89BAE" w:rsidP="0005402F">
      <w:pPr>
        <w:pStyle w:val="NormalIndent"/>
      </w:pPr>
      <w:r>
        <w:t>The ITC Delivery Deed provides for a hybrid approach to insurances</w:t>
      </w:r>
      <w:r w:rsidR="560AB4F2">
        <w:t>,</w:t>
      </w:r>
      <w:r>
        <w:t xml:space="preserve"> </w:t>
      </w:r>
      <w:r w:rsidR="2FB84FD2">
        <w:t>pursuant to which</w:t>
      </w:r>
      <w:r>
        <w:t xml:space="preserve"> the Principal effect</w:t>
      </w:r>
      <w:r w:rsidR="555F779E">
        <w:t>s</w:t>
      </w:r>
      <w:r>
        <w:t xml:space="preserve"> insurances for the construction works and public liability</w:t>
      </w:r>
      <w:r w:rsidR="2FB84FD2">
        <w:t xml:space="preserve"> (referred to as the </w:t>
      </w:r>
      <w:r w:rsidR="5B8B796B">
        <w:t xml:space="preserve">Insurances </w:t>
      </w:r>
      <w:r w:rsidR="2FB84FD2">
        <w:t>(</w:t>
      </w:r>
      <w:r w:rsidR="5B8B796B">
        <w:t>Principal</w:t>
      </w:r>
      <w:r w:rsidR="2FB84FD2">
        <w:t>))</w:t>
      </w:r>
      <w:r>
        <w:t>, and the Contractor effect</w:t>
      </w:r>
      <w:r w:rsidR="258BBF64">
        <w:t>s</w:t>
      </w:r>
      <w:r>
        <w:t xml:space="preserve"> insurances for transportation of plant, equipment and material, insurance of employees, professional indemnity, motor vehicle insurance and constructional plant</w:t>
      </w:r>
      <w:r w:rsidR="2FB84FD2">
        <w:t xml:space="preserve"> (referred to as the Insurances)</w:t>
      </w:r>
      <w:r w:rsidR="37B3C8B1">
        <w:t xml:space="preserve">, as set out in the Insurance </w:t>
      </w:r>
      <w:r w:rsidR="1133178F">
        <w:t>S</w:t>
      </w:r>
      <w:r w:rsidR="37B3C8B1">
        <w:t>chedule.</w:t>
      </w:r>
      <w:r w:rsidR="7383905E">
        <w:t xml:space="preserve"> The Principal’s insurance requirements in the Insurance </w:t>
      </w:r>
      <w:r w:rsidR="1133178F">
        <w:t>S</w:t>
      </w:r>
      <w:r w:rsidR="7383905E">
        <w:t>chedule</w:t>
      </w:r>
      <w:r w:rsidR="2FB4BAF7" w:rsidRPr="2C5D2C8B">
        <w:rPr>
          <w:rFonts w:ascii="Calibri" w:hAnsi="Calibri" w:cs="Calibri"/>
        </w:rPr>
        <w:t xml:space="preserve"> </w:t>
      </w:r>
      <w:r w:rsidR="7383905E">
        <w:t xml:space="preserve">represent the minimum degree of cover </w:t>
      </w:r>
      <w:r w:rsidR="2FB4BAF7">
        <w:t xml:space="preserve">that </w:t>
      </w:r>
      <w:r w:rsidR="7383905E">
        <w:t>the Principal expects the Contractor to maintain as part of its risk management strategy.</w:t>
      </w:r>
    </w:p>
    <w:p w14:paraId="502B606F" w14:textId="59C5F861" w:rsidR="002B5BB6" w:rsidRDefault="7383905E" w:rsidP="0014593F">
      <w:pPr>
        <w:pStyle w:val="NormalIndent"/>
        <w:keepNext/>
      </w:pPr>
      <w:r>
        <w:t xml:space="preserve">In addition to the requirements of the Insurance </w:t>
      </w:r>
      <w:r w:rsidR="1133178F">
        <w:t>S</w:t>
      </w:r>
      <w:r>
        <w:t>chedule, the Contractor is required to ensure that the Insurances comply with the requirements under clauses</w:t>
      </w:r>
      <w:r w:rsidR="7865FA55" w:rsidRPr="2C5D2C8B">
        <w:rPr>
          <w:rFonts w:ascii="Calibri" w:hAnsi="Calibri" w:cs="Calibri"/>
        </w:rPr>
        <w:t> </w:t>
      </w:r>
      <w:r>
        <w:t>4</w:t>
      </w:r>
      <w:r w:rsidR="59D73649">
        <w:t>2</w:t>
      </w:r>
      <w:r>
        <w:t>.2 and</w:t>
      </w:r>
      <w:r w:rsidR="2FB84FD2">
        <w:t xml:space="preserve"> </w:t>
      </w:r>
      <w:r>
        <w:t>4</w:t>
      </w:r>
      <w:r w:rsidR="59D73649">
        <w:t>2</w:t>
      </w:r>
      <w:r>
        <w:t>.3</w:t>
      </w:r>
      <w:r w:rsidR="16F89BAE">
        <w:t xml:space="preserve"> of the ITC Delivery Deed</w:t>
      </w:r>
      <w:r>
        <w:t>.</w:t>
      </w:r>
    </w:p>
    <w:p w14:paraId="3CF733FF" w14:textId="7499F286" w:rsidR="00B415CF" w:rsidRPr="000F668B" w:rsidRDefault="6BD62625" w:rsidP="0005402F">
      <w:pPr>
        <w:pStyle w:val="NormalIndent"/>
      </w:pPr>
      <w:r>
        <w:t>Schedule</w:t>
      </w:r>
      <w:r w:rsidR="7865FA55" w:rsidRPr="2C5D2C8B">
        <w:rPr>
          <w:rFonts w:ascii="Calibri" w:hAnsi="Calibri" w:cs="Calibri"/>
        </w:rPr>
        <w:t> </w:t>
      </w:r>
      <w:r>
        <w:t xml:space="preserve">13 </w:t>
      </w:r>
      <w:r w:rsidR="4C6AFB52">
        <w:t>does not form part of this standard form contract</w:t>
      </w:r>
      <w:r w:rsidR="7954C0E3">
        <w:t xml:space="preserve"> suite</w:t>
      </w:r>
      <w:r w:rsidR="4C6AFB52">
        <w:t xml:space="preserve"> and need</w:t>
      </w:r>
      <w:r w:rsidR="27458C59">
        <w:t>s</w:t>
      </w:r>
      <w:r w:rsidR="4C6AFB52">
        <w:t xml:space="preserve"> to be developed by the Principal based on project-specific characteristics.</w:t>
      </w:r>
    </w:p>
    <w:p w14:paraId="7F278B82" w14:textId="11F12014" w:rsidR="002B5BB6" w:rsidRPr="000F668B" w:rsidRDefault="7383905E" w:rsidP="006643FB">
      <w:pPr>
        <w:pStyle w:val="Heading3numbered"/>
      </w:pPr>
      <w:r>
        <w:t>Procurement of Insurances (Principal)</w:t>
      </w:r>
      <w:r w:rsidR="59D73649">
        <w:t xml:space="preserve"> (clause</w:t>
      </w:r>
      <w:r w:rsidR="7865FA55" w:rsidRPr="2C5D2C8B">
        <w:rPr>
          <w:rFonts w:ascii="Calibri" w:hAnsi="Calibri" w:cs="Calibri"/>
        </w:rPr>
        <w:t> </w:t>
      </w:r>
      <w:r w:rsidR="59D73649">
        <w:t>42.4 of the ITC Delivery Deed)</w:t>
      </w:r>
    </w:p>
    <w:p w14:paraId="2B1FE97F" w14:textId="3604CF67" w:rsidR="002B5BB6" w:rsidRPr="000F668B" w:rsidRDefault="7383905E" w:rsidP="0005402F">
      <w:pPr>
        <w:pStyle w:val="NormalIndent"/>
      </w:pPr>
      <w:r>
        <w:t>The Principal procure</w:t>
      </w:r>
      <w:r w:rsidR="27458C59">
        <w:t>s</w:t>
      </w:r>
      <w:r>
        <w:t xml:space="preserve"> certain insurances </w:t>
      </w:r>
      <w:r w:rsidR="2FB84FD2">
        <w:t xml:space="preserve">(the </w:t>
      </w:r>
      <w:r w:rsidR="0534CF18">
        <w:t xml:space="preserve">Insurances </w:t>
      </w:r>
      <w:r w:rsidR="2FB84FD2">
        <w:t>(</w:t>
      </w:r>
      <w:r w:rsidR="0534CF18">
        <w:t>Principal</w:t>
      </w:r>
      <w:r w:rsidR="2FB84FD2">
        <w:t xml:space="preserve">)) </w:t>
      </w:r>
      <w:r>
        <w:t xml:space="preserve">where it is better placed to do so, such as insurance for construction works and public liability. Any other Insurances (Principal) typically depend on the extent to which the Principal insures other assets that interface with the </w:t>
      </w:r>
      <w:r w:rsidR="6C4B2ADC">
        <w:t>p</w:t>
      </w:r>
      <w:r>
        <w:t xml:space="preserve">roject </w:t>
      </w:r>
      <w:r w:rsidR="6C4B2ADC">
        <w:t>a</w:t>
      </w:r>
      <w:r>
        <w:t xml:space="preserve">ssets. For example, on rail projects, if the Principal already insures other interfacing assets </w:t>
      </w:r>
      <w:r w:rsidR="2FB84FD2">
        <w:t>(</w:t>
      </w:r>
      <w:r>
        <w:t>such as rolling stock and the rail network</w:t>
      </w:r>
      <w:r w:rsidR="2FB84FD2">
        <w:t>)</w:t>
      </w:r>
      <w:r>
        <w:t xml:space="preserve">, it may be preferable for the Principal to insure </w:t>
      </w:r>
      <w:r w:rsidR="6C4B2ADC">
        <w:t>p</w:t>
      </w:r>
      <w:r>
        <w:t xml:space="preserve">roject </w:t>
      </w:r>
      <w:r w:rsidR="6C4B2ADC">
        <w:t>a</w:t>
      </w:r>
      <w:r>
        <w:t xml:space="preserve">ssets to avoid double insurance and subrogation issues. Procuring agencies should consult </w:t>
      </w:r>
      <w:r w:rsidR="00B3063B">
        <w:t xml:space="preserve">the </w:t>
      </w:r>
      <w:r>
        <w:t>DTF if Principal</w:t>
      </w:r>
      <w:r w:rsidR="00B3063B">
        <w:t>-</w:t>
      </w:r>
      <w:r>
        <w:t>procured insurance, aside from construction works and public liability, is proposed for a project.</w:t>
      </w:r>
    </w:p>
    <w:p w14:paraId="024D7CF0" w14:textId="14CD4A58" w:rsidR="002B5BB6" w:rsidRPr="000F668B" w:rsidRDefault="7383905E" w:rsidP="006643FB">
      <w:pPr>
        <w:pStyle w:val="Heading3numbered"/>
      </w:pPr>
      <w:r>
        <w:t>Pass through of insurance payouts</w:t>
      </w:r>
      <w:r w:rsidR="59D73649">
        <w:t xml:space="preserve"> (clause</w:t>
      </w:r>
      <w:r w:rsidR="7865FA55" w:rsidRPr="2C5D2C8B">
        <w:rPr>
          <w:rFonts w:ascii="Calibri" w:hAnsi="Calibri" w:cs="Calibri"/>
        </w:rPr>
        <w:t> </w:t>
      </w:r>
      <w:r w:rsidR="59D73649">
        <w:t>42.12 of the ITC Delivery Deed)</w:t>
      </w:r>
    </w:p>
    <w:p w14:paraId="71BEC7D2" w14:textId="3E99E447" w:rsidR="002B5BB6" w:rsidRPr="000F668B" w:rsidRDefault="37B3C8B1" w:rsidP="0005402F">
      <w:pPr>
        <w:pStyle w:val="NormalIndent"/>
      </w:pPr>
      <w:r>
        <w:t xml:space="preserve">Other than in respect of Contract Works Insurance and Transit Insurance, to the extent </w:t>
      </w:r>
      <w:r w:rsidR="7383905E">
        <w:t xml:space="preserve">the Contractor or the Principal receive an Insurance or Insurances (Principal) payment in relation to an amount already reimbursed under the </w:t>
      </w:r>
      <w:r>
        <w:t>ITC Delivery Deed</w:t>
      </w:r>
      <w:r w:rsidR="7383905E">
        <w:t xml:space="preserve"> or that was treated as Reimbursable Costs for calculating the AOC, the AOC will be reduced by that amount. If a Gainshare Amount or Painshare Amount has been paid to or by the Contractor, clause</w:t>
      </w:r>
      <w:r w:rsidR="7865FA55" w:rsidRPr="2C5D2C8B">
        <w:rPr>
          <w:rFonts w:ascii="Calibri" w:hAnsi="Calibri" w:cs="Calibri"/>
        </w:rPr>
        <w:t> </w:t>
      </w:r>
      <w:r>
        <w:t>2</w:t>
      </w:r>
      <w:r w:rsidR="59D73649">
        <w:t>9</w:t>
      </w:r>
      <w:r>
        <w:t>.4 of the ITC Delivery Deed</w:t>
      </w:r>
      <w:r w:rsidR="2FB84FD2">
        <w:t xml:space="preserve"> (which addresse</w:t>
      </w:r>
      <w:r w:rsidR="211B6248">
        <w:t>s</w:t>
      </w:r>
      <w:r w:rsidR="2FB84FD2">
        <w:t xml:space="preserve"> overpayments or underpayments)</w:t>
      </w:r>
      <w:r w:rsidR="7383905E">
        <w:t xml:space="preserve"> applies in respect of any determined underpayment or overpayment.</w:t>
      </w:r>
    </w:p>
    <w:p w14:paraId="3F04ABD1" w14:textId="45833B17" w:rsidR="002B5BB6" w:rsidRPr="000F668B" w:rsidRDefault="002B5BB6" w:rsidP="006643FB">
      <w:pPr>
        <w:pStyle w:val="Heading3numbered"/>
      </w:pPr>
      <w:r w:rsidRPr="000F668B">
        <w:t>Project</w:t>
      </w:r>
      <w:r w:rsidR="007C277D">
        <w:t>-specific</w:t>
      </w:r>
      <w:r w:rsidRPr="000F668B">
        <w:t xml:space="preserve"> </w:t>
      </w:r>
      <w:r w:rsidRPr="00C30AAE">
        <w:t>amendments</w:t>
      </w:r>
    </w:p>
    <w:p w14:paraId="31404A51" w14:textId="1BBA1585" w:rsidR="002B5BB6" w:rsidRDefault="7383905E" w:rsidP="0005402F">
      <w:pPr>
        <w:pStyle w:val="NormalIndent"/>
      </w:pPr>
      <w:r>
        <w:t xml:space="preserve">The </w:t>
      </w:r>
      <w:r w:rsidR="35A1A85D">
        <w:t>I</w:t>
      </w:r>
      <w:r w:rsidR="7816045E">
        <w:t>nsurance</w:t>
      </w:r>
      <w:r>
        <w:t xml:space="preserve"> requirements and structure must be considered on a project</w:t>
      </w:r>
      <w:r w:rsidR="0C9053DD">
        <w:t>-specific</w:t>
      </w:r>
      <w:r>
        <w:t xml:space="preserve"> basis. Subject to the nature and complexity of the Project and any customised solutions presented by Respondents, project</w:t>
      </w:r>
      <w:r w:rsidR="0C9053DD">
        <w:t>-specific</w:t>
      </w:r>
      <w:r>
        <w:t xml:space="preserve"> considerations may include the use of group policies of the Significant Subcontractors or other project</w:t>
      </w:r>
      <w:r w:rsidR="0C9053DD">
        <w:t>-specific</w:t>
      </w:r>
      <w:r>
        <w:t xml:space="preserve"> insurances </w:t>
      </w:r>
      <w:r w:rsidR="2435D7DD">
        <w:t xml:space="preserve">that </w:t>
      </w:r>
      <w:r>
        <w:t xml:space="preserve">may be required by the Principal (such as </w:t>
      </w:r>
      <w:r w:rsidR="35A1A85D">
        <w:t>P</w:t>
      </w:r>
      <w:r w:rsidR="7816045E">
        <w:t>ollution</w:t>
      </w:r>
      <w:r>
        <w:t xml:space="preserve"> </w:t>
      </w:r>
      <w:r w:rsidR="35A1A85D">
        <w:t>I</w:t>
      </w:r>
      <w:r>
        <w:t>nsurance).</w:t>
      </w:r>
    </w:p>
    <w:p w14:paraId="1B623F86" w14:textId="6AE449D2" w:rsidR="00E26C3B" w:rsidRPr="009C65D5" w:rsidRDefault="296AF3E2" w:rsidP="006643FB">
      <w:pPr>
        <w:pStyle w:val="Heading2numbered"/>
      </w:pPr>
      <w:bookmarkStart w:id="2210" w:name="_Toc133577911"/>
      <w:bookmarkStart w:id="2211" w:name="_Toc145612606"/>
      <w:r>
        <w:t>Security</w:t>
      </w:r>
      <w:bookmarkEnd w:id="2210"/>
      <w:r w:rsidR="59D73649">
        <w:t xml:space="preserve"> (clause</w:t>
      </w:r>
      <w:r w:rsidR="7865FA55" w:rsidRPr="2C5D2C8B">
        <w:rPr>
          <w:rFonts w:ascii="Calibri" w:hAnsi="Calibri" w:cs="Calibri"/>
        </w:rPr>
        <w:t> </w:t>
      </w:r>
      <w:r w:rsidR="59D73649">
        <w:t>33 of the ITC Delivery Deed)</w:t>
      </w:r>
      <w:bookmarkEnd w:id="2211"/>
    </w:p>
    <w:p w14:paraId="232BC801" w14:textId="08843C4B" w:rsidR="00E26C3B" w:rsidRPr="001A19E0" w:rsidRDefault="296AF3E2" w:rsidP="006643FB">
      <w:pPr>
        <w:pStyle w:val="Heading3numbered"/>
      </w:pPr>
      <w:r>
        <w:t>Parent Company Guarantees</w:t>
      </w:r>
      <w:r w:rsidR="59D73649">
        <w:t xml:space="preserve"> (clause</w:t>
      </w:r>
      <w:r w:rsidR="7865FA55" w:rsidRPr="2C5D2C8B">
        <w:rPr>
          <w:rFonts w:ascii="Calibri" w:hAnsi="Calibri" w:cs="Calibri"/>
        </w:rPr>
        <w:t> </w:t>
      </w:r>
      <w:r w:rsidR="59D73649">
        <w:t>33.6 of the ITC Delivery Deed)</w:t>
      </w:r>
    </w:p>
    <w:p w14:paraId="61A49D69" w14:textId="39ADF305" w:rsidR="00E26C3B" w:rsidRPr="00812009" w:rsidRDefault="296AF3E2" w:rsidP="0005402F">
      <w:pPr>
        <w:pStyle w:val="NormalIndent"/>
      </w:pPr>
      <w:r>
        <w:t>The Principal require</w:t>
      </w:r>
      <w:r w:rsidR="7462DF14">
        <w:t>s</w:t>
      </w:r>
      <w:r>
        <w:t xml:space="preserve"> the Contractor to provide a Parent Company Guarantee</w:t>
      </w:r>
      <w:r w:rsidR="1D01A77F">
        <w:t xml:space="preserve"> (PCG)</w:t>
      </w:r>
      <w:r>
        <w:t>. If the proposed Parent Guarantor is not the ultimate holding company, the Principal need</w:t>
      </w:r>
      <w:r w:rsidR="1D01A77F">
        <w:t>s</w:t>
      </w:r>
      <w:r>
        <w:t xml:space="preserve"> to be satisfied that the assets of that Parent Guarantor are retained for the duration of the </w:t>
      </w:r>
      <w:r w:rsidR="0C9053DD">
        <w:t>PCG</w:t>
      </w:r>
      <w:r>
        <w:t xml:space="preserve">. This </w:t>
      </w:r>
      <w:r w:rsidR="77776D29">
        <w:t>is</w:t>
      </w:r>
      <w:r>
        <w:t xml:space="preserve"> a matter of evaluation and </w:t>
      </w:r>
      <w:r w:rsidR="77776D29">
        <w:t xml:space="preserve">the </w:t>
      </w:r>
      <w:r>
        <w:t>DTF should be consulted on the form of the PCG, including in regard to any enforceability risks.</w:t>
      </w:r>
    </w:p>
    <w:p w14:paraId="0337B730" w14:textId="05733703" w:rsidR="00E26C3B" w:rsidRDefault="296AF3E2" w:rsidP="0005402F">
      <w:pPr>
        <w:pStyle w:val="NormalIndent"/>
      </w:pPr>
      <w:r>
        <w:t xml:space="preserve">If a </w:t>
      </w:r>
      <w:r w:rsidR="0C9053DD">
        <w:t>PCG</w:t>
      </w:r>
      <w:r>
        <w:t xml:space="preserve"> is provided for a Significant Subcontractor, the parent of a Significant Subcontractor should be a party to the relevant Significant Subcontractor Direct Deed for the purposes of acknowledging the Principal</w:t>
      </w:r>
      <w:r w:rsidR="77776D29">
        <w:t>’</w:t>
      </w:r>
      <w:r>
        <w:t>s security rights in respect of the Project.</w:t>
      </w:r>
    </w:p>
    <w:p w14:paraId="0B7B7173" w14:textId="7C5735C8" w:rsidR="00E26C3B" w:rsidRPr="00A43556" w:rsidRDefault="296AF3E2" w:rsidP="0005402F">
      <w:pPr>
        <w:pStyle w:val="NormalIndent"/>
      </w:pPr>
      <w:r>
        <w:t xml:space="preserve">There may be circumstances where the proposed </w:t>
      </w:r>
      <w:r w:rsidR="0C9053DD">
        <w:t>PCG</w:t>
      </w:r>
      <w:r>
        <w:t xml:space="preserve"> is provided by a foreign entity. In these instances, it is recommended </w:t>
      </w:r>
      <w:r w:rsidR="696A0429">
        <w:t xml:space="preserve">that </w:t>
      </w:r>
      <w:r>
        <w:t>the procuring agency consult</w:t>
      </w:r>
      <w:r w:rsidR="696A0429">
        <w:t>s</w:t>
      </w:r>
      <w:r>
        <w:t xml:space="preserve"> with their legal advis</w:t>
      </w:r>
      <w:r w:rsidR="01481DD3">
        <w:t>e</w:t>
      </w:r>
      <w:r>
        <w:t xml:space="preserve">r to ensure the </w:t>
      </w:r>
      <w:r w:rsidR="0C9053DD">
        <w:t>PCG</w:t>
      </w:r>
      <w:r>
        <w:t xml:space="preserve"> is sufficiently enforceable in accordance with the laws of that jurisdiction and to advise on any enforceability risks. There may be circumstances where additional security is required to mitigate identified enforceability risks</w:t>
      </w:r>
      <w:r w:rsidR="7F573C7A">
        <w:t>.</w:t>
      </w:r>
    </w:p>
    <w:p w14:paraId="7402F497" w14:textId="55200C64" w:rsidR="0076679D" w:rsidRDefault="296AF3E2" w:rsidP="006643FB">
      <w:pPr>
        <w:pStyle w:val="Heading3numbered"/>
      </w:pPr>
      <w:r>
        <w:t>Performance Bond</w:t>
      </w:r>
      <w:r w:rsidR="436C3FAD">
        <w:t xml:space="preserve"> (clauses</w:t>
      </w:r>
      <w:r w:rsidR="7865FA55" w:rsidRPr="2C5D2C8B">
        <w:rPr>
          <w:rFonts w:ascii="Calibri" w:hAnsi="Calibri" w:cs="Calibri"/>
        </w:rPr>
        <w:t> </w:t>
      </w:r>
      <w:r w:rsidR="436C3FAD">
        <w:t>33.1 and 33.2 of the ITC Delivery Deed)</w:t>
      </w:r>
    </w:p>
    <w:p w14:paraId="5D757F02" w14:textId="4AFEC5F1" w:rsidR="00E26C3B" w:rsidRDefault="296AF3E2" w:rsidP="0005402F">
      <w:pPr>
        <w:pStyle w:val="NormalIndent"/>
      </w:pPr>
      <w:r>
        <w:t>The Principal requires the Contractor to provide the following Performance Bonds in favour of the Principal prior to commencement of the Contractor</w:t>
      </w:r>
      <w:r w:rsidR="696A0429">
        <w:t>’</w:t>
      </w:r>
      <w:r>
        <w:t>s Activities:</w:t>
      </w:r>
    </w:p>
    <w:p w14:paraId="086CC794" w14:textId="4CCDB666" w:rsidR="002A524B" w:rsidRPr="002A524B" w:rsidRDefault="296AF3E2" w:rsidP="0005402F">
      <w:pPr>
        <w:pStyle w:val="Bulletindent"/>
      </w:pPr>
      <w:r>
        <w:t>the Bond, being one or more Performance Bonds with a face value of 5</w:t>
      </w:r>
      <w:r w:rsidR="7865FA55" w:rsidRPr="2C5D2C8B">
        <w:rPr>
          <w:rFonts w:ascii="Calibri" w:hAnsi="Calibri"/>
        </w:rPr>
        <w:t> </w:t>
      </w:r>
      <w:r w:rsidR="075D39AF">
        <w:t>per</w:t>
      </w:r>
      <w:r w:rsidR="7865FA55" w:rsidRPr="2C5D2C8B">
        <w:rPr>
          <w:rFonts w:ascii="Calibri" w:hAnsi="Calibri"/>
        </w:rPr>
        <w:t> </w:t>
      </w:r>
      <w:r w:rsidR="075D39AF">
        <w:t>cent</w:t>
      </w:r>
      <w:r>
        <w:t xml:space="preserve"> of the TOC</w:t>
      </w:r>
      <w:r w:rsidR="5FE8D53C">
        <w:t>; and</w:t>
      </w:r>
    </w:p>
    <w:p w14:paraId="45922A3A" w14:textId="58D9FAC5" w:rsidR="00E26C3B" w:rsidRDefault="296AF3E2" w:rsidP="0005402F">
      <w:pPr>
        <w:pStyle w:val="Bulletindent"/>
      </w:pPr>
      <w:r>
        <w:t>the DLP Bond, being one or more Performance Bonds with a face value of 2.5</w:t>
      </w:r>
      <w:r w:rsidR="7865FA55" w:rsidRPr="2C5D2C8B">
        <w:rPr>
          <w:rFonts w:ascii="Calibri" w:hAnsi="Calibri"/>
        </w:rPr>
        <w:t> </w:t>
      </w:r>
      <w:r w:rsidR="075D39AF">
        <w:t>per</w:t>
      </w:r>
      <w:r w:rsidR="7865FA55" w:rsidRPr="2C5D2C8B">
        <w:rPr>
          <w:rFonts w:ascii="Calibri" w:hAnsi="Calibri"/>
        </w:rPr>
        <w:t> </w:t>
      </w:r>
      <w:r w:rsidR="075D39AF">
        <w:t>cent</w:t>
      </w:r>
      <w:r>
        <w:t xml:space="preserve"> of the TOC.</w:t>
      </w:r>
    </w:p>
    <w:p w14:paraId="136AC26C" w14:textId="356EE050" w:rsidR="00E26C3B" w:rsidRDefault="296AF3E2" w:rsidP="0005402F">
      <w:pPr>
        <w:pStyle w:val="NormalIndent"/>
      </w:pPr>
      <w:r>
        <w:t>The Performance Bonds must be in a form approved by the Principal and issued by a financial institution or insurance company (as applicable) with a minimum credit rating of A</w:t>
      </w:r>
      <w:r w:rsidR="53931BDF">
        <w:t>–</w:t>
      </w:r>
      <w:r>
        <w:t xml:space="preserve"> (Standard and Poor</w:t>
      </w:r>
      <w:r w:rsidR="53931BDF">
        <w:t>’</w:t>
      </w:r>
      <w:r>
        <w:t>s) or A3 (Moody</w:t>
      </w:r>
      <w:r w:rsidR="53931BDF">
        <w:t>’</w:t>
      </w:r>
      <w:r>
        <w:t>s). These specified credit ratings provide the Principal with an appropriate degree of protection against the risk that any financial institution or insurance company (as applicable) will be unable to meet its relevant obligations in respect of the Project.</w:t>
      </w:r>
    </w:p>
    <w:p w14:paraId="01B16A6D" w14:textId="39EEBC3A" w:rsidR="00E26C3B" w:rsidRDefault="296AF3E2" w:rsidP="0005402F">
      <w:pPr>
        <w:pStyle w:val="NormalIndent"/>
      </w:pPr>
      <w:r>
        <w:t>Procuring agencies should consider on a case</w:t>
      </w:r>
      <w:r w:rsidR="3C9FC3BB">
        <w:t>-by-case</w:t>
      </w:r>
      <w:r>
        <w:t xml:space="preserve"> basis whether Performance Bonds should include insurance bonds, having regard to </w:t>
      </w:r>
      <w:r w:rsidR="28648A0F">
        <w:t>VfM</w:t>
      </w:r>
      <w:r>
        <w:t>.</w:t>
      </w:r>
    </w:p>
    <w:p w14:paraId="0ED9C9C5" w14:textId="18C502CC" w:rsidR="00E26C3B" w:rsidRDefault="00E26C3B" w:rsidP="0005402F">
      <w:pPr>
        <w:pStyle w:val="NormalIndent"/>
      </w:pPr>
      <w:r>
        <w:t xml:space="preserve">Provision of the Performance Bonds </w:t>
      </w:r>
      <w:r w:rsidR="00941A0E">
        <w:t>should be identified as</w:t>
      </w:r>
      <w:r>
        <w:t xml:space="preserve"> a Condition Precedent </w:t>
      </w:r>
      <w:r w:rsidR="00941A0E">
        <w:t>in the Condition Precedent Schedule</w:t>
      </w:r>
      <w:r>
        <w:t>.</w:t>
      </w:r>
    </w:p>
    <w:p w14:paraId="2A95D74B" w14:textId="7974E449" w:rsidR="002108A5" w:rsidRDefault="4A70B35E" w:rsidP="0005402F">
      <w:pPr>
        <w:pStyle w:val="NormalIndent"/>
      </w:pPr>
      <w:r>
        <w:t>Schedule</w:t>
      </w:r>
      <w:r w:rsidR="7865FA55" w:rsidRPr="2C5D2C8B">
        <w:rPr>
          <w:rFonts w:ascii="Calibri" w:hAnsi="Calibri" w:cs="Calibri"/>
        </w:rPr>
        <w:t> </w:t>
      </w:r>
      <w:r>
        <w:t xml:space="preserve">2 </w:t>
      </w:r>
      <w:r w:rsidR="4126D4DD">
        <w:t>does not form part of this standard form contract suite and need</w:t>
      </w:r>
      <w:r w:rsidR="07136CEC">
        <w:t>s</w:t>
      </w:r>
      <w:r w:rsidR="4126D4DD">
        <w:t xml:space="preserve"> to be developed by the Principal based on project-specific characteristics.</w:t>
      </w:r>
    </w:p>
    <w:p w14:paraId="0A6FD3A8" w14:textId="58F2A680" w:rsidR="002B5BB6" w:rsidRPr="00B577EC" w:rsidRDefault="7383905E" w:rsidP="006643FB">
      <w:pPr>
        <w:pStyle w:val="Heading2numbered"/>
      </w:pPr>
      <w:bookmarkStart w:id="2212" w:name="_Toc66867852"/>
      <w:bookmarkStart w:id="2213" w:name="_Toc66868778"/>
      <w:bookmarkStart w:id="2214" w:name="_Toc66867853"/>
      <w:bookmarkStart w:id="2215" w:name="_Toc66868779"/>
      <w:bookmarkStart w:id="2216" w:name="_Toc66867854"/>
      <w:bookmarkStart w:id="2217" w:name="_Toc66868780"/>
      <w:bookmarkStart w:id="2218" w:name="_Toc66867855"/>
      <w:bookmarkStart w:id="2219" w:name="_Toc66868781"/>
      <w:bookmarkStart w:id="2220" w:name="_Toc66867856"/>
      <w:bookmarkStart w:id="2221" w:name="_Toc66868782"/>
      <w:bookmarkStart w:id="2222" w:name="_Toc133577912"/>
      <w:bookmarkStart w:id="2223" w:name="_Ref477862304"/>
      <w:bookmarkStart w:id="2224" w:name="_Toc507712235"/>
      <w:bookmarkStart w:id="2225" w:name="_Toc145612607"/>
      <w:bookmarkEnd w:id="2212"/>
      <w:bookmarkEnd w:id="2213"/>
      <w:bookmarkEnd w:id="2214"/>
      <w:bookmarkEnd w:id="2215"/>
      <w:bookmarkEnd w:id="2216"/>
      <w:bookmarkEnd w:id="2217"/>
      <w:bookmarkEnd w:id="2218"/>
      <w:bookmarkEnd w:id="2219"/>
      <w:bookmarkEnd w:id="2220"/>
      <w:bookmarkEnd w:id="2221"/>
      <w:r>
        <w:t>Default</w:t>
      </w:r>
      <w:bookmarkEnd w:id="2222"/>
      <w:r w:rsidR="436C3FAD">
        <w:t xml:space="preserve"> </w:t>
      </w:r>
      <w:bookmarkEnd w:id="2223"/>
      <w:bookmarkEnd w:id="2224"/>
      <w:r w:rsidR="436C3FAD">
        <w:t>(clauses</w:t>
      </w:r>
      <w:r w:rsidR="7865FA55" w:rsidRPr="2C5D2C8B">
        <w:rPr>
          <w:rFonts w:ascii="Calibri" w:hAnsi="Calibri" w:cs="Calibri"/>
        </w:rPr>
        <w:t> </w:t>
      </w:r>
      <w:r w:rsidR="436C3FAD">
        <w:t>1 and 43 of the ITC Delivery Deed)</w:t>
      </w:r>
      <w:bookmarkEnd w:id="2225"/>
    </w:p>
    <w:p w14:paraId="7F17796B" w14:textId="6E1DA2DC" w:rsidR="002B5BB6" w:rsidRPr="00B577EC" w:rsidRDefault="7383905E" w:rsidP="00034855">
      <w:pPr>
        <w:pStyle w:val="Heading3numbered"/>
      </w:pPr>
      <w:r>
        <w:t>Defaults</w:t>
      </w:r>
      <w:r w:rsidR="436C3FAD">
        <w:t xml:space="preserve"> (clauses</w:t>
      </w:r>
      <w:r w:rsidR="7865FA55" w:rsidRPr="2C5D2C8B">
        <w:rPr>
          <w:rFonts w:ascii="Calibri" w:hAnsi="Calibri" w:cs="Calibri"/>
        </w:rPr>
        <w:t> </w:t>
      </w:r>
      <w:r w:rsidR="436C3FAD">
        <w:t>1 and 43.2 of the ITC Delivery Deed)</w:t>
      </w:r>
    </w:p>
    <w:p w14:paraId="4299F036" w14:textId="4D380709" w:rsidR="002B5BB6" w:rsidRDefault="7383905E" w:rsidP="0005402F">
      <w:pPr>
        <w:pStyle w:val="NormalIndent"/>
      </w:pPr>
      <w:r>
        <w:t xml:space="preserve">If the Principal considers that </w:t>
      </w:r>
      <w:r w:rsidR="0D17824B">
        <w:t>a Default (any failure by the Contractor or a Parent Guarantor to comply with any obligation of the Contractor or a Parent Guarantor under any Project Document, other than a Major Default or Default Termination Event) has occurred</w:t>
      </w:r>
      <w:r>
        <w:t xml:space="preserve">, the Principal has the right to serve a Default Notice on the Contractor to </w:t>
      </w:r>
      <w:r w:rsidR="597B3F6D">
        <w:t>C</w:t>
      </w:r>
      <w:r>
        <w:t>ure the Default (or</w:t>
      </w:r>
      <w:r w:rsidR="597B3F6D">
        <w:t>,</w:t>
      </w:r>
      <w:r>
        <w:t xml:space="preserve"> where it cannot be Cured, meet the Principal</w:t>
      </w:r>
      <w:r w:rsidR="597B3F6D">
        <w:t>’</w:t>
      </w:r>
      <w:r>
        <w:t>s reasonable requirements) within 20</w:t>
      </w:r>
      <w:r w:rsidR="7865FA55" w:rsidRPr="2C5D2C8B">
        <w:rPr>
          <w:rFonts w:ascii="Calibri" w:hAnsi="Calibri" w:cs="Calibri"/>
        </w:rPr>
        <w:t> </w:t>
      </w:r>
      <w:r>
        <w:t>Business Days or such longer period as the Principal notifies.</w:t>
      </w:r>
    </w:p>
    <w:p w14:paraId="26A128A7" w14:textId="3F40ED9D" w:rsidR="002B5BB6" w:rsidRPr="00E437CF" w:rsidRDefault="7383905E" w:rsidP="0005402F">
      <w:pPr>
        <w:pStyle w:val="NormalIndent"/>
      </w:pPr>
      <w:r>
        <w:t xml:space="preserve">If the Default is not </w:t>
      </w:r>
      <w:r w:rsidR="6F4EF462">
        <w:t>C</w:t>
      </w:r>
      <w:r>
        <w:t>ured</w:t>
      </w:r>
      <w:r w:rsidR="23189FB8">
        <w:t>,</w:t>
      </w:r>
      <w:r>
        <w:t xml:space="preserve"> or, where the Default cannot be </w:t>
      </w:r>
      <w:r w:rsidR="23189FB8">
        <w:t>C</w:t>
      </w:r>
      <w:r>
        <w:t>ured, the reasonable requirements of the Principal are not met within the notified period, the Default becomes a Major Default. This interim process gives the parties the ability to manage minor breaches that are not otherwise regulated by the Project Documents before they are elevated to Major Defaults.</w:t>
      </w:r>
    </w:p>
    <w:p w14:paraId="0FA14AC4" w14:textId="306B2710" w:rsidR="002B5BB6" w:rsidRDefault="7383905E" w:rsidP="006643FB">
      <w:pPr>
        <w:pStyle w:val="Heading3numbered"/>
      </w:pPr>
      <w:r>
        <w:t>Major Default Notice</w:t>
      </w:r>
      <w:r w:rsidR="436C3FAD">
        <w:t xml:space="preserve"> (clauses</w:t>
      </w:r>
      <w:r w:rsidR="7865FA55" w:rsidRPr="2C5D2C8B">
        <w:rPr>
          <w:rFonts w:ascii="Calibri" w:hAnsi="Calibri" w:cs="Calibri"/>
        </w:rPr>
        <w:t> </w:t>
      </w:r>
      <w:r w:rsidR="436C3FAD">
        <w:t>1, 43.1 and 43.3 of the ITC Delivery Deed)</w:t>
      </w:r>
    </w:p>
    <w:p w14:paraId="39BDE83E" w14:textId="0ABC10CB" w:rsidR="002B5BB6" w:rsidRDefault="7383905E" w:rsidP="0005402F">
      <w:pPr>
        <w:pStyle w:val="NormalIndent"/>
      </w:pPr>
      <w:r>
        <w:t xml:space="preserve">Major Defaults are events </w:t>
      </w:r>
      <w:r w:rsidR="711DC4ED">
        <w:t xml:space="preserve">that </w:t>
      </w:r>
      <w:r>
        <w:t>trigger the operation of the Major Default mechanism.</w:t>
      </w:r>
    </w:p>
    <w:p w14:paraId="45835E5A" w14:textId="2AB1A89B" w:rsidR="002B5BB6" w:rsidRDefault="002B5BB6" w:rsidP="0005402F">
      <w:pPr>
        <w:pStyle w:val="NormalIndent"/>
      </w:pPr>
      <w:r>
        <w:t>The following Major Defaults are deemed to be capable of Cure:</w:t>
      </w:r>
    </w:p>
    <w:p w14:paraId="5BC775A4" w14:textId="44956949" w:rsidR="002B5BB6" w:rsidRPr="004949D8" w:rsidRDefault="7383905E" w:rsidP="0005402F">
      <w:pPr>
        <w:pStyle w:val="Bulletindent"/>
      </w:pPr>
      <w:r>
        <w:t>where the Contractor fails to achieve Practical Completion by the Date for Practical Completion</w:t>
      </w:r>
      <w:r w:rsidR="711DC4ED">
        <w:t>;</w:t>
      </w:r>
    </w:p>
    <w:p w14:paraId="50B948EB" w14:textId="550A063F" w:rsidR="00C22FD5" w:rsidRPr="004949D8" w:rsidRDefault="7383905E" w:rsidP="0005402F">
      <w:pPr>
        <w:pStyle w:val="Bulletindent"/>
      </w:pPr>
      <w:r>
        <w:t>where the Contractor breaches the Local</w:t>
      </w:r>
      <w:r w:rsidR="73FE8F40">
        <w:t xml:space="preserve"> Jobs First</w:t>
      </w:r>
      <w:r>
        <w:t xml:space="preserve"> Requirements</w:t>
      </w:r>
      <w:r w:rsidR="711DC4ED">
        <w:t>;</w:t>
      </w:r>
    </w:p>
    <w:p w14:paraId="5CDEC732" w14:textId="194B47F2" w:rsidR="002A524B" w:rsidRPr="002A524B" w:rsidRDefault="73FE8F40" w:rsidP="0005402F">
      <w:pPr>
        <w:pStyle w:val="Bulletindent"/>
      </w:pPr>
      <w:r>
        <w:t>where the Contractor breaches the Social Procurement Commitment or the Social Procurement Commitment Schedule, or fails to meet the Social Procurement Target</w:t>
      </w:r>
      <w:r w:rsidR="711DC4ED">
        <w:t>; and</w:t>
      </w:r>
    </w:p>
    <w:p w14:paraId="224F6B80" w14:textId="5E1B6AD8" w:rsidR="002B5BB6" w:rsidRPr="004949D8" w:rsidRDefault="73FE8F40" w:rsidP="0005402F">
      <w:pPr>
        <w:pStyle w:val="Bulletindent"/>
      </w:pPr>
      <w:r>
        <w:t>where the Contractor breaches the Fair Jobs Code requirements</w:t>
      </w:r>
      <w:r w:rsidR="7383905E">
        <w:t>.</w:t>
      </w:r>
    </w:p>
    <w:p w14:paraId="5BDBDF9F" w14:textId="7EB71C3D" w:rsidR="002B5BB6" w:rsidRDefault="7383905E" w:rsidP="0005402F">
      <w:pPr>
        <w:pStyle w:val="NormalIndent"/>
      </w:pPr>
      <w:r>
        <w:t>The deeming provision puts it beyond doubt that</w:t>
      </w:r>
      <w:r w:rsidR="006DD4E1">
        <w:t>,</w:t>
      </w:r>
      <w:r>
        <w:t xml:space="preserve"> notwithstanding that these events may not be capable of remedy or cure as a matter of fact, the Contractor ha</w:t>
      </w:r>
      <w:r w:rsidR="66B8B8D4">
        <w:t>s</w:t>
      </w:r>
      <w:r>
        <w:t xml:space="preserve"> the benefit of the maximum </w:t>
      </w:r>
      <w:r w:rsidR="66B8B8D4">
        <w:t>C</w:t>
      </w:r>
      <w:r>
        <w:t>ure period permitted by the Principal under the Project Documents in respect of those Major Defaults.</w:t>
      </w:r>
    </w:p>
    <w:p w14:paraId="1D1EB39A" w14:textId="5551FFCC" w:rsidR="002B5BB6" w:rsidRDefault="00FD4196" w:rsidP="0005402F">
      <w:pPr>
        <w:pStyle w:val="NormalIndent"/>
      </w:pPr>
      <w:r>
        <w:fldChar w:fldCharType="begin" w:fldLock="1"/>
      </w:r>
      <w:r>
        <w:instrText xml:space="preserve"> REF _Ref143159426 \h </w:instrText>
      </w:r>
      <w:r>
        <w:fldChar w:fldCharType="separate"/>
      </w:r>
      <w:r w:rsidR="00400321" w:rsidRPr="00FD4196">
        <w:t>Figure</w:t>
      </w:r>
      <w:r w:rsidR="00400321" w:rsidRPr="00754976">
        <w:rPr>
          <w:rFonts w:ascii="Calibri" w:hAnsi="Calibri" w:cs="Calibri"/>
        </w:rPr>
        <w:t> </w:t>
      </w:r>
      <w:r w:rsidR="00400321">
        <w:rPr>
          <w:noProof/>
        </w:rPr>
        <w:t>12</w:t>
      </w:r>
      <w:r>
        <w:fldChar w:fldCharType="end"/>
      </w:r>
      <w:r w:rsidR="000C3950">
        <w:t xml:space="preserve"> </w:t>
      </w:r>
      <w:r w:rsidR="002B5BB6">
        <w:t xml:space="preserve">below sets out the Major Default Notice regime. The regime </w:t>
      </w:r>
      <w:r w:rsidR="6E834CB8">
        <w:t>ensure</w:t>
      </w:r>
      <w:r w:rsidR="26B6C384">
        <w:t>s</w:t>
      </w:r>
      <w:r w:rsidR="002B5BB6">
        <w:t xml:space="preserve"> that there are sufficient protections for the Contractor to provide input in the Major Default procedure.</w:t>
      </w:r>
    </w:p>
    <w:p w14:paraId="0E44B6F2" w14:textId="4E4F2191" w:rsidR="00FD4196" w:rsidRPr="00FD4196" w:rsidRDefault="00FD4196" w:rsidP="00BA17E2">
      <w:pPr>
        <w:pStyle w:val="Captionindent"/>
      </w:pPr>
      <w:bookmarkStart w:id="2226" w:name="_Ref143159426"/>
      <w:r w:rsidRPr="00FD4196">
        <w:t>Figure</w:t>
      </w:r>
      <w:r w:rsidR="00754976" w:rsidRPr="00754976">
        <w:rPr>
          <w:rFonts w:ascii="Calibri" w:hAnsi="Calibri" w:cs="Calibri"/>
        </w:rPr>
        <w:t> </w:t>
      </w:r>
      <w:r>
        <w:fldChar w:fldCharType="begin"/>
      </w:r>
      <w:r>
        <w:instrText>SEQ Figure \* ARABIC</w:instrText>
      </w:r>
      <w:r>
        <w:fldChar w:fldCharType="separate"/>
      </w:r>
      <w:r w:rsidR="00131EE1">
        <w:rPr>
          <w:noProof/>
        </w:rPr>
        <w:t>12</w:t>
      </w:r>
      <w:r>
        <w:fldChar w:fldCharType="end"/>
      </w:r>
      <w:bookmarkEnd w:id="2226"/>
      <w:r w:rsidRPr="00FD4196">
        <w:t xml:space="preserve"> – Major Default mechanism</w:t>
      </w:r>
    </w:p>
    <w:p w14:paraId="29DBFB6B" w14:textId="5989DA1D" w:rsidR="00423758" w:rsidRPr="00D72BD9" w:rsidRDefault="00071D24" w:rsidP="003B5FEE">
      <w:pPr>
        <w:pStyle w:val="NormalIndent"/>
      </w:pPr>
      <w:bookmarkStart w:id="2227" w:name="_Ref131688219"/>
      <w:r>
        <w:rPr>
          <w:noProof/>
        </w:rPr>
        <w:drawing>
          <wp:inline distT="0" distB="0" distL="0" distR="0" wp14:anchorId="18815E62" wp14:editId="01328AAE">
            <wp:extent cx="5263662" cy="2967152"/>
            <wp:effectExtent l="0" t="0" r="0" b="5080"/>
            <wp:docPr id="2015598375" name="Picture 2015598375" descr="Figure illustrates the Major Default Notice regime described in clauses 1, 43.1 and 43.3 of the ITC Delivery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98375" name="Graphic 2015598375" descr="Figure illustrates the Major Default Notice regime described in clauses 1, 43.1 and 43.3 of the ITC Delivery Deed."/>
                    <pic:cNvPicPr/>
                  </pic:nvPicPr>
                  <pic:blipFill>
                    <a:blip r:embed="rId72">
                      <a:extLst>
                        <a:ext uri="{96DAC541-7B7A-43D3-8B79-37D633B846F1}">
                          <asvg:svgBlip xmlns:asvg="http://schemas.microsoft.com/office/drawing/2016/SVG/main" r:embed="rId73"/>
                        </a:ext>
                      </a:extLst>
                    </a:blip>
                    <a:stretch>
                      <a:fillRect/>
                    </a:stretch>
                  </pic:blipFill>
                  <pic:spPr>
                    <a:xfrm>
                      <a:off x="0" y="0"/>
                      <a:ext cx="5268656" cy="2969967"/>
                    </a:xfrm>
                    <a:prstGeom prst="rect">
                      <a:avLst/>
                    </a:prstGeom>
                  </pic:spPr>
                </pic:pic>
              </a:graphicData>
            </a:graphic>
          </wp:inline>
        </w:drawing>
      </w:r>
    </w:p>
    <w:p w14:paraId="2C9986B8" w14:textId="56998203" w:rsidR="002B5BB6" w:rsidRDefault="7383905E" w:rsidP="000272A3">
      <w:pPr>
        <w:pStyle w:val="Heading3numbered"/>
      </w:pPr>
      <w:bookmarkStart w:id="2228" w:name="_Ref492318284"/>
      <w:bookmarkEnd w:id="2227"/>
      <w:r>
        <w:t xml:space="preserve">Cure Program and </w:t>
      </w:r>
      <w:r w:rsidR="5030D92E">
        <w:t>C</w:t>
      </w:r>
      <w:r>
        <w:t>ure periods</w:t>
      </w:r>
      <w:bookmarkEnd w:id="2228"/>
      <w:r w:rsidR="436C3FAD">
        <w:t xml:space="preserve"> (clauses</w:t>
      </w:r>
      <w:r w:rsidR="7865FA55" w:rsidRPr="2C5D2C8B">
        <w:rPr>
          <w:rFonts w:ascii="Calibri" w:hAnsi="Calibri" w:cs="Calibri"/>
        </w:rPr>
        <w:t> </w:t>
      </w:r>
      <w:r w:rsidR="436C3FAD">
        <w:t>1, 43.4 and 43.5 of the ITC Delivery Deed)</w:t>
      </w:r>
    </w:p>
    <w:p w14:paraId="18D21930" w14:textId="35593793" w:rsidR="002B5BB6" w:rsidRDefault="002B5BB6" w:rsidP="006643FB">
      <w:pPr>
        <w:pStyle w:val="Heading4numbered"/>
      </w:pPr>
      <w:r>
        <w:t>Cure Program</w:t>
      </w:r>
    </w:p>
    <w:p w14:paraId="4F1CFFD5" w14:textId="7227E59E" w:rsidR="002B5BB6" w:rsidRPr="00AA39E9" w:rsidRDefault="002B5BB6" w:rsidP="0005402F">
      <w:pPr>
        <w:pStyle w:val="NormalIndent"/>
      </w:pPr>
      <w:r>
        <w:t>The Contractor</w:t>
      </w:r>
      <w:r w:rsidRPr="00AA39E9">
        <w:t xml:space="preserve"> must provide a Cure Program within 10 Business Days after receiving a Major Default Notice.</w:t>
      </w:r>
    </w:p>
    <w:p w14:paraId="268F6D77" w14:textId="2803539C" w:rsidR="002B5BB6" w:rsidRDefault="7383905E" w:rsidP="0005402F">
      <w:pPr>
        <w:pStyle w:val="NormalIndent"/>
      </w:pPr>
      <w:r>
        <w:t>Where the Major Default is a failure by the Contractor to achieve Practical Completion by the Date for Practical Completion</w:t>
      </w:r>
      <w:r w:rsidR="53FE7ACA">
        <w:t>,</w:t>
      </w:r>
      <w:r>
        <w:t xml:space="preserve"> and the Contractor has provided a Remediation Plan in accordance with the requirements of the expert</w:t>
      </w:r>
      <w:r w:rsidR="53FE7ACA">
        <w:t>’</w:t>
      </w:r>
      <w:r>
        <w:t>s review of progress (in accordance with clause</w:t>
      </w:r>
      <w:r w:rsidR="7865FA55" w:rsidRPr="2C5D2C8B">
        <w:rPr>
          <w:rFonts w:ascii="Calibri" w:hAnsi="Calibri" w:cs="Calibri"/>
        </w:rPr>
        <w:t> </w:t>
      </w:r>
      <w:r w:rsidR="45D8F4EE">
        <w:t>2</w:t>
      </w:r>
      <w:r w:rsidR="436C3FAD">
        <w:t>7</w:t>
      </w:r>
      <w:r w:rsidR="45D8F4EE">
        <w:t>.3(e)(ii)</w:t>
      </w:r>
      <w:r w:rsidR="436C3FAD">
        <w:t xml:space="preserve"> of the ITC Delivery Deed</w:t>
      </w:r>
      <w:r w:rsidR="613E729B">
        <w:t>)</w:t>
      </w:r>
      <w:r>
        <w:t xml:space="preserve"> or an Amended Remediation Plan </w:t>
      </w:r>
      <w:r w:rsidR="6C3C99F5">
        <w:t>(</w:t>
      </w:r>
      <w:r>
        <w:t>in accordance with clause</w:t>
      </w:r>
      <w:r w:rsidR="7865FA55" w:rsidRPr="2C5D2C8B">
        <w:rPr>
          <w:rFonts w:ascii="Calibri" w:hAnsi="Calibri" w:cs="Calibri"/>
        </w:rPr>
        <w:t> </w:t>
      </w:r>
      <w:r w:rsidR="45D8F4EE">
        <w:t>2</w:t>
      </w:r>
      <w:r w:rsidR="436C3FAD">
        <w:t>7</w:t>
      </w:r>
      <w:r w:rsidR="45D8F4EE">
        <w:t>.3(j) of the ITC Delivery Deed</w:t>
      </w:r>
      <w:r w:rsidR="6C3C99F5">
        <w:t>)</w:t>
      </w:r>
      <w:r>
        <w:t>, the Contractor may submit that Remediation Plan</w:t>
      </w:r>
      <w:r w:rsidR="45D8F4EE">
        <w:t xml:space="preserve"> or Amended Remediation Plan (as applicable)</w:t>
      </w:r>
      <w:r>
        <w:t xml:space="preserve"> as the Cure Program for the Major Default.</w:t>
      </w:r>
    </w:p>
    <w:p w14:paraId="676734F6" w14:textId="5052C74C" w:rsidR="002B5BB6" w:rsidRPr="00AA39E9" w:rsidRDefault="002B5BB6" w:rsidP="006643FB">
      <w:pPr>
        <w:pStyle w:val="Heading4numbered"/>
      </w:pPr>
      <w:r>
        <w:t xml:space="preserve">Extension to Cure Program and </w:t>
      </w:r>
      <w:r w:rsidR="003514B8">
        <w:t xml:space="preserve">the time set out in a </w:t>
      </w:r>
      <w:r>
        <w:t>Major Default Notice</w:t>
      </w:r>
    </w:p>
    <w:p w14:paraId="0F85A93A" w14:textId="1D98898D" w:rsidR="00AA5032" w:rsidRDefault="7383905E" w:rsidP="0046483C">
      <w:pPr>
        <w:pStyle w:val="NormalIndent"/>
        <w:keepNext/>
      </w:pPr>
      <w:r>
        <w:t xml:space="preserve">If the Contractor diligently </w:t>
      </w:r>
      <w:r w:rsidR="4B1E58A1">
        <w:t>pursues</w:t>
      </w:r>
      <w:r w:rsidR="45D8F4EE">
        <w:t>:</w:t>
      </w:r>
    </w:p>
    <w:p w14:paraId="4A7CA09F" w14:textId="5CDF4F56" w:rsidR="002A524B" w:rsidRPr="002A524B" w:rsidRDefault="45D8F4EE" w:rsidP="0046483C">
      <w:pPr>
        <w:pStyle w:val="Bulletindent"/>
        <w:keepNext/>
      </w:pPr>
      <w:r>
        <w:t>if the Major Default is capable of Cure, the Cure of that Major Default</w:t>
      </w:r>
      <w:r w:rsidR="4B1E58A1">
        <w:t>; or</w:t>
      </w:r>
    </w:p>
    <w:p w14:paraId="64F29F1C" w14:textId="7FE2860C" w:rsidR="00AA5032" w:rsidRDefault="45D8F4EE" w:rsidP="0046483C">
      <w:pPr>
        <w:pStyle w:val="Bulletindent"/>
        <w:keepNext/>
      </w:pPr>
      <w:r>
        <w:t>if the Major Default is not capable of Cure, compliance with any reasonable requirements of the Principal</w:t>
      </w:r>
    </w:p>
    <w:p w14:paraId="7D67AD30" w14:textId="68F71023" w:rsidR="002B5BB6" w:rsidRPr="00AA39E9" w:rsidRDefault="7383905E" w:rsidP="0005402F">
      <w:pPr>
        <w:pStyle w:val="NormalIndent"/>
      </w:pPr>
      <w:r>
        <w:t>the Contractor may request that the Principal, and the Principal must, extend the Cure Program</w:t>
      </w:r>
      <w:r w:rsidR="0BB4ADEC">
        <w:t>,</w:t>
      </w:r>
      <w:r>
        <w:t xml:space="preserve"> and the time stated in the Major Default Notice</w:t>
      </w:r>
      <w:r w:rsidR="316C92F6">
        <w:t xml:space="preserve"> will be extended</w:t>
      </w:r>
      <w:r>
        <w:t>. The Contractor is only entitled to one extension in connection with the same Major Default. Limiting the number of extensions gives certainty to the parties and avoids the risk of open-ended Cure rights.</w:t>
      </w:r>
    </w:p>
    <w:p w14:paraId="0D6BF2E4" w14:textId="3A3B51C8" w:rsidR="002B5BB6" w:rsidRPr="003070F8" w:rsidRDefault="54D8CD8F" w:rsidP="0005402F">
      <w:pPr>
        <w:pStyle w:val="NormalIndent"/>
      </w:pPr>
      <w:r>
        <w:t>Clause</w:t>
      </w:r>
      <w:r w:rsidR="7865FA55" w:rsidRPr="2C5D2C8B">
        <w:rPr>
          <w:rFonts w:ascii="Calibri" w:hAnsi="Calibri" w:cs="Calibri"/>
        </w:rPr>
        <w:t> </w:t>
      </w:r>
      <w:r>
        <w:t>4</w:t>
      </w:r>
      <w:r w:rsidR="436C3FAD">
        <w:t>3</w:t>
      </w:r>
      <w:r>
        <w:t>.4(h)</w:t>
      </w:r>
      <w:r w:rsidR="45D8F4EE">
        <w:t xml:space="preserve"> of the ITC Delivery Deed</w:t>
      </w:r>
      <w:r w:rsidR="7383905E">
        <w:t xml:space="preserve"> sets out the maximum Cure period permitted by the Principal in respect of a Major Default. For most </w:t>
      </w:r>
      <w:r w:rsidR="45D8F4EE">
        <w:t>p</w:t>
      </w:r>
      <w:r w:rsidR="7383905E">
        <w:t xml:space="preserve">rojects, the </w:t>
      </w:r>
      <w:r w:rsidR="45D8F4EE">
        <w:t>m</w:t>
      </w:r>
      <w:r w:rsidR="7383905E">
        <w:t xml:space="preserve">aximum Cure </w:t>
      </w:r>
      <w:r w:rsidR="45D8F4EE">
        <w:t>p</w:t>
      </w:r>
      <w:r w:rsidR="7383905E">
        <w:t>eriod is 24</w:t>
      </w:r>
      <w:r w:rsidR="7865FA55" w:rsidRPr="2C5D2C8B">
        <w:rPr>
          <w:rFonts w:ascii="Calibri" w:hAnsi="Calibri" w:cs="Calibri"/>
        </w:rPr>
        <w:t> </w:t>
      </w:r>
      <w:r w:rsidR="402F6D55">
        <w:t>m</w:t>
      </w:r>
      <w:r w:rsidR="7383905E">
        <w:t xml:space="preserve">onths. When determining the </w:t>
      </w:r>
      <w:r w:rsidR="45D8F4EE">
        <w:t>m</w:t>
      </w:r>
      <w:r w:rsidR="7383905E">
        <w:t xml:space="preserve">aximum Cure </w:t>
      </w:r>
      <w:r w:rsidR="45D8F4EE">
        <w:t>p</w:t>
      </w:r>
      <w:r w:rsidR="7383905E">
        <w:t>eriod, procuring agencies should consider a number of factors</w:t>
      </w:r>
      <w:r w:rsidR="5931CF7D">
        <w:t>,</w:t>
      </w:r>
      <w:r w:rsidR="7383905E">
        <w:t xml:space="preserve"> including the length of the </w:t>
      </w:r>
      <w:r w:rsidR="436C3FAD">
        <w:t>D</w:t>
      </w:r>
      <w:r w:rsidR="316C92F6">
        <w:t xml:space="preserve">elivery </w:t>
      </w:r>
      <w:r w:rsidR="436C3FAD">
        <w:t>P</w:t>
      </w:r>
      <w:r w:rsidR="316C92F6">
        <w:t>hase</w:t>
      </w:r>
      <w:r w:rsidR="7383905E">
        <w:t xml:space="preserve">, the complexity of the </w:t>
      </w:r>
      <w:r w:rsidR="316C92F6">
        <w:t>P</w:t>
      </w:r>
      <w:r w:rsidR="7383905E">
        <w:t xml:space="preserve">roject and the maturity of the market in providing the required Works. The maximum Cure periods should be agreed with </w:t>
      </w:r>
      <w:r w:rsidR="58ED5918">
        <w:t xml:space="preserve">the </w:t>
      </w:r>
      <w:r w:rsidR="7383905E">
        <w:t>DTF.</w:t>
      </w:r>
    </w:p>
    <w:p w14:paraId="0151D066" w14:textId="2A9C7682" w:rsidR="002B5BB6" w:rsidRPr="00087325" w:rsidRDefault="7383905E" w:rsidP="0005402F">
      <w:pPr>
        <w:pStyle w:val="NormalIndent"/>
      </w:pPr>
      <w:r>
        <w:t xml:space="preserve">It is for the Contractor and the Significant Subcontractors to determine the exclusive </w:t>
      </w:r>
      <w:r w:rsidR="1466495B">
        <w:t>C</w:t>
      </w:r>
      <w:r>
        <w:t>ure period (if any) that each party ha</w:t>
      </w:r>
      <w:r w:rsidR="1466495B">
        <w:t>s</w:t>
      </w:r>
      <w:r>
        <w:t xml:space="preserve"> for </w:t>
      </w:r>
      <w:r w:rsidR="0C7F4916">
        <w:t>C</w:t>
      </w:r>
      <w:r>
        <w:t>uring a Major Default.</w:t>
      </w:r>
    </w:p>
    <w:p w14:paraId="3AB49C0B" w14:textId="797E3D63" w:rsidR="002B5BB6" w:rsidRPr="00AA39E9" w:rsidRDefault="002B5BB6" w:rsidP="0005402F">
      <w:pPr>
        <w:pStyle w:val="NormalIndent"/>
      </w:pPr>
      <w:r>
        <w:t>T</w:t>
      </w:r>
      <w:r w:rsidRPr="00AA39E9">
        <w:t xml:space="preserve">he maximum </w:t>
      </w:r>
      <w:r>
        <w:t>C</w:t>
      </w:r>
      <w:r w:rsidRPr="00AA39E9">
        <w:t xml:space="preserve">ure periods </w:t>
      </w:r>
      <w:r>
        <w:t xml:space="preserve">that the Contractor has under the ITC Delivery Deed </w:t>
      </w:r>
      <w:r w:rsidRPr="00AA39E9">
        <w:t xml:space="preserve">may be extended if </w:t>
      </w:r>
      <w:r>
        <w:t>the Contractor</w:t>
      </w:r>
      <w:r w:rsidRPr="00AA39E9">
        <w:t xml:space="preserve"> is prevented from carrying out its obligations in accordance with a Cure Program as a direct result of an </w:t>
      </w:r>
      <w:r>
        <w:t>Adjustment Event (Time)</w:t>
      </w:r>
      <w:r w:rsidR="008E1BED">
        <w:t>,</w:t>
      </w:r>
      <w:r>
        <w:t xml:space="preserve"> </w:t>
      </w:r>
      <w:r w:rsidRPr="00AA39E9">
        <w:t>provided that:</w:t>
      </w:r>
    </w:p>
    <w:p w14:paraId="3B081D4A" w14:textId="1C70FC14" w:rsidR="002A524B" w:rsidRPr="002A524B" w:rsidRDefault="7383905E" w:rsidP="0005402F">
      <w:pPr>
        <w:pStyle w:val="Bulletindent"/>
      </w:pPr>
      <w:r>
        <w:t>the Contractor is entitled to be granted an extension of time under clause</w:t>
      </w:r>
      <w:r w:rsidR="574D8D98">
        <w:t>s</w:t>
      </w:r>
      <w:r w:rsidR="7865FA55" w:rsidRPr="2C5D2C8B">
        <w:rPr>
          <w:rFonts w:ascii="Calibri" w:hAnsi="Calibri"/>
        </w:rPr>
        <w:t> </w:t>
      </w:r>
      <w:r>
        <w:t>2</w:t>
      </w:r>
      <w:r w:rsidR="436C3FAD">
        <w:t>7</w:t>
      </w:r>
      <w:r>
        <w:t>.</w:t>
      </w:r>
      <w:r w:rsidR="45D8F4EE">
        <w:t>8</w:t>
      </w:r>
      <w:r>
        <w:t xml:space="preserve"> or </w:t>
      </w:r>
      <w:r w:rsidR="45D8F4EE">
        <w:t>2</w:t>
      </w:r>
      <w:r w:rsidR="436C3FAD">
        <w:t>7</w:t>
      </w:r>
      <w:r w:rsidR="45D8F4EE">
        <w:t>.9</w:t>
      </w:r>
      <w:r>
        <w:t xml:space="preserve"> </w:t>
      </w:r>
      <w:r w:rsidR="45D8F4EE">
        <w:t xml:space="preserve">of the ITC Delivery Deed </w:t>
      </w:r>
      <w:r>
        <w:t>(as applicable) for the relevant Adjustment Event (Time)</w:t>
      </w:r>
      <w:r w:rsidR="574D8D98">
        <w:t>;</w:t>
      </w:r>
      <w:r w:rsidR="1EDD0BB7">
        <w:t xml:space="preserve"> and</w:t>
      </w:r>
    </w:p>
    <w:p w14:paraId="65BEF67C" w14:textId="0044CF3E" w:rsidR="002B5BB6" w:rsidRPr="00AA39E9" w:rsidRDefault="7383905E" w:rsidP="0005402F">
      <w:pPr>
        <w:pStyle w:val="Bulletindent"/>
      </w:pPr>
      <w:r>
        <w:t>the Contractor demonstrates to the Principal</w:t>
      </w:r>
      <w:r w:rsidR="1EDD0BB7">
        <w:t>’</w:t>
      </w:r>
      <w:r>
        <w:t>s satisfaction (acting reasonably) that the Contractor has diligently pursued and, to the extent reasonably possible, continues to diligently pursue the Cure Program.</w:t>
      </w:r>
    </w:p>
    <w:p w14:paraId="6A02E071" w14:textId="10F1C35F" w:rsidR="002B5BB6" w:rsidRDefault="002B5BB6" w:rsidP="0005402F">
      <w:pPr>
        <w:pStyle w:val="NormalIndent"/>
      </w:pPr>
      <w:r w:rsidRPr="00AA39E9">
        <w:t xml:space="preserve">The maximum Cure period and the Major Default Notice may only be extended by the amount of time </w:t>
      </w:r>
      <w:r>
        <w:t xml:space="preserve">for </w:t>
      </w:r>
      <w:r w:rsidRPr="00AA39E9">
        <w:t xml:space="preserve">which </w:t>
      </w:r>
      <w:r>
        <w:t>the Contractor</w:t>
      </w:r>
      <w:r w:rsidRPr="00AA39E9">
        <w:t xml:space="preserve"> is entitle</w:t>
      </w:r>
      <w:r>
        <w:t>d</w:t>
      </w:r>
      <w:r w:rsidRPr="00AA39E9">
        <w:t xml:space="preserve"> to an extension of time </w:t>
      </w:r>
      <w:r>
        <w:t>or</w:t>
      </w:r>
      <w:r w:rsidRPr="00AA39E9">
        <w:t xml:space="preserve"> relief for performance of the obligations in respect of the </w:t>
      </w:r>
      <w:r>
        <w:t>Adjustment Event (Time)</w:t>
      </w:r>
      <w:r w:rsidRPr="00AA39E9">
        <w:t>.</w:t>
      </w:r>
    </w:p>
    <w:p w14:paraId="0B693063" w14:textId="5BA2B70B" w:rsidR="002B5BB6" w:rsidRDefault="7383905E" w:rsidP="0005402F">
      <w:pPr>
        <w:pStyle w:val="NormalIndent"/>
      </w:pPr>
      <w:r>
        <w:t xml:space="preserve">If </w:t>
      </w:r>
      <w:r w:rsidR="7662C1BE">
        <w:t xml:space="preserve">the Contractor fails to Cure the Major Default within the time set out in the Major Default Notice </w:t>
      </w:r>
      <w:r>
        <w:t>(</w:t>
      </w:r>
      <w:r w:rsidR="7662C1BE">
        <w:t>as may be amended, determined or extended</w:t>
      </w:r>
      <w:r>
        <w:t>), a Default Termination Event</w:t>
      </w:r>
      <w:r w:rsidR="7662C1BE">
        <w:t xml:space="preserve"> occur</w:t>
      </w:r>
      <w:r w:rsidR="28120855">
        <w:t>s</w:t>
      </w:r>
      <w:r>
        <w:t>.</w:t>
      </w:r>
    </w:p>
    <w:p w14:paraId="5D71F791" w14:textId="7C9DFF51" w:rsidR="002B5BB6" w:rsidRDefault="7383905E" w:rsidP="006A0E13">
      <w:pPr>
        <w:pStyle w:val="Heading2numbered"/>
      </w:pPr>
      <w:bookmarkStart w:id="2229" w:name="_Toc133577913"/>
      <w:bookmarkStart w:id="2230" w:name="_Toc145612608"/>
      <w:r>
        <w:t>Termination</w:t>
      </w:r>
      <w:bookmarkEnd w:id="2229"/>
      <w:r w:rsidR="436C3FAD">
        <w:t xml:space="preserve"> (clauses</w:t>
      </w:r>
      <w:r w:rsidR="7865FA55" w:rsidRPr="2C5D2C8B">
        <w:rPr>
          <w:rFonts w:ascii="Calibri" w:hAnsi="Calibri" w:cs="Calibri"/>
        </w:rPr>
        <w:t> </w:t>
      </w:r>
      <w:r w:rsidR="436C3FAD">
        <w:t>1, 3 and 44 of the ITC Delivery Deed)</w:t>
      </w:r>
      <w:bookmarkEnd w:id="2230"/>
    </w:p>
    <w:p w14:paraId="783358F4" w14:textId="1AF8ECA3" w:rsidR="002B5BB6" w:rsidRDefault="7383905E" w:rsidP="006643FB">
      <w:pPr>
        <w:pStyle w:val="Heading3numbered"/>
      </w:pPr>
      <w:r>
        <w:t>Sole basis</w:t>
      </w:r>
      <w:r w:rsidR="436C3FAD">
        <w:t xml:space="preserve"> (clause</w:t>
      </w:r>
      <w:r w:rsidR="496F168C" w:rsidRPr="2C5D2C8B">
        <w:rPr>
          <w:rFonts w:ascii="Calibri" w:hAnsi="Calibri" w:cs="Calibri"/>
        </w:rPr>
        <w:t> </w:t>
      </w:r>
      <w:r w:rsidR="436C3FAD">
        <w:t>44.1 of the ITC Delivery Deed)</w:t>
      </w:r>
    </w:p>
    <w:p w14:paraId="64E87C54" w14:textId="4857C24B" w:rsidR="002B5BB6" w:rsidRPr="00D6359D" w:rsidRDefault="002B5BB6" w:rsidP="001D061B">
      <w:pPr>
        <w:pStyle w:val="NormalIndent"/>
        <w:keepNext/>
      </w:pPr>
      <w:r>
        <w:t>The Principal is only entitled to terminate, rescind or accept a repudiation of the ITC Delivery Deed in accordance with the termination rights under the ITC Delivery Deed.</w:t>
      </w:r>
    </w:p>
    <w:p w14:paraId="45F68DBD" w14:textId="4044DD7D" w:rsidR="002B5BB6" w:rsidRDefault="00AA5032" w:rsidP="001D061B">
      <w:pPr>
        <w:pStyle w:val="NormalIndent"/>
        <w:keepNext/>
      </w:pPr>
      <w:r>
        <w:t>T</w:t>
      </w:r>
      <w:r w:rsidR="002B5BB6">
        <w:t>he Contractor has no right to terminate any Project Document.</w:t>
      </w:r>
      <w:r w:rsidR="002B5BB6" w:rsidRPr="00723F22">
        <w:t xml:space="preserve"> </w:t>
      </w:r>
      <w:r w:rsidR="002B5BB6">
        <w:t>The rationale for this is that:</w:t>
      </w:r>
    </w:p>
    <w:p w14:paraId="7E48FAF3" w14:textId="01072362" w:rsidR="002A524B" w:rsidRPr="002A524B" w:rsidRDefault="7383905E" w:rsidP="0005402F">
      <w:pPr>
        <w:pStyle w:val="Bulletindent"/>
      </w:pPr>
      <w:r>
        <w:t>there are a very limited number of fundamental obligations the Principal has under any Project Document</w:t>
      </w:r>
      <w:r w:rsidR="2743FD88">
        <w:t>; and</w:t>
      </w:r>
    </w:p>
    <w:p w14:paraId="3CE055F5" w14:textId="61B8AF9C" w:rsidR="002B5BB6" w:rsidRDefault="7383905E" w:rsidP="0005402F">
      <w:pPr>
        <w:pStyle w:val="Bulletindent"/>
      </w:pPr>
      <w:r>
        <w:t>failure of the Principal to meet its obligations under a Project Document is an Adjustment Event</w:t>
      </w:r>
      <w:r w:rsidR="0FF260DB">
        <w:t>,</w:t>
      </w:r>
      <w:r>
        <w:t xml:space="preserve"> and the Contractor</w:t>
      </w:r>
      <w:r w:rsidR="0FF260DB">
        <w:t>’</w:t>
      </w:r>
      <w:r>
        <w:t>s rights to sue the Principal for damages for breach of the Project Documents are excluded only in limited and specified circumstances.</w:t>
      </w:r>
    </w:p>
    <w:p w14:paraId="054E706C" w14:textId="47403D97" w:rsidR="002B5BB6" w:rsidRDefault="7383905E" w:rsidP="00195C28">
      <w:pPr>
        <w:pStyle w:val="Heading3numbered"/>
      </w:pPr>
      <w:r>
        <w:t>Termination events</w:t>
      </w:r>
      <w:r w:rsidR="436C3FAD">
        <w:t xml:space="preserve"> (clauses</w:t>
      </w:r>
      <w:r w:rsidR="496F168C" w:rsidRPr="2C5D2C8B">
        <w:rPr>
          <w:rFonts w:ascii="Calibri" w:hAnsi="Calibri" w:cs="Calibri"/>
        </w:rPr>
        <w:t> </w:t>
      </w:r>
      <w:r w:rsidR="436C3FAD">
        <w:t>1, 3.4, 44.2 and 44.3 of the ITC Delivery</w:t>
      </w:r>
      <w:r w:rsidR="0046483C">
        <w:rPr>
          <w:rFonts w:ascii="Calibri" w:hAnsi="Calibri" w:cs="Calibri"/>
        </w:rPr>
        <w:t> </w:t>
      </w:r>
      <w:r w:rsidR="436C3FAD">
        <w:t>Deed)</w:t>
      </w:r>
    </w:p>
    <w:p w14:paraId="6C203BFB" w14:textId="4FA6F12C" w:rsidR="003514B8" w:rsidRPr="003514B8" w:rsidRDefault="003514B8" w:rsidP="00195C28">
      <w:pPr>
        <w:pStyle w:val="Heading4numbered"/>
      </w:pPr>
      <w:r>
        <w:t>Termination triggers</w:t>
      </w:r>
    </w:p>
    <w:p w14:paraId="2D3B9F99" w14:textId="47EB11DC" w:rsidR="002B5BB6" w:rsidRDefault="002B5BB6" w:rsidP="0005402F">
      <w:pPr>
        <w:pStyle w:val="NormalIndent"/>
      </w:pPr>
      <w:r>
        <w:t>The ITC Delivery Deed can be terminated as a result of</w:t>
      </w:r>
      <w:r w:rsidR="003514B8">
        <w:t xml:space="preserve"> the events listed in the following table.</w:t>
      </w:r>
    </w:p>
    <w:p w14:paraId="20190FB2" w14:textId="08E8E2D4" w:rsidR="003514B8" w:rsidRDefault="00DB515A" w:rsidP="002E343B">
      <w:pPr>
        <w:pStyle w:val="Captionindent"/>
        <w:spacing w:before="120"/>
      </w:pPr>
      <w:r>
        <w:t xml:space="preserve">Table </w:t>
      </w:r>
      <w:fldSimple w:instr=" SEQ Table \* ARABIC ">
        <w:r w:rsidR="00131EE1">
          <w:rPr>
            <w:noProof/>
          </w:rPr>
          <w:t>2</w:t>
        </w:r>
      </w:fldSimple>
      <w:r>
        <w:t xml:space="preserve"> </w:t>
      </w:r>
      <w:r w:rsidR="007C277D">
        <w:t>–</w:t>
      </w:r>
      <w:r w:rsidR="003514B8">
        <w:t xml:space="preserve"> Termination triggers</w:t>
      </w:r>
    </w:p>
    <w:tbl>
      <w:tblPr>
        <w:tblStyle w:val="DTFtexttableindent"/>
        <w:tblW w:w="8208" w:type="dxa"/>
        <w:tblInd w:w="792" w:type="dxa"/>
        <w:tblLook w:val="04A0" w:firstRow="1" w:lastRow="0" w:firstColumn="1" w:lastColumn="0" w:noHBand="0" w:noVBand="1"/>
      </w:tblPr>
      <w:tblGrid>
        <w:gridCol w:w="2808"/>
        <w:gridCol w:w="5400"/>
      </w:tblGrid>
      <w:tr w:rsidR="002B5BB6" w14:paraId="6E3D2C07" w14:textId="77777777" w:rsidTr="002E34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dxa"/>
          </w:tcPr>
          <w:p w14:paraId="63668B8B" w14:textId="2843411B" w:rsidR="002B5BB6" w:rsidRPr="003D716F" w:rsidRDefault="7383905E" w:rsidP="002B5BB6">
            <w:pPr>
              <w:pStyle w:val="Tableheader"/>
              <w:rPr>
                <w:b/>
                <w:bCs/>
              </w:rPr>
            </w:pPr>
            <w:r w:rsidRPr="2C5D2C8B">
              <w:rPr>
                <w:b/>
                <w:bCs/>
              </w:rPr>
              <w:t>Event</w:t>
            </w:r>
          </w:p>
        </w:tc>
        <w:tc>
          <w:tcPr>
            <w:tcW w:w="5400" w:type="dxa"/>
          </w:tcPr>
          <w:p w14:paraId="700440F7" w14:textId="77777777" w:rsidR="002B5BB6" w:rsidRPr="003D716F" w:rsidRDefault="002B5BB6" w:rsidP="002B5BB6">
            <w:pPr>
              <w:pStyle w:val="Tableheader"/>
              <w:cnfStyle w:val="100000000000" w:firstRow="1" w:lastRow="0" w:firstColumn="0" w:lastColumn="0" w:oddVBand="0" w:evenVBand="0" w:oddHBand="0" w:evenHBand="0" w:firstRowFirstColumn="0" w:firstRowLastColumn="0" w:lastRowFirstColumn="0" w:lastRowLastColumn="0"/>
              <w:rPr>
                <w:b/>
                <w:bCs/>
              </w:rPr>
            </w:pPr>
            <w:r w:rsidRPr="003D716F">
              <w:rPr>
                <w:b/>
                <w:bCs/>
              </w:rPr>
              <w:t>Trigger</w:t>
            </w:r>
          </w:p>
        </w:tc>
      </w:tr>
      <w:tr w:rsidR="003514B8" w14:paraId="1F9A74AA" w14:textId="77777777" w:rsidTr="002E343B">
        <w:tc>
          <w:tcPr>
            <w:cnfStyle w:val="001000000000" w:firstRow="0" w:lastRow="0" w:firstColumn="1" w:lastColumn="0" w:oddVBand="0" w:evenVBand="0" w:oddHBand="0" w:evenHBand="0" w:firstRowFirstColumn="0" w:firstRowLastColumn="0" w:lastRowFirstColumn="0" w:lastRowLastColumn="0"/>
            <w:tcW w:w="2808" w:type="dxa"/>
          </w:tcPr>
          <w:p w14:paraId="2A673EF6" w14:textId="72961E54" w:rsidR="003514B8" w:rsidRPr="00DB515A" w:rsidRDefault="7662C1BE" w:rsidP="002E343B">
            <w:pPr>
              <w:pStyle w:val="Tabletext"/>
              <w:keepNext/>
              <w:spacing w:line="252" w:lineRule="auto"/>
              <w:rPr>
                <w:rFonts w:asciiTheme="majorHAnsi" w:hAnsiTheme="majorHAnsi"/>
              </w:rPr>
            </w:pPr>
            <w:r w:rsidRPr="00DB515A">
              <w:rPr>
                <w:rFonts w:asciiTheme="majorHAnsi" w:hAnsiTheme="majorHAnsi"/>
              </w:rPr>
              <w:t xml:space="preserve">Termination for failure to satisfy </w:t>
            </w:r>
            <w:r w:rsidR="5D8713A0" w:rsidRPr="00DB515A">
              <w:rPr>
                <w:rFonts w:asciiTheme="majorHAnsi" w:hAnsiTheme="majorHAnsi"/>
              </w:rPr>
              <w:t xml:space="preserve">a </w:t>
            </w:r>
            <w:r w:rsidRPr="00DB515A">
              <w:rPr>
                <w:rFonts w:asciiTheme="majorHAnsi" w:hAnsiTheme="majorHAnsi"/>
              </w:rPr>
              <w:t xml:space="preserve">Condition Precedent by </w:t>
            </w:r>
            <w:r w:rsidR="418364EB" w:rsidRPr="00DB515A">
              <w:rPr>
                <w:rFonts w:asciiTheme="majorHAnsi" w:hAnsiTheme="majorHAnsi"/>
              </w:rPr>
              <w:t xml:space="preserve">the </w:t>
            </w:r>
            <w:r w:rsidRPr="00DB515A">
              <w:rPr>
                <w:rFonts w:asciiTheme="majorHAnsi" w:hAnsiTheme="majorHAnsi"/>
              </w:rPr>
              <w:t>Condition Precedent Deadline</w:t>
            </w:r>
          </w:p>
        </w:tc>
        <w:tc>
          <w:tcPr>
            <w:tcW w:w="5400" w:type="dxa"/>
          </w:tcPr>
          <w:p w14:paraId="55E7259A" w14:textId="4AAE2A58" w:rsidR="003514B8" w:rsidRDefault="7662C1BE" w:rsidP="002E343B">
            <w:pPr>
              <w:pStyle w:val="Tabletext"/>
              <w:spacing w:line="252" w:lineRule="auto"/>
              <w:cnfStyle w:val="000000000000" w:firstRow="0" w:lastRow="0" w:firstColumn="0" w:lastColumn="0" w:oddVBand="0" w:evenVBand="0" w:oddHBand="0" w:evenHBand="0" w:firstRowFirstColumn="0" w:firstRowLastColumn="0" w:lastRowFirstColumn="0" w:lastRowLastColumn="0"/>
            </w:pPr>
            <w:r>
              <w:t>If any Condition Precedent is not satisfied (or waived in accordance with clause</w:t>
            </w:r>
            <w:r w:rsidR="7865FA55" w:rsidRPr="2C5D2C8B">
              <w:rPr>
                <w:rFonts w:ascii="Calibri" w:hAnsi="Calibri" w:cs="Calibri"/>
              </w:rPr>
              <w:t> </w:t>
            </w:r>
            <w:r>
              <w:t>3.3(b) of the ITC Delivery Deed) by the relevant Condition Precedent Deadline, the Principal may, at its option, terminate the ITC Delivery Deed.</w:t>
            </w:r>
          </w:p>
        </w:tc>
      </w:tr>
      <w:tr w:rsidR="002B5BB6" w14:paraId="705A3674" w14:textId="77777777" w:rsidTr="002E3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BCF02C0" w14:textId="5480A65A" w:rsidR="002B5BB6" w:rsidRPr="00DB515A" w:rsidRDefault="002B5BB6" w:rsidP="002E343B">
            <w:pPr>
              <w:pStyle w:val="Tabletext"/>
              <w:keepNext/>
              <w:spacing w:line="252" w:lineRule="auto"/>
              <w:rPr>
                <w:rFonts w:asciiTheme="majorHAnsi" w:hAnsiTheme="majorHAnsi"/>
              </w:rPr>
            </w:pPr>
            <w:r w:rsidRPr="00DB515A">
              <w:rPr>
                <w:rFonts w:asciiTheme="majorHAnsi" w:hAnsiTheme="majorHAnsi"/>
              </w:rPr>
              <w:t xml:space="preserve">Termination for </w:t>
            </w:r>
            <w:r w:rsidR="00935EAD" w:rsidRPr="00DB515A">
              <w:rPr>
                <w:rFonts w:asciiTheme="majorHAnsi" w:hAnsiTheme="majorHAnsi"/>
              </w:rPr>
              <w:t>C</w:t>
            </w:r>
            <w:r w:rsidRPr="00DB515A">
              <w:rPr>
                <w:rFonts w:asciiTheme="majorHAnsi" w:hAnsiTheme="majorHAnsi"/>
              </w:rPr>
              <w:t xml:space="preserve">onvenience </w:t>
            </w:r>
          </w:p>
        </w:tc>
        <w:tc>
          <w:tcPr>
            <w:tcW w:w="5400" w:type="dxa"/>
          </w:tcPr>
          <w:p w14:paraId="0FA9637C" w14:textId="290F35B3" w:rsidR="002B5BB6" w:rsidRDefault="002B5BB6" w:rsidP="002E343B">
            <w:pPr>
              <w:pStyle w:val="Tabletext"/>
              <w:spacing w:line="252" w:lineRule="auto"/>
              <w:cnfStyle w:val="000000010000" w:firstRow="0" w:lastRow="0" w:firstColumn="0" w:lastColumn="0" w:oddVBand="0" w:evenVBand="0" w:oddHBand="0" w:evenHBand="1" w:firstRowFirstColumn="0" w:firstRowLastColumn="0" w:lastRowFirstColumn="0" w:lastRowLastColumn="0"/>
            </w:pPr>
            <w:r>
              <w:t>The Principal may, at any time, unilaterally elect to terminate the ITC Delivery Deed for convenience.</w:t>
            </w:r>
          </w:p>
        </w:tc>
      </w:tr>
      <w:tr w:rsidR="002B5BB6" w14:paraId="0327EA52" w14:textId="77777777" w:rsidTr="002E343B">
        <w:tc>
          <w:tcPr>
            <w:cnfStyle w:val="001000000000" w:firstRow="0" w:lastRow="0" w:firstColumn="1" w:lastColumn="0" w:oddVBand="0" w:evenVBand="0" w:oddHBand="0" w:evenHBand="0" w:firstRowFirstColumn="0" w:firstRowLastColumn="0" w:lastRowFirstColumn="0" w:lastRowLastColumn="0"/>
            <w:tcW w:w="2808" w:type="dxa"/>
          </w:tcPr>
          <w:p w14:paraId="3991B357" w14:textId="58FF37CA" w:rsidR="002B5BB6" w:rsidRPr="00DB515A" w:rsidRDefault="0B078E36" w:rsidP="002E343B">
            <w:pPr>
              <w:pStyle w:val="Tabletext"/>
              <w:spacing w:line="252" w:lineRule="auto"/>
              <w:rPr>
                <w:rFonts w:asciiTheme="majorHAnsi" w:hAnsiTheme="majorHAnsi"/>
              </w:rPr>
            </w:pPr>
            <w:r w:rsidRPr="00DB515A">
              <w:rPr>
                <w:rFonts w:asciiTheme="majorHAnsi" w:hAnsiTheme="majorHAnsi"/>
              </w:rPr>
              <w:t xml:space="preserve">Termination for </w:t>
            </w:r>
            <w:r w:rsidR="4DF38076" w:rsidRPr="00DB515A">
              <w:rPr>
                <w:rFonts w:asciiTheme="majorHAnsi" w:hAnsiTheme="majorHAnsi"/>
              </w:rPr>
              <w:t xml:space="preserve">a </w:t>
            </w:r>
            <w:r w:rsidR="7383905E" w:rsidRPr="00DB515A">
              <w:rPr>
                <w:rFonts w:asciiTheme="majorHAnsi" w:hAnsiTheme="majorHAnsi"/>
              </w:rPr>
              <w:t>Default Termination Event</w:t>
            </w:r>
          </w:p>
        </w:tc>
        <w:tc>
          <w:tcPr>
            <w:tcW w:w="5400" w:type="dxa"/>
          </w:tcPr>
          <w:p w14:paraId="71EF449B" w14:textId="26EB907C" w:rsidR="002B5BB6" w:rsidRDefault="005512E6" w:rsidP="002E343B">
            <w:pPr>
              <w:pStyle w:val="Tabletext"/>
              <w:spacing w:line="252" w:lineRule="auto"/>
              <w:cnfStyle w:val="000000000000" w:firstRow="0" w:lastRow="0" w:firstColumn="0" w:lastColumn="0" w:oddVBand="0" w:evenVBand="0" w:oddHBand="0" w:evenHBand="0" w:firstRowFirstColumn="0" w:firstRowLastColumn="0" w:lastRowFirstColumn="0" w:lastRowLastColumn="0"/>
            </w:pPr>
            <w:r>
              <w:t xml:space="preserve">The Principal may terminate the ITC Delivery Deed </w:t>
            </w:r>
            <w:r w:rsidR="003514B8">
              <w:t xml:space="preserve">if </w:t>
            </w:r>
            <w:r w:rsidR="002B5BB6">
              <w:t>a Default Termination Event occurs.</w:t>
            </w:r>
          </w:p>
        </w:tc>
      </w:tr>
    </w:tbl>
    <w:p w14:paraId="2D54F095" w14:textId="7F8017AA" w:rsidR="002B5BB6" w:rsidRDefault="003514B8" w:rsidP="00195C28">
      <w:pPr>
        <w:pStyle w:val="Heading4numbered"/>
      </w:pPr>
      <w:r>
        <w:t>Default Termination Events</w:t>
      </w:r>
    </w:p>
    <w:p w14:paraId="2E9E3EBA" w14:textId="31A70740" w:rsidR="002B5BB6" w:rsidRDefault="7383905E" w:rsidP="001D061B">
      <w:pPr>
        <w:pStyle w:val="NormalIndent"/>
        <w:keepNext/>
      </w:pPr>
      <w:r>
        <w:t xml:space="preserve">The Default Termination Events are events </w:t>
      </w:r>
      <w:r w:rsidR="261C56EE">
        <w:t xml:space="preserve">that </w:t>
      </w:r>
      <w:r>
        <w:t xml:space="preserve">are sufficiently fundamental as to trigger automatic rights for the Principal to terminate the ITC Delivery Deed. </w:t>
      </w:r>
      <w:r w:rsidR="7662C1BE">
        <w:t>T</w:t>
      </w:r>
      <w:r>
        <w:t xml:space="preserve">he definition of </w:t>
      </w:r>
      <w:r w:rsidR="65193AB6">
        <w:t>‘</w:t>
      </w:r>
      <w:r>
        <w:t>Default Termination Events</w:t>
      </w:r>
      <w:r w:rsidR="65193AB6">
        <w:t>’</w:t>
      </w:r>
      <w:r>
        <w:t xml:space="preserve"> is set out in </w:t>
      </w:r>
      <w:r w:rsidR="7662C1BE">
        <w:t>clause</w:t>
      </w:r>
      <w:r w:rsidR="7865FA55" w:rsidRPr="2C5D2C8B">
        <w:rPr>
          <w:rFonts w:ascii="Calibri" w:hAnsi="Calibri" w:cs="Calibri"/>
        </w:rPr>
        <w:t> </w:t>
      </w:r>
      <w:r w:rsidR="7662C1BE">
        <w:t xml:space="preserve">1 of </w:t>
      </w:r>
      <w:r>
        <w:t>the ITC Delivery Deed and</w:t>
      </w:r>
      <w:r w:rsidR="7662C1BE">
        <w:t>, subject to project</w:t>
      </w:r>
      <w:r w:rsidR="01A10F2E">
        <w:t>-</w:t>
      </w:r>
      <w:r w:rsidR="257551F3">
        <w:t>specific</w:t>
      </w:r>
      <w:r w:rsidR="7662C1BE">
        <w:t xml:space="preserve"> considerations, </w:t>
      </w:r>
      <w:r>
        <w:t>includes the following:</w:t>
      </w:r>
    </w:p>
    <w:p w14:paraId="07D931B4" w14:textId="2036A32B" w:rsidR="002B5BB6" w:rsidRDefault="7662C1BE" w:rsidP="001D061B">
      <w:pPr>
        <w:pStyle w:val="Bulletindent"/>
        <w:keepNext/>
        <w:spacing w:before="30" w:after="30"/>
      </w:pPr>
      <w:r>
        <w:t>whole</w:t>
      </w:r>
      <w:r w:rsidR="7383905E">
        <w:t xml:space="preserve"> or substantial abandonment of all or any </w:t>
      </w:r>
      <w:r>
        <w:t xml:space="preserve">material (in scope and effect) </w:t>
      </w:r>
      <w:r w:rsidR="7383905E">
        <w:t xml:space="preserve">part of the </w:t>
      </w:r>
      <w:r w:rsidR="0B078E36">
        <w:t>Contractor</w:t>
      </w:r>
      <w:r w:rsidR="65193AB6">
        <w:t>’</w:t>
      </w:r>
      <w:r w:rsidR="0B078E36">
        <w:t>s Activities</w:t>
      </w:r>
      <w:r w:rsidR="65193AB6">
        <w:t>;</w:t>
      </w:r>
    </w:p>
    <w:p w14:paraId="521E81B8" w14:textId="2B70EE90" w:rsidR="005512E6" w:rsidRDefault="0B078E36" w:rsidP="001D061B">
      <w:pPr>
        <w:pStyle w:val="Bulletindent"/>
        <w:keepNext/>
        <w:spacing w:before="30" w:after="30"/>
      </w:pPr>
      <w:r>
        <w:t xml:space="preserve">the Contractor </w:t>
      </w:r>
      <w:r w:rsidR="3730B5B8">
        <w:t xml:space="preserve">being </w:t>
      </w:r>
      <w:r>
        <w:t>engaged in fraud, collusion or dishonest conduct in performing its obligations under the Project Documents</w:t>
      </w:r>
      <w:r w:rsidR="3730B5B8">
        <w:t>;</w:t>
      </w:r>
    </w:p>
    <w:p w14:paraId="3254687C" w14:textId="1624A226" w:rsidR="002B5BB6" w:rsidRDefault="7383905E" w:rsidP="002E343B">
      <w:pPr>
        <w:pStyle w:val="Bulletindent"/>
        <w:spacing w:before="30" w:after="30"/>
      </w:pPr>
      <w:r>
        <w:t>an Insolvency Event occurring in relation to the Contractor</w:t>
      </w:r>
      <w:r w:rsidR="0B078E36">
        <w:t xml:space="preserve"> or the Parent Guarantor</w:t>
      </w:r>
      <w:r w:rsidR="509D9948">
        <w:t>;</w:t>
      </w:r>
    </w:p>
    <w:p w14:paraId="0976041D" w14:textId="50D9484B" w:rsidR="003514B8" w:rsidRDefault="7662C1BE" w:rsidP="002E343B">
      <w:pPr>
        <w:pStyle w:val="Bulletindent"/>
        <w:spacing w:before="30" w:after="30"/>
      </w:pPr>
      <w:r>
        <w:t>breach of the assignment, transfer or disposal requirements of the ITC Delivery Deed</w:t>
      </w:r>
      <w:r w:rsidR="509D9948">
        <w:t>;</w:t>
      </w:r>
    </w:p>
    <w:p w14:paraId="5557DE40" w14:textId="457948A2" w:rsidR="003514B8" w:rsidRDefault="7662C1BE" w:rsidP="002E343B">
      <w:pPr>
        <w:pStyle w:val="Bulletindent"/>
        <w:spacing w:before="30" w:after="30"/>
      </w:pPr>
      <w:r>
        <w:t xml:space="preserve">a Change in Control </w:t>
      </w:r>
      <w:r w:rsidR="509D9948">
        <w:t xml:space="preserve">occurring </w:t>
      </w:r>
      <w:r>
        <w:t>in respect of the Contractor or a Parent Guarantor (other than a permitted Change in Control under the ITC Delivery Deed)</w:t>
      </w:r>
      <w:r w:rsidR="3745442A">
        <w:t>;</w:t>
      </w:r>
    </w:p>
    <w:p w14:paraId="4707AE51" w14:textId="1DBC4334" w:rsidR="003514B8" w:rsidRDefault="7662C1BE" w:rsidP="002E343B">
      <w:pPr>
        <w:pStyle w:val="Bulletindent"/>
        <w:spacing w:before="30" w:after="30"/>
      </w:pPr>
      <w:r>
        <w:t>unremedied Major Default (whether capable of Cure</w:t>
      </w:r>
      <w:r w:rsidR="3745442A">
        <w:t xml:space="preserve"> or not</w:t>
      </w:r>
      <w:r>
        <w:t>)</w:t>
      </w:r>
      <w:r w:rsidR="3745442A">
        <w:t>;</w:t>
      </w:r>
    </w:p>
    <w:p w14:paraId="0D801C82" w14:textId="5C2DCB65" w:rsidR="003514B8" w:rsidRDefault="7662C1BE" w:rsidP="002E343B">
      <w:pPr>
        <w:pStyle w:val="Bulletindent"/>
        <w:spacing w:before="30" w:after="30"/>
      </w:pPr>
      <w:r>
        <w:t>the aggregate liability of the Contractor to the Principal under or in connection with the Project Documents is equal to or exceeds a set percentage of the Initial TOC</w:t>
      </w:r>
      <w:r w:rsidR="3745442A">
        <w:t>;</w:t>
      </w:r>
    </w:p>
    <w:p w14:paraId="193CBE73" w14:textId="7927ACCD" w:rsidR="005512E6" w:rsidRDefault="0B078E36" w:rsidP="002E343B">
      <w:pPr>
        <w:pStyle w:val="Bulletindent"/>
        <w:spacing w:before="30" w:after="30"/>
      </w:pPr>
      <w:r>
        <w:t xml:space="preserve">where any </w:t>
      </w:r>
      <w:r w:rsidR="0C9053DD">
        <w:t>PCG</w:t>
      </w:r>
      <w:r>
        <w:t xml:space="preserve"> provided in accordance with the ITC Delivery Deed becomes void, voidable or unenforceable for any reason</w:t>
      </w:r>
      <w:r w:rsidR="3745442A">
        <w:t>;</w:t>
      </w:r>
    </w:p>
    <w:p w14:paraId="3BBEE8DD" w14:textId="64B01801" w:rsidR="002A524B" w:rsidRPr="002A524B" w:rsidRDefault="0B078E36" w:rsidP="002E343B">
      <w:pPr>
        <w:pStyle w:val="Bulletindent"/>
        <w:spacing w:before="30" w:after="30"/>
      </w:pPr>
      <w:r>
        <w:t xml:space="preserve">Practical Completion has not occurred by </w:t>
      </w:r>
      <w:r w:rsidR="78C69173">
        <w:t xml:space="preserve">a specified </w:t>
      </w:r>
      <w:r w:rsidR="2D39FA53">
        <w:t>S</w:t>
      </w:r>
      <w:r>
        <w:t xml:space="preserve">unset </w:t>
      </w:r>
      <w:r w:rsidR="2D39FA53">
        <w:t>D</w:t>
      </w:r>
      <w:r>
        <w:t>ate</w:t>
      </w:r>
      <w:r w:rsidR="3745442A">
        <w:t>; and</w:t>
      </w:r>
    </w:p>
    <w:p w14:paraId="2D53D135" w14:textId="3FDB14D1" w:rsidR="002B5BB6" w:rsidRDefault="0B078E36" w:rsidP="002E343B">
      <w:pPr>
        <w:pStyle w:val="Bulletindent"/>
        <w:spacing w:before="30" w:after="30"/>
      </w:pPr>
      <w:r>
        <w:t xml:space="preserve">any other event </w:t>
      </w:r>
      <w:r w:rsidR="3745442A">
        <w:t xml:space="preserve">that </w:t>
      </w:r>
      <w:r>
        <w:t>is deemed to be a Default Termination Event under the ITC Delivery Deed</w:t>
      </w:r>
      <w:r w:rsidR="7383905E">
        <w:t>.</w:t>
      </w:r>
    </w:p>
    <w:p w14:paraId="69EB7B4B" w14:textId="0AF2205F" w:rsidR="002B5BB6" w:rsidRPr="00AA39E9" w:rsidRDefault="7383905E" w:rsidP="006643FB">
      <w:pPr>
        <w:pStyle w:val="Heading3numbered"/>
      </w:pPr>
      <w:r>
        <w:t>Termination Payments</w:t>
      </w:r>
      <w:r w:rsidR="78C69173">
        <w:t xml:space="preserve"> (clause</w:t>
      </w:r>
      <w:r w:rsidR="496F168C" w:rsidRPr="2C5D2C8B">
        <w:rPr>
          <w:rFonts w:ascii="Calibri" w:hAnsi="Calibri" w:cs="Calibri"/>
        </w:rPr>
        <w:t> </w:t>
      </w:r>
      <w:r w:rsidR="78C69173">
        <w:t>44.4 of the ITC Delivery Deed)</w:t>
      </w:r>
    </w:p>
    <w:p w14:paraId="1EF249F5" w14:textId="2AAC3FE9" w:rsidR="00C7341B" w:rsidRDefault="34449B0A" w:rsidP="0005402F">
      <w:pPr>
        <w:pStyle w:val="NormalIndent"/>
      </w:pPr>
      <w:r>
        <w:t>The applicable Termination Payment is calculated by applying the relevant Termination Payment formula</w:t>
      </w:r>
      <w:r w:rsidR="7662C1BE">
        <w:t xml:space="preserve"> (which depends on the termination trigger)</w:t>
      </w:r>
      <w:r w:rsidR="1948D372">
        <w:t>.</w:t>
      </w:r>
    </w:p>
    <w:p w14:paraId="61EFA5F8" w14:textId="2BEE973E" w:rsidR="009C154C" w:rsidRPr="009C154C" w:rsidRDefault="77B9E9A5" w:rsidP="0005402F">
      <w:pPr>
        <w:pStyle w:val="Bulletindent"/>
      </w:pPr>
      <w:r>
        <w:t>If the ITC Delivery Deed is terminat</w:t>
      </w:r>
      <w:r w:rsidR="7D015977">
        <w:t>ed</w:t>
      </w:r>
      <w:r>
        <w:t xml:space="preserve"> due to a failure to satisfy a Condition Precedent by the Condition Precedent Deadline, there </w:t>
      </w:r>
      <w:r w:rsidR="1A6980F4">
        <w:t>is</w:t>
      </w:r>
      <w:r>
        <w:t xml:space="preserve"> no Termination Payment.</w:t>
      </w:r>
    </w:p>
    <w:p w14:paraId="662D0A27" w14:textId="6244D3C8" w:rsidR="003514B8" w:rsidRPr="003514B8" w:rsidRDefault="34449B0A" w:rsidP="0005402F">
      <w:pPr>
        <w:pStyle w:val="Bulletindent"/>
        <w:rPr>
          <w:b/>
          <w:bCs/>
        </w:rPr>
      </w:pPr>
      <w:r>
        <w:t xml:space="preserve">If the ITC Delivery Deed is terminated for convenience, the Termination for Convenience Payment </w:t>
      </w:r>
      <w:r w:rsidR="0674CF09">
        <w:t>is</w:t>
      </w:r>
      <w:r>
        <w:t xml:space="preserve"> calculated by applying the formula set out in clause</w:t>
      </w:r>
      <w:r w:rsidR="7865FA55" w:rsidRPr="2C5D2C8B">
        <w:rPr>
          <w:rFonts w:ascii="Calibri" w:hAnsi="Calibri"/>
        </w:rPr>
        <w:t> </w:t>
      </w:r>
      <w:r>
        <w:t>4</w:t>
      </w:r>
      <w:r w:rsidR="78C69173">
        <w:t>4</w:t>
      </w:r>
      <w:r>
        <w:t>.2(d) of the ITC Delivery Deed.</w:t>
      </w:r>
    </w:p>
    <w:p w14:paraId="7784B9EE" w14:textId="1EDB8F22" w:rsidR="00C7341B" w:rsidRDefault="34449B0A" w:rsidP="0005402F">
      <w:pPr>
        <w:pStyle w:val="Bulletindent"/>
        <w:rPr>
          <w:b/>
          <w:bCs/>
        </w:rPr>
      </w:pPr>
      <w:r>
        <w:t xml:space="preserve">If the ITC Delivery Deed is terminated for a Default Termination Event, the rights and liability of the parties </w:t>
      </w:r>
      <w:r w:rsidR="24B45574">
        <w:t>are</w:t>
      </w:r>
      <w:r>
        <w:t xml:space="preserve"> the same as they </w:t>
      </w:r>
      <w:r w:rsidR="4BFF7103">
        <w:t>are</w:t>
      </w:r>
      <w:r>
        <w:t xml:space="preserve"> at common law </w:t>
      </w:r>
      <w:r w:rsidR="33C5ABA3">
        <w:t xml:space="preserve">if </w:t>
      </w:r>
      <w:r>
        <w:t>the defaulting party repudiate</w:t>
      </w:r>
      <w:r w:rsidR="33C5ABA3">
        <w:t>s</w:t>
      </w:r>
      <w:r>
        <w:t xml:space="preserve"> the ITC Delivery Deed</w:t>
      </w:r>
      <w:r w:rsidR="13CD5FDE">
        <w:t>,</w:t>
      </w:r>
      <w:r>
        <w:t xml:space="preserve"> and the other party </w:t>
      </w:r>
      <w:r w:rsidR="33C5ABA3">
        <w:t xml:space="preserve">elects </w:t>
      </w:r>
      <w:r>
        <w:t xml:space="preserve">to treat the ITC Delivery Deed as at an end and recover damages. The Contractor </w:t>
      </w:r>
      <w:r w:rsidR="70E41A0B">
        <w:t xml:space="preserve">is </w:t>
      </w:r>
      <w:r>
        <w:t xml:space="preserve">not entitled to </w:t>
      </w:r>
      <w:r w:rsidRPr="2C5D2C8B">
        <w:rPr>
          <w:i/>
          <w:iCs/>
        </w:rPr>
        <w:t>quantum meruit</w:t>
      </w:r>
      <w:r w:rsidR="0FBE6CF8">
        <w:t xml:space="preserve"> (</w:t>
      </w:r>
      <w:r w:rsidR="2848D62A">
        <w:t>i.e.</w:t>
      </w:r>
      <w:r w:rsidR="0FBE6CF8">
        <w:t xml:space="preserve"> the reasonable or fair value of services or works performed)</w:t>
      </w:r>
      <w:r w:rsidR="613E729B">
        <w:t>.</w:t>
      </w:r>
    </w:p>
    <w:p w14:paraId="417438F4" w14:textId="178B4863" w:rsidR="002B5BB6" w:rsidRDefault="7383905E" w:rsidP="0005402F">
      <w:pPr>
        <w:pStyle w:val="NormalIndent"/>
      </w:pPr>
      <w:r>
        <w:t xml:space="preserve">Default Termination Payments </w:t>
      </w:r>
      <w:r w:rsidR="39113BBF">
        <w:t>are</w:t>
      </w:r>
      <w:r>
        <w:t xml:space="preserve"> payable by the Principal (if the </w:t>
      </w:r>
      <w:r w:rsidR="6872CB0C">
        <w:t>T</w:t>
      </w:r>
      <w:r w:rsidR="34449B0A">
        <w:t xml:space="preserve">ermination </w:t>
      </w:r>
      <w:r w:rsidR="6872CB0C">
        <w:t>P</w:t>
      </w:r>
      <w:r w:rsidR="34449B0A">
        <w:t>ayment is a positive amount)</w:t>
      </w:r>
      <w:r>
        <w:t xml:space="preserve"> or by the Contractor (if the </w:t>
      </w:r>
      <w:r w:rsidR="6872CB0C">
        <w:t>T</w:t>
      </w:r>
      <w:r w:rsidR="34449B0A">
        <w:t xml:space="preserve">ermination </w:t>
      </w:r>
      <w:r w:rsidR="6872CB0C">
        <w:t>P</w:t>
      </w:r>
      <w:r w:rsidR="34449B0A">
        <w:t>ayment is a negative amount</w:t>
      </w:r>
      <w:r>
        <w:t>).</w:t>
      </w:r>
      <w:r w:rsidR="77B9E9A5">
        <w:t xml:space="preserve"> The Principal</w:t>
      </w:r>
      <w:r w:rsidR="77A13B8B">
        <w:t>’</w:t>
      </w:r>
      <w:r w:rsidR="77B9E9A5">
        <w:t>s obligation to make a Termination Payment to the Contractor is subject to the Contractor having delivered the vacated Site and the Works to the Principal.</w:t>
      </w:r>
    </w:p>
    <w:p w14:paraId="150C4398" w14:textId="113FD99C" w:rsidR="002B5BB6" w:rsidRPr="005B1826" w:rsidRDefault="002B5BB6" w:rsidP="006643FB">
      <w:pPr>
        <w:pStyle w:val="Heading3numbered"/>
      </w:pPr>
      <w:r>
        <w:t>Termination for Convenience Payment</w:t>
      </w:r>
    </w:p>
    <w:p w14:paraId="4D553ECA" w14:textId="4B7662E8" w:rsidR="002B5BB6" w:rsidRDefault="002B5BB6" w:rsidP="0005402F">
      <w:pPr>
        <w:pStyle w:val="NormalIndent"/>
      </w:pPr>
      <w:r>
        <w:t xml:space="preserve">The key components of the Termination for Convenience Payment are the following amounts </w:t>
      </w:r>
      <w:r w:rsidR="00B53341">
        <w:t xml:space="preserve">(as </w:t>
      </w:r>
      <w:r>
        <w:t xml:space="preserve">honestly and fairly determined by the </w:t>
      </w:r>
      <w:r w:rsidR="002807F2">
        <w:t>Principal Representative</w:t>
      </w:r>
      <w:r w:rsidR="00B53341">
        <w:t>)</w:t>
      </w:r>
      <w:r>
        <w:t>:</w:t>
      </w:r>
    </w:p>
    <w:p w14:paraId="42D28D0D" w14:textId="0CE94EB9" w:rsidR="00031EC0" w:rsidDel="00434034" w:rsidRDefault="7383905E" w:rsidP="002E343B">
      <w:pPr>
        <w:pStyle w:val="Bulletindent"/>
      </w:pPr>
      <w:r>
        <w:t xml:space="preserve">Reimbursable Costs and </w:t>
      </w:r>
      <w:r w:rsidR="517BD94B">
        <w:t>COP</w:t>
      </w:r>
    </w:p>
    <w:p w14:paraId="35B02406" w14:textId="57F95150" w:rsidR="0068613B" w:rsidDel="00434034" w:rsidRDefault="7383905E" w:rsidP="002E343B">
      <w:pPr>
        <w:pStyle w:val="Bulletindent"/>
      </w:pPr>
      <w:r>
        <w:t>Gainshare Amount or Painshare Amount (if any and as the case may be)</w:t>
      </w:r>
    </w:p>
    <w:p w14:paraId="0F1E6C95" w14:textId="34D48E9C" w:rsidR="00E461BB" w:rsidDel="00434034" w:rsidRDefault="7383905E" w:rsidP="002E343B">
      <w:pPr>
        <w:pStyle w:val="Bulletindent"/>
      </w:pPr>
      <w:r>
        <w:t>Performance Reward Amount (if any)</w:t>
      </w:r>
    </w:p>
    <w:p w14:paraId="61FFF1AF" w14:textId="21B85231" w:rsidR="002B5BB6" w:rsidRDefault="726FD883" w:rsidP="002E343B">
      <w:pPr>
        <w:pStyle w:val="Bulletindent"/>
      </w:pPr>
      <w:r>
        <w:t>payable for the Contractor's Activities performed prior to the date of termination (to the extent not included in an amount previously paid by the Principal to the Contractor)</w:t>
      </w:r>
      <w:r w:rsidR="29CD0E7F">
        <w:t xml:space="preserve"> </w:t>
      </w:r>
      <w:r w:rsidR="7383905E">
        <w:t>cost</w:t>
      </w:r>
      <w:r w:rsidR="3246015F">
        <w:t>s</w:t>
      </w:r>
      <w:r w:rsidR="7383905E">
        <w:t xml:space="preserve"> of plant or materials </w:t>
      </w:r>
      <w:r w:rsidR="6E8C0754">
        <w:t>reasonably ordered by the Contractor for the Works for which the Contractor is legally bound to pay</w:t>
      </w:r>
      <w:r w:rsidR="365F28C0">
        <w:t>;</w:t>
      </w:r>
    </w:p>
    <w:p w14:paraId="6E3A4505" w14:textId="04B04C98" w:rsidR="002A524B" w:rsidRPr="002A524B" w:rsidRDefault="7383905E" w:rsidP="0005402F">
      <w:pPr>
        <w:pStyle w:val="Bulletindent"/>
      </w:pPr>
      <w:r>
        <w:t xml:space="preserve">costs reasonably incurred by the Contractor in the expectation of completing the whole of the </w:t>
      </w:r>
      <w:r w:rsidR="6E8C0754">
        <w:t>Contractor</w:t>
      </w:r>
      <w:r w:rsidR="365F28C0">
        <w:t>’</w:t>
      </w:r>
      <w:r w:rsidR="6E8C0754">
        <w:t>s Activities</w:t>
      </w:r>
      <w:r>
        <w:t xml:space="preserve"> and not included in any payment by the Principal</w:t>
      </w:r>
      <w:r w:rsidR="365F28C0">
        <w:t>; and</w:t>
      </w:r>
    </w:p>
    <w:p w14:paraId="7E0151A5" w14:textId="79E5310F" w:rsidR="002B5BB6" w:rsidRDefault="7383905E" w:rsidP="0005402F">
      <w:pPr>
        <w:pStyle w:val="Bulletindent"/>
      </w:pPr>
      <w:r>
        <w:t xml:space="preserve">the reasonable cost of removing all labour, Constructional Plant and other things </w:t>
      </w:r>
      <w:r w:rsidR="6E8C0754">
        <w:t>used in connection with the Contractor</w:t>
      </w:r>
      <w:r w:rsidR="365F28C0">
        <w:t>’</w:t>
      </w:r>
      <w:r w:rsidR="6E8C0754">
        <w:t xml:space="preserve">s Activities </w:t>
      </w:r>
      <w:r>
        <w:t>from the Site.</w:t>
      </w:r>
    </w:p>
    <w:p w14:paraId="77F38BFA" w14:textId="5C8FE60D" w:rsidR="00E461BB" w:rsidRDefault="219C4582" w:rsidP="0005402F">
      <w:pPr>
        <w:pStyle w:val="NormalIndent"/>
      </w:pPr>
      <w:r>
        <w:t xml:space="preserve">In considering any amounts that may be payable in regard to Reimbursable Costs, </w:t>
      </w:r>
      <w:r w:rsidR="24D266B5">
        <w:t>COP</w:t>
      </w:r>
      <w:r>
        <w:t>, Gainshare</w:t>
      </w:r>
      <w:r w:rsidR="63A93389">
        <w:t xml:space="preserve"> or </w:t>
      </w:r>
      <w:r>
        <w:t>Painshare Amounts and Performance Reward Amounts</w:t>
      </w:r>
      <w:r w:rsidR="6E8C0754">
        <w:t>,</w:t>
      </w:r>
      <w:r>
        <w:t xml:space="preserve"> the Principal Representative must estimate the amount </w:t>
      </w:r>
      <w:r w:rsidR="2C8ED568">
        <w:t xml:space="preserve">that </w:t>
      </w:r>
      <w:r>
        <w:t xml:space="preserve">would have been payable if </w:t>
      </w:r>
      <w:r w:rsidR="6E8C0754">
        <w:t xml:space="preserve">the ITC Delivery </w:t>
      </w:r>
      <w:r>
        <w:t>Deed had not been terminated (on a pro rata basis).</w:t>
      </w:r>
    </w:p>
    <w:p w14:paraId="13A632E9" w14:textId="54623A80" w:rsidR="002B5BB6" w:rsidRPr="00C96BC1" w:rsidRDefault="002B5BB6" w:rsidP="006643FB">
      <w:pPr>
        <w:pStyle w:val="Heading3numbered"/>
      </w:pPr>
      <w:bookmarkStart w:id="2231" w:name="_Ref492582590"/>
      <w:r w:rsidRPr="00C96BC1">
        <w:t>Project</w:t>
      </w:r>
      <w:r w:rsidR="00043711">
        <w:t>-specific</w:t>
      </w:r>
      <w:r w:rsidRPr="00C96BC1">
        <w:t xml:space="preserve"> </w:t>
      </w:r>
      <w:r w:rsidR="0068613B">
        <w:t>a</w:t>
      </w:r>
      <w:r w:rsidRPr="00C96BC1">
        <w:t>mendments</w:t>
      </w:r>
      <w:bookmarkEnd w:id="2231"/>
    </w:p>
    <w:p w14:paraId="69FBD3CF" w14:textId="4B3C4C45" w:rsidR="002B5BB6" w:rsidRDefault="7383905E" w:rsidP="0005402F">
      <w:pPr>
        <w:pStyle w:val="NormalIndent"/>
      </w:pPr>
      <w:r>
        <w:t>The nature and number of the Major Defaults and Default Termination Events may be subject to project</w:t>
      </w:r>
      <w:r w:rsidR="257551F3">
        <w:t>-specific</w:t>
      </w:r>
      <w:r>
        <w:t xml:space="preserve"> considerations, such as </w:t>
      </w:r>
      <w:bookmarkStart w:id="2232" w:name="_Ref486201793"/>
      <w:r>
        <w:t xml:space="preserve">the length and complexity of the </w:t>
      </w:r>
      <w:r w:rsidR="6E8C0754">
        <w:t>Contractor</w:t>
      </w:r>
      <w:r w:rsidR="51C24B1C">
        <w:t>’</w:t>
      </w:r>
      <w:r w:rsidR="6E8C0754">
        <w:t>s Activities</w:t>
      </w:r>
      <w:r>
        <w:t>.</w:t>
      </w:r>
    </w:p>
    <w:p w14:paraId="08ABE2A8" w14:textId="24807026" w:rsidR="002B5BB6" w:rsidRPr="001A44D3" w:rsidRDefault="7383905E" w:rsidP="006643FB">
      <w:pPr>
        <w:pStyle w:val="Heading2numbered"/>
      </w:pPr>
      <w:bookmarkStart w:id="2233" w:name="_Toc57209324"/>
      <w:bookmarkStart w:id="2234" w:name="_Toc57212201"/>
      <w:bookmarkStart w:id="2235" w:name="_Toc57214453"/>
      <w:bookmarkStart w:id="2236" w:name="_Toc57281966"/>
      <w:bookmarkStart w:id="2237" w:name="_Toc66867858"/>
      <w:bookmarkStart w:id="2238" w:name="_Toc66868784"/>
      <w:bookmarkStart w:id="2239" w:name="_Toc57209325"/>
      <w:bookmarkStart w:id="2240" w:name="_Toc57212202"/>
      <w:bookmarkStart w:id="2241" w:name="_Toc57214454"/>
      <w:bookmarkStart w:id="2242" w:name="_Toc57281967"/>
      <w:bookmarkStart w:id="2243" w:name="_Toc66867859"/>
      <w:bookmarkStart w:id="2244" w:name="_Toc66868785"/>
      <w:bookmarkStart w:id="2245" w:name="_Toc57209326"/>
      <w:bookmarkStart w:id="2246" w:name="_Toc57212203"/>
      <w:bookmarkStart w:id="2247" w:name="_Toc57214455"/>
      <w:bookmarkStart w:id="2248" w:name="_Toc57281968"/>
      <w:bookmarkStart w:id="2249" w:name="_Toc66867860"/>
      <w:bookmarkStart w:id="2250" w:name="_Toc66868786"/>
      <w:bookmarkStart w:id="2251" w:name="_Toc57209327"/>
      <w:bookmarkStart w:id="2252" w:name="_Toc57212204"/>
      <w:bookmarkStart w:id="2253" w:name="_Toc57214456"/>
      <w:bookmarkStart w:id="2254" w:name="_Toc57281969"/>
      <w:bookmarkStart w:id="2255" w:name="_Toc66867861"/>
      <w:bookmarkStart w:id="2256" w:name="_Toc66868787"/>
      <w:bookmarkStart w:id="2257" w:name="_Toc57209328"/>
      <w:bookmarkStart w:id="2258" w:name="_Toc57212205"/>
      <w:bookmarkStart w:id="2259" w:name="_Toc57214457"/>
      <w:bookmarkStart w:id="2260" w:name="_Toc57281970"/>
      <w:bookmarkStart w:id="2261" w:name="_Toc66867862"/>
      <w:bookmarkStart w:id="2262" w:name="_Toc66868788"/>
      <w:bookmarkStart w:id="2263" w:name="_Toc57209329"/>
      <w:bookmarkStart w:id="2264" w:name="_Toc57212206"/>
      <w:bookmarkStart w:id="2265" w:name="_Toc57214458"/>
      <w:bookmarkStart w:id="2266" w:name="_Toc57281971"/>
      <w:bookmarkStart w:id="2267" w:name="_Toc66867863"/>
      <w:bookmarkStart w:id="2268" w:name="_Toc66868789"/>
      <w:bookmarkStart w:id="2269" w:name="_Toc57209330"/>
      <w:bookmarkStart w:id="2270" w:name="_Toc57212207"/>
      <w:bookmarkStart w:id="2271" w:name="_Toc57214459"/>
      <w:bookmarkStart w:id="2272" w:name="_Toc57281972"/>
      <w:bookmarkStart w:id="2273" w:name="_Toc66867864"/>
      <w:bookmarkStart w:id="2274" w:name="_Toc66868790"/>
      <w:bookmarkStart w:id="2275" w:name="_Toc57209356"/>
      <w:bookmarkStart w:id="2276" w:name="_Toc57212233"/>
      <w:bookmarkStart w:id="2277" w:name="_Toc57214485"/>
      <w:bookmarkStart w:id="2278" w:name="_Toc57281998"/>
      <w:bookmarkStart w:id="2279" w:name="_Toc66867890"/>
      <w:bookmarkStart w:id="2280" w:name="_Toc66868816"/>
      <w:bookmarkStart w:id="2281" w:name="_Toc57209357"/>
      <w:bookmarkStart w:id="2282" w:name="_Toc57212234"/>
      <w:bookmarkStart w:id="2283" w:name="_Toc57214486"/>
      <w:bookmarkStart w:id="2284" w:name="_Toc57281999"/>
      <w:bookmarkStart w:id="2285" w:name="_Toc66867891"/>
      <w:bookmarkStart w:id="2286" w:name="_Toc66868817"/>
      <w:bookmarkStart w:id="2287" w:name="_Toc57209358"/>
      <w:bookmarkStart w:id="2288" w:name="_Toc57212235"/>
      <w:bookmarkStart w:id="2289" w:name="_Toc57214487"/>
      <w:bookmarkStart w:id="2290" w:name="_Toc57282000"/>
      <w:bookmarkStart w:id="2291" w:name="_Toc66867892"/>
      <w:bookmarkStart w:id="2292" w:name="_Toc66868818"/>
      <w:bookmarkStart w:id="2293" w:name="_Toc57209359"/>
      <w:bookmarkStart w:id="2294" w:name="_Toc57212236"/>
      <w:bookmarkStart w:id="2295" w:name="_Toc57214488"/>
      <w:bookmarkStart w:id="2296" w:name="_Toc57282001"/>
      <w:bookmarkStart w:id="2297" w:name="_Toc66867893"/>
      <w:bookmarkStart w:id="2298" w:name="_Toc66868819"/>
      <w:bookmarkStart w:id="2299" w:name="_Toc57209360"/>
      <w:bookmarkStart w:id="2300" w:name="_Toc57212237"/>
      <w:bookmarkStart w:id="2301" w:name="_Toc57214489"/>
      <w:bookmarkStart w:id="2302" w:name="_Toc57282002"/>
      <w:bookmarkStart w:id="2303" w:name="_Toc66867894"/>
      <w:bookmarkStart w:id="2304" w:name="_Toc66868820"/>
      <w:bookmarkStart w:id="2305" w:name="_Toc57209361"/>
      <w:bookmarkStart w:id="2306" w:name="_Toc57212238"/>
      <w:bookmarkStart w:id="2307" w:name="_Toc57214490"/>
      <w:bookmarkStart w:id="2308" w:name="_Toc57282003"/>
      <w:bookmarkStart w:id="2309" w:name="_Toc66867895"/>
      <w:bookmarkStart w:id="2310" w:name="_Toc66868821"/>
      <w:bookmarkStart w:id="2311" w:name="_Toc57209362"/>
      <w:bookmarkStart w:id="2312" w:name="_Toc57212239"/>
      <w:bookmarkStart w:id="2313" w:name="_Toc57214491"/>
      <w:bookmarkStart w:id="2314" w:name="_Toc57282004"/>
      <w:bookmarkStart w:id="2315" w:name="_Toc66867896"/>
      <w:bookmarkStart w:id="2316" w:name="_Toc66868822"/>
      <w:bookmarkStart w:id="2317" w:name="_Toc57209363"/>
      <w:bookmarkStart w:id="2318" w:name="_Toc57212240"/>
      <w:bookmarkStart w:id="2319" w:name="_Toc57214492"/>
      <w:bookmarkStart w:id="2320" w:name="_Toc57282005"/>
      <w:bookmarkStart w:id="2321" w:name="_Toc66867897"/>
      <w:bookmarkStart w:id="2322" w:name="_Toc66868823"/>
      <w:bookmarkStart w:id="2323" w:name="_Toc57209364"/>
      <w:bookmarkStart w:id="2324" w:name="_Toc57212241"/>
      <w:bookmarkStart w:id="2325" w:name="_Toc57214493"/>
      <w:bookmarkStart w:id="2326" w:name="_Toc57282006"/>
      <w:bookmarkStart w:id="2327" w:name="_Toc66867898"/>
      <w:bookmarkStart w:id="2328" w:name="_Toc66868824"/>
      <w:bookmarkStart w:id="2329" w:name="_Toc57209365"/>
      <w:bookmarkStart w:id="2330" w:name="_Toc57212242"/>
      <w:bookmarkStart w:id="2331" w:name="_Toc57214494"/>
      <w:bookmarkStart w:id="2332" w:name="_Toc57282007"/>
      <w:bookmarkStart w:id="2333" w:name="_Toc66867899"/>
      <w:bookmarkStart w:id="2334" w:name="_Toc66868825"/>
      <w:bookmarkStart w:id="2335" w:name="_Toc57209366"/>
      <w:bookmarkStart w:id="2336" w:name="_Toc57212243"/>
      <w:bookmarkStart w:id="2337" w:name="_Toc57214495"/>
      <w:bookmarkStart w:id="2338" w:name="_Toc57282008"/>
      <w:bookmarkStart w:id="2339" w:name="_Toc66867900"/>
      <w:bookmarkStart w:id="2340" w:name="_Toc66868826"/>
      <w:bookmarkStart w:id="2341" w:name="_Toc57209367"/>
      <w:bookmarkStart w:id="2342" w:name="_Toc57212244"/>
      <w:bookmarkStart w:id="2343" w:name="_Toc57214496"/>
      <w:bookmarkStart w:id="2344" w:name="_Toc57282009"/>
      <w:bookmarkStart w:id="2345" w:name="_Toc66867901"/>
      <w:bookmarkStart w:id="2346" w:name="_Toc66868827"/>
      <w:bookmarkStart w:id="2347" w:name="_Toc57209368"/>
      <w:bookmarkStart w:id="2348" w:name="_Toc57212245"/>
      <w:bookmarkStart w:id="2349" w:name="_Toc57214497"/>
      <w:bookmarkStart w:id="2350" w:name="_Toc57282010"/>
      <w:bookmarkStart w:id="2351" w:name="_Toc66867902"/>
      <w:bookmarkStart w:id="2352" w:name="_Toc66868828"/>
      <w:bookmarkStart w:id="2353" w:name="_Toc57209369"/>
      <w:bookmarkStart w:id="2354" w:name="_Toc57212246"/>
      <w:bookmarkStart w:id="2355" w:name="_Toc57214498"/>
      <w:bookmarkStart w:id="2356" w:name="_Toc57282011"/>
      <w:bookmarkStart w:id="2357" w:name="_Toc66867903"/>
      <w:bookmarkStart w:id="2358" w:name="_Toc66868829"/>
      <w:bookmarkStart w:id="2359" w:name="_Toc57209370"/>
      <w:bookmarkStart w:id="2360" w:name="_Toc57212247"/>
      <w:bookmarkStart w:id="2361" w:name="_Toc57214499"/>
      <w:bookmarkStart w:id="2362" w:name="_Toc57282012"/>
      <w:bookmarkStart w:id="2363" w:name="_Toc66867904"/>
      <w:bookmarkStart w:id="2364" w:name="_Toc66868830"/>
      <w:bookmarkStart w:id="2365" w:name="_Toc57209371"/>
      <w:bookmarkStart w:id="2366" w:name="_Toc57212248"/>
      <w:bookmarkStart w:id="2367" w:name="_Toc57214500"/>
      <w:bookmarkStart w:id="2368" w:name="_Toc57282013"/>
      <w:bookmarkStart w:id="2369" w:name="_Toc66867905"/>
      <w:bookmarkStart w:id="2370" w:name="_Toc66868831"/>
      <w:bookmarkStart w:id="2371" w:name="_Toc57209372"/>
      <w:bookmarkStart w:id="2372" w:name="_Toc57212249"/>
      <w:bookmarkStart w:id="2373" w:name="_Toc57214501"/>
      <w:bookmarkStart w:id="2374" w:name="_Toc57282014"/>
      <w:bookmarkStart w:id="2375" w:name="_Toc66867906"/>
      <w:bookmarkStart w:id="2376" w:name="_Toc66868832"/>
      <w:bookmarkStart w:id="2377" w:name="_Toc57209373"/>
      <w:bookmarkStart w:id="2378" w:name="_Toc57212250"/>
      <w:bookmarkStart w:id="2379" w:name="_Toc57214502"/>
      <w:bookmarkStart w:id="2380" w:name="_Toc57282015"/>
      <w:bookmarkStart w:id="2381" w:name="_Toc66867907"/>
      <w:bookmarkStart w:id="2382" w:name="_Toc66868833"/>
      <w:bookmarkStart w:id="2383" w:name="_Toc57209374"/>
      <w:bookmarkStart w:id="2384" w:name="_Toc57212251"/>
      <w:bookmarkStart w:id="2385" w:name="_Toc57214503"/>
      <w:bookmarkStart w:id="2386" w:name="_Toc57282016"/>
      <w:bookmarkStart w:id="2387" w:name="_Toc66867908"/>
      <w:bookmarkStart w:id="2388" w:name="_Toc66868834"/>
      <w:bookmarkStart w:id="2389" w:name="_Toc57209375"/>
      <w:bookmarkStart w:id="2390" w:name="_Toc57212252"/>
      <w:bookmarkStart w:id="2391" w:name="_Toc57214504"/>
      <w:bookmarkStart w:id="2392" w:name="_Toc57282017"/>
      <w:bookmarkStart w:id="2393" w:name="_Toc66867909"/>
      <w:bookmarkStart w:id="2394" w:name="_Toc66868835"/>
      <w:bookmarkStart w:id="2395" w:name="_Toc57209376"/>
      <w:bookmarkStart w:id="2396" w:name="_Toc57212253"/>
      <w:bookmarkStart w:id="2397" w:name="_Toc57214505"/>
      <w:bookmarkStart w:id="2398" w:name="_Toc57282018"/>
      <w:bookmarkStart w:id="2399" w:name="_Toc66867910"/>
      <w:bookmarkStart w:id="2400" w:name="_Toc66868836"/>
      <w:bookmarkStart w:id="2401" w:name="_Toc57209377"/>
      <w:bookmarkStart w:id="2402" w:name="_Toc57212254"/>
      <w:bookmarkStart w:id="2403" w:name="_Toc57214506"/>
      <w:bookmarkStart w:id="2404" w:name="_Toc57282019"/>
      <w:bookmarkStart w:id="2405" w:name="_Toc66867911"/>
      <w:bookmarkStart w:id="2406" w:name="_Toc66868837"/>
      <w:bookmarkStart w:id="2407" w:name="_Toc66867939"/>
      <w:bookmarkStart w:id="2408" w:name="_Toc66868865"/>
      <w:bookmarkStart w:id="2409" w:name="_Toc66867940"/>
      <w:bookmarkStart w:id="2410" w:name="_Toc66868866"/>
      <w:bookmarkStart w:id="2411" w:name="_Toc66867941"/>
      <w:bookmarkStart w:id="2412" w:name="_Toc66868867"/>
      <w:bookmarkStart w:id="2413" w:name="_Toc66867942"/>
      <w:bookmarkStart w:id="2414" w:name="_Toc66868868"/>
      <w:bookmarkStart w:id="2415" w:name="_Toc66867943"/>
      <w:bookmarkStart w:id="2416" w:name="_Toc66868869"/>
      <w:bookmarkStart w:id="2417" w:name="_Toc66867944"/>
      <w:bookmarkStart w:id="2418" w:name="_Toc66868870"/>
      <w:bookmarkStart w:id="2419" w:name="_Toc66867945"/>
      <w:bookmarkStart w:id="2420" w:name="_Toc66868871"/>
      <w:bookmarkStart w:id="2421" w:name="_Toc66867946"/>
      <w:bookmarkStart w:id="2422" w:name="_Toc66868872"/>
      <w:bookmarkStart w:id="2423" w:name="_Toc66867947"/>
      <w:bookmarkStart w:id="2424" w:name="_Toc66868873"/>
      <w:bookmarkStart w:id="2425" w:name="_Toc66867948"/>
      <w:bookmarkStart w:id="2426" w:name="_Toc66868874"/>
      <w:bookmarkStart w:id="2427" w:name="_Toc66867949"/>
      <w:bookmarkStart w:id="2428" w:name="_Toc66868875"/>
      <w:bookmarkStart w:id="2429" w:name="_Toc66867950"/>
      <w:bookmarkStart w:id="2430" w:name="_Toc66868876"/>
      <w:bookmarkStart w:id="2431" w:name="_Toc66867951"/>
      <w:bookmarkStart w:id="2432" w:name="_Toc66868877"/>
      <w:bookmarkStart w:id="2433" w:name="_Toc66867952"/>
      <w:bookmarkStart w:id="2434" w:name="_Toc66868878"/>
      <w:bookmarkStart w:id="2435" w:name="_Toc66867953"/>
      <w:bookmarkStart w:id="2436" w:name="_Toc66868879"/>
      <w:bookmarkStart w:id="2437" w:name="_Toc66867954"/>
      <w:bookmarkStart w:id="2438" w:name="_Toc66868880"/>
      <w:bookmarkStart w:id="2439" w:name="_Toc66867955"/>
      <w:bookmarkStart w:id="2440" w:name="_Toc66868881"/>
      <w:bookmarkStart w:id="2441" w:name="_Toc66867956"/>
      <w:bookmarkStart w:id="2442" w:name="_Toc66868882"/>
      <w:bookmarkStart w:id="2443" w:name="_Toc66867957"/>
      <w:bookmarkStart w:id="2444" w:name="_Toc66868883"/>
      <w:bookmarkStart w:id="2445" w:name="_Toc66867958"/>
      <w:bookmarkStart w:id="2446" w:name="_Toc66868884"/>
      <w:bookmarkStart w:id="2447" w:name="_Toc66867959"/>
      <w:bookmarkStart w:id="2448" w:name="_Toc66868885"/>
      <w:bookmarkStart w:id="2449" w:name="_Toc66867960"/>
      <w:bookmarkStart w:id="2450" w:name="_Toc66868886"/>
      <w:bookmarkStart w:id="2451" w:name="_Toc66867961"/>
      <w:bookmarkStart w:id="2452" w:name="_Toc66868887"/>
      <w:bookmarkStart w:id="2453" w:name="_Toc66867962"/>
      <w:bookmarkStart w:id="2454" w:name="_Toc66868888"/>
      <w:bookmarkStart w:id="2455" w:name="_Toc66867963"/>
      <w:bookmarkStart w:id="2456" w:name="_Toc66868889"/>
      <w:bookmarkStart w:id="2457" w:name="_Toc66867964"/>
      <w:bookmarkStart w:id="2458" w:name="_Toc66868890"/>
      <w:bookmarkStart w:id="2459" w:name="_Toc66867965"/>
      <w:bookmarkStart w:id="2460" w:name="_Toc66868891"/>
      <w:bookmarkStart w:id="2461" w:name="_Toc66867966"/>
      <w:bookmarkStart w:id="2462" w:name="_Toc66868892"/>
      <w:bookmarkStart w:id="2463" w:name="_Toc66867967"/>
      <w:bookmarkStart w:id="2464" w:name="_Toc66868893"/>
      <w:bookmarkStart w:id="2465" w:name="_Toc66867968"/>
      <w:bookmarkStart w:id="2466" w:name="_Toc66868894"/>
      <w:bookmarkStart w:id="2467" w:name="_Toc66867969"/>
      <w:bookmarkStart w:id="2468" w:name="_Toc66868895"/>
      <w:bookmarkStart w:id="2469" w:name="_Toc66867970"/>
      <w:bookmarkStart w:id="2470" w:name="_Toc66868896"/>
      <w:bookmarkStart w:id="2471" w:name="_Toc66867971"/>
      <w:bookmarkStart w:id="2472" w:name="_Toc66868897"/>
      <w:bookmarkStart w:id="2473" w:name="_Toc66867972"/>
      <w:bookmarkStart w:id="2474" w:name="_Toc66868898"/>
      <w:bookmarkStart w:id="2475" w:name="_Toc66867973"/>
      <w:bookmarkStart w:id="2476" w:name="_Toc66868899"/>
      <w:bookmarkStart w:id="2477" w:name="_Toc66867974"/>
      <w:bookmarkStart w:id="2478" w:name="_Toc66868900"/>
      <w:bookmarkStart w:id="2479" w:name="_Toc66867975"/>
      <w:bookmarkStart w:id="2480" w:name="_Toc66868901"/>
      <w:bookmarkStart w:id="2481" w:name="_Toc66867976"/>
      <w:bookmarkStart w:id="2482" w:name="_Toc66868902"/>
      <w:bookmarkStart w:id="2483" w:name="_Toc66867977"/>
      <w:bookmarkStart w:id="2484" w:name="_Toc66868903"/>
      <w:bookmarkStart w:id="2485" w:name="_Toc66867978"/>
      <w:bookmarkStart w:id="2486" w:name="_Toc66868904"/>
      <w:bookmarkStart w:id="2487" w:name="_Toc66867979"/>
      <w:bookmarkStart w:id="2488" w:name="_Toc66868905"/>
      <w:bookmarkStart w:id="2489" w:name="_Toc66867980"/>
      <w:bookmarkStart w:id="2490" w:name="_Toc66868906"/>
      <w:bookmarkStart w:id="2491" w:name="_Toc66867981"/>
      <w:bookmarkStart w:id="2492" w:name="_Toc66868907"/>
      <w:bookmarkStart w:id="2493" w:name="_Toc66867982"/>
      <w:bookmarkStart w:id="2494" w:name="_Toc66868908"/>
      <w:bookmarkStart w:id="2495" w:name="_Toc66867983"/>
      <w:bookmarkStart w:id="2496" w:name="_Toc66868909"/>
      <w:bookmarkStart w:id="2497" w:name="_Toc66867984"/>
      <w:bookmarkStart w:id="2498" w:name="_Toc66868910"/>
      <w:bookmarkStart w:id="2499" w:name="_Toc66867985"/>
      <w:bookmarkStart w:id="2500" w:name="_Toc66868911"/>
      <w:bookmarkStart w:id="2501" w:name="_Toc66867986"/>
      <w:bookmarkStart w:id="2502" w:name="_Toc66868912"/>
      <w:bookmarkStart w:id="2503" w:name="_Toc66867987"/>
      <w:bookmarkStart w:id="2504" w:name="_Toc66868913"/>
      <w:bookmarkStart w:id="2505" w:name="_Toc66867988"/>
      <w:bookmarkStart w:id="2506" w:name="_Toc66868914"/>
      <w:bookmarkStart w:id="2507" w:name="_Toc66867989"/>
      <w:bookmarkStart w:id="2508" w:name="_Toc66868915"/>
      <w:bookmarkStart w:id="2509" w:name="_Toc133577914"/>
      <w:bookmarkStart w:id="2510" w:name="_Ref481855224"/>
      <w:bookmarkStart w:id="2511" w:name="_Toc507712244"/>
      <w:bookmarkStart w:id="2512" w:name="_Toc145612609"/>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r>
        <w:t>Notices and bar</w:t>
      </w:r>
      <w:r w:rsidR="51C24B1C">
        <w:t>s</w:t>
      </w:r>
      <w:r>
        <w:t xml:space="preserve"> to claims</w:t>
      </w:r>
      <w:bookmarkEnd w:id="2509"/>
      <w:r w:rsidR="78C69173">
        <w:t xml:space="preserve"> </w:t>
      </w:r>
      <w:bookmarkEnd w:id="2510"/>
      <w:bookmarkEnd w:id="2511"/>
      <w:r w:rsidR="78C69173">
        <w:t>(clause</w:t>
      </w:r>
      <w:r w:rsidR="496F168C" w:rsidRPr="2C5D2C8B">
        <w:rPr>
          <w:rFonts w:ascii="Calibri" w:hAnsi="Calibri" w:cs="Calibri"/>
        </w:rPr>
        <w:t> </w:t>
      </w:r>
      <w:r w:rsidR="78C69173">
        <w:t>59 of the ITC Delivery Deed)</w:t>
      </w:r>
      <w:bookmarkEnd w:id="2512"/>
    </w:p>
    <w:p w14:paraId="4522FB42" w14:textId="1D2E78DF" w:rsidR="002B5BB6" w:rsidRPr="001A44D3" w:rsidRDefault="7383905E" w:rsidP="0005402F">
      <w:pPr>
        <w:pStyle w:val="NormalIndent"/>
      </w:pPr>
      <w:r>
        <w:t>The Principal requires certainty in relation to</w:t>
      </w:r>
      <w:r w:rsidR="51C24B1C">
        <w:t xml:space="preserve"> the</w:t>
      </w:r>
      <w:r>
        <w:t xml:space="preserve"> time period within which the Contractor can prosecute Claims against the Principal.</w:t>
      </w:r>
    </w:p>
    <w:p w14:paraId="6A0DDD9A" w14:textId="558C6161" w:rsidR="002B5BB6" w:rsidRDefault="002B5BB6" w:rsidP="0005402F">
      <w:pPr>
        <w:pStyle w:val="NormalIndent"/>
      </w:pPr>
      <w:r>
        <w:t>A number of time bars for different types of Claims are set out in the ITC Delivery Deed</w:t>
      </w:r>
      <w:r w:rsidR="00A91A72">
        <w:t>.</w:t>
      </w:r>
    </w:p>
    <w:p w14:paraId="30FB59DA" w14:textId="0D4D3C5A" w:rsidR="002B5BB6" w:rsidRDefault="7383905E" w:rsidP="0005402F">
      <w:pPr>
        <w:pStyle w:val="NormalIndent"/>
      </w:pPr>
      <w:r>
        <w:t>Where there is no express and specific time bar for the making of a claim identified in clause</w:t>
      </w:r>
      <w:r w:rsidR="7865FA55" w:rsidRPr="2C5D2C8B">
        <w:rPr>
          <w:rFonts w:ascii="Calibri" w:hAnsi="Calibri" w:cs="Calibri"/>
        </w:rPr>
        <w:t> </w:t>
      </w:r>
      <w:r>
        <w:t>5</w:t>
      </w:r>
      <w:r w:rsidR="78C69173">
        <w:t>9</w:t>
      </w:r>
      <w:r>
        <w:t>.2(b)</w:t>
      </w:r>
      <w:r w:rsidR="6C4FEF76">
        <w:t xml:space="preserve"> of the ITC Delivery Deed</w:t>
      </w:r>
      <w:r>
        <w:t>, there is a catch</w:t>
      </w:r>
      <w:r w:rsidR="7D6A3F9B">
        <w:t>-</w:t>
      </w:r>
      <w:r>
        <w:t>all in clause</w:t>
      </w:r>
      <w:r w:rsidR="7865FA55" w:rsidRPr="2C5D2C8B">
        <w:rPr>
          <w:rFonts w:ascii="Calibri" w:hAnsi="Calibri" w:cs="Calibri"/>
        </w:rPr>
        <w:t> </w:t>
      </w:r>
      <w:r>
        <w:t>5</w:t>
      </w:r>
      <w:r w:rsidR="78C69173">
        <w:t>9</w:t>
      </w:r>
      <w:r>
        <w:t>.2(c)</w:t>
      </w:r>
      <w:r w:rsidR="6C4FEF76">
        <w:t xml:space="preserve"> of the ITC Delivery Deed</w:t>
      </w:r>
      <w:r>
        <w:t>.</w:t>
      </w:r>
    </w:p>
    <w:p w14:paraId="516612F9" w14:textId="42648980" w:rsidR="009F4F1A" w:rsidRDefault="009F4F1A" w:rsidP="009F4F1A">
      <w:pPr>
        <w:pStyle w:val="Annexureheading"/>
      </w:pPr>
      <w:bookmarkStart w:id="2513" w:name="_Toc507712259"/>
      <w:bookmarkStart w:id="2514" w:name="_Toc508030936"/>
      <w:bookmarkStart w:id="2515" w:name="_Toc508030964"/>
      <w:r>
        <w:t xml:space="preserve"> </w:t>
      </w:r>
      <w:bookmarkStart w:id="2516" w:name="_Toc145612610"/>
      <w:r>
        <w:t>–</w:t>
      </w:r>
      <w:r w:rsidR="00EB797E">
        <w:t xml:space="preserve"> </w:t>
      </w:r>
      <w:r w:rsidRPr="001F7878">
        <w:t>Terminology</w:t>
      </w:r>
      <w:r>
        <w:t xml:space="preserve"> and interpretation</w:t>
      </w:r>
      <w:bookmarkEnd w:id="2516"/>
    </w:p>
    <w:p w14:paraId="5F8CE33D" w14:textId="04201350" w:rsidR="009F4F1A" w:rsidRPr="009F4F1A" w:rsidRDefault="009F4F1A" w:rsidP="009F4F1A">
      <w:pPr>
        <w:rPr>
          <w:highlight w:val="yellow"/>
        </w:rPr>
      </w:pPr>
      <w:bookmarkStart w:id="2517" w:name="_Hlk118471493"/>
      <w:r>
        <w:t>Capitalised terms used in these Guidance Notes have the meanings given to them in the ITC Contract Suite or the glossary of terms to the RFP included in Appendix</w:t>
      </w:r>
      <w:r w:rsidR="00754976" w:rsidRPr="00754976">
        <w:rPr>
          <w:rFonts w:ascii="Calibri" w:hAnsi="Calibri" w:cs="Calibri"/>
        </w:rPr>
        <w:t> </w:t>
      </w:r>
      <w:r>
        <w:t>A, Volume</w:t>
      </w:r>
      <w:r w:rsidR="00754976" w:rsidRPr="00754976">
        <w:rPr>
          <w:rFonts w:ascii="Calibri" w:hAnsi="Calibri" w:cs="Calibri"/>
        </w:rPr>
        <w:t> </w:t>
      </w:r>
      <w:r>
        <w:t>1</w:t>
      </w:r>
      <w:r w:rsidR="0033140A">
        <w:t>,</w:t>
      </w:r>
      <w:r>
        <w:t xml:space="preserve"> Part</w:t>
      </w:r>
      <w:r w:rsidR="00754976" w:rsidRPr="00754976">
        <w:rPr>
          <w:rFonts w:ascii="Calibri" w:hAnsi="Calibri" w:cs="Calibri"/>
        </w:rPr>
        <w:t> </w:t>
      </w:r>
      <w:r>
        <w:t>A of the Standard Form Request for Proposal</w:t>
      </w:r>
      <w:r w:rsidR="0033140A">
        <w:t>,</w:t>
      </w:r>
      <w:r>
        <w:t xml:space="preserve"> unless otherwise defined in these Guidance Notes. Any reference to a clause is a reference to a clause in the ITC Development Deed or ITC Delivery Deed (as applicable).</w:t>
      </w:r>
    </w:p>
    <w:bookmarkEnd w:id="2517"/>
    <w:p w14:paraId="3AF68316" w14:textId="2DE0EA03" w:rsidR="009F4F1A" w:rsidRDefault="009F4F1A" w:rsidP="009F4F1A">
      <w:r>
        <w:t>For the purposes of these Guidance Notes:</w:t>
      </w:r>
    </w:p>
    <w:tbl>
      <w:tblPr>
        <w:tblStyle w:val="DTFtexttableindent"/>
        <w:tblW w:w="9090" w:type="dxa"/>
        <w:tblInd w:w="0" w:type="dxa"/>
        <w:tblLook w:val="04A0" w:firstRow="1" w:lastRow="0" w:firstColumn="1" w:lastColumn="0" w:noHBand="0" w:noVBand="1"/>
      </w:tblPr>
      <w:tblGrid>
        <w:gridCol w:w="2613"/>
        <w:gridCol w:w="6477"/>
      </w:tblGrid>
      <w:tr w:rsidR="009F4F1A" w:rsidRPr="00551451" w14:paraId="63706AB8" w14:textId="77777777" w:rsidTr="2C5D2C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13" w:type="dxa"/>
          </w:tcPr>
          <w:p w14:paraId="1E0FBA5C" w14:textId="77777777" w:rsidR="009F4F1A" w:rsidRPr="004D7EAC" w:rsidRDefault="009F4F1A" w:rsidP="007C25E1">
            <w:pPr>
              <w:pStyle w:val="Tableheader"/>
              <w:rPr>
                <w:color w:val="auto"/>
              </w:rPr>
            </w:pPr>
            <w:r w:rsidRPr="4E453056">
              <w:rPr>
                <w:color w:val="auto"/>
              </w:rPr>
              <w:t>Acronym/Term</w:t>
            </w:r>
          </w:p>
        </w:tc>
        <w:tc>
          <w:tcPr>
            <w:tcW w:w="6477" w:type="dxa"/>
          </w:tcPr>
          <w:p w14:paraId="5C6D2D51" w14:textId="77777777" w:rsidR="009F4F1A" w:rsidRPr="004D7EAC" w:rsidRDefault="009F4F1A" w:rsidP="007C25E1">
            <w:pPr>
              <w:pStyle w:val="Tableheader"/>
              <w:cnfStyle w:val="100000000000" w:firstRow="1" w:lastRow="0" w:firstColumn="0" w:lastColumn="0" w:oddVBand="0" w:evenVBand="0" w:oddHBand="0" w:evenHBand="0" w:firstRowFirstColumn="0" w:firstRowLastColumn="0" w:lastRowFirstColumn="0" w:lastRowLastColumn="0"/>
              <w:rPr>
                <w:color w:val="auto"/>
              </w:rPr>
            </w:pPr>
            <w:r w:rsidRPr="4E453056">
              <w:rPr>
                <w:color w:val="auto"/>
              </w:rPr>
              <w:t>Meaning</w:t>
            </w:r>
          </w:p>
        </w:tc>
      </w:tr>
      <w:tr w:rsidR="009F4F1A" w:rsidRPr="009E6A58" w14:paraId="59319248"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6ABAFD11" w14:textId="77777777" w:rsidR="009F4F1A" w:rsidRPr="00697FDB" w:rsidRDefault="009F4F1A" w:rsidP="007C25E1">
            <w:pPr>
              <w:pStyle w:val="Tabletext"/>
              <w:rPr>
                <w:rFonts w:asciiTheme="majorHAnsi" w:hAnsiTheme="majorHAnsi"/>
                <w:bCs/>
              </w:rPr>
            </w:pPr>
            <w:r w:rsidRPr="00697FDB">
              <w:rPr>
                <w:rFonts w:asciiTheme="majorHAnsi" w:hAnsiTheme="majorHAnsi"/>
                <w:bCs/>
              </w:rPr>
              <w:t>AOC</w:t>
            </w:r>
          </w:p>
        </w:tc>
        <w:tc>
          <w:tcPr>
            <w:tcW w:w="6477" w:type="dxa"/>
          </w:tcPr>
          <w:p w14:paraId="228B686B" w14:textId="77777777" w:rsidR="009F4F1A"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Actual Outturn Cost</w:t>
            </w:r>
          </w:p>
        </w:tc>
      </w:tr>
      <w:tr w:rsidR="009F4F1A" w:rsidRPr="009E6A58" w14:paraId="6A579F0D"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5DC5C3F3" w14:textId="77777777" w:rsidR="009F4F1A" w:rsidRPr="00697FDB" w:rsidRDefault="009F4F1A" w:rsidP="007C25E1">
            <w:pPr>
              <w:pStyle w:val="Tabletext"/>
              <w:rPr>
                <w:rFonts w:asciiTheme="majorHAnsi" w:hAnsiTheme="majorHAnsi"/>
                <w:bCs/>
              </w:rPr>
            </w:pPr>
            <w:r w:rsidRPr="00697FDB">
              <w:rPr>
                <w:rFonts w:asciiTheme="majorHAnsi" w:hAnsiTheme="majorHAnsi"/>
                <w:bCs/>
              </w:rPr>
              <w:t>COP</w:t>
            </w:r>
          </w:p>
        </w:tc>
        <w:tc>
          <w:tcPr>
            <w:tcW w:w="6477" w:type="dxa"/>
          </w:tcPr>
          <w:p w14:paraId="06FB1B6B" w14:textId="77777777" w:rsidR="009F4F1A" w:rsidRDefault="009F4F1A" w:rsidP="007C25E1">
            <w:pPr>
              <w:pStyle w:val="Tabletext"/>
              <w:cnfStyle w:val="000000010000" w:firstRow="0" w:lastRow="0" w:firstColumn="0" w:lastColumn="0" w:oddVBand="0" w:evenVBand="0" w:oddHBand="0" w:evenHBand="1" w:firstRowFirstColumn="0" w:firstRowLastColumn="0" w:lastRowFirstColumn="0" w:lastRowLastColumn="0"/>
            </w:pPr>
            <w:r>
              <w:t>Corporate Overhead and Profit</w:t>
            </w:r>
          </w:p>
        </w:tc>
      </w:tr>
      <w:tr w:rsidR="009F4F1A" w:rsidRPr="009E6A58" w14:paraId="3881E1AB"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3E7DA4FE" w14:textId="77777777" w:rsidR="009F4F1A" w:rsidRPr="00697FDB" w:rsidRDefault="009F4F1A" w:rsidP="007C25E1">
            <w:pPr>
              <w:pStyle w:val="Tabletext"/>
              <w:rPr>
                <w:rFonts w:asciiTheme="majorHAnsi" w:hAnsiTheme="majorHAnsi"/>
                <w:bCs/>
              </w:rPr>
            </w:pPr>
            <w:r w:rsidRPr="00697FDB">
              <w:rPr>
                <w:rFonts w:asciiTheme="majorHAnsi" w:hAnsiTheme="majorHAnsi"/>
                <w:bCs/>
              </w:rPr>
              <w:t>DLP</w:t>
            </w:r>
          </w:p>
        </w:tc>
        <w:tc>
          <w:tcPr>
            <w:tcW w:w="6477" w:type="dxa"/>
          </w:tcPr>
          <w:p w14:paraId="752F73FF" w14:textId="77777777" w:rsidR="009F4F1A"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Defects Liability Period</w:t>
            </w:r>
          </w:p>
        </w:tc>
      </w:tr>
      <w:tr w:rsidR="009F4F1A" w:rsidRPr="009E6A58" w14:paraId="616CC673"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69BB237A" w14:textId="77777777" w:rsidR="009F4F1A" w:rsidRPr="00697FDB" w:rsidRDefault="009F4F1A" w:rsidP="007C25E1">
            <w:pPr>
              <w:pStyle w:val="Tabletext"/>
              <w:rPr>
                <w:rFonts w:asciiTheme="majorHAnsi" w:hAnsiTheme="majorHAnsi"/>
                <w:bCs/>
              </w:rPr>
            </w:pPr>
            <w:r w:rsidRPr="00697FDB">
              <w:rPr>
                <w:rFonts w:asciiTheme="majorHAnsi" w:eastAsia="Arial" w:hAnsiTheme="majorHAnsi" w:cs="Arial"/>
                <w:bCs/>
              </w:rPr>
              <w:t>DPSDS</w:t>
            </w:r>
          </w:p>
        </w:tc>
        <w:tc>
          <w:tcPr>
            <w:tcW w:w="6477" w:type="dxa"/>
          </w:tcPr>
          <w:p w14:paraId="4B4CEEAA" w14:textId="77777777" w:rsidR="009F4F1A" w:rsidRDefault="009F4F1A" w:rsidP="007C25E1">
            <w:pPr>
              <w:pStyle w:val="Tabletext"/>
              <w:cnfStyle w:val="000000010000" w:firstRow="0" w:lastRow="0" w:firstColumn="0" w:lastColumn="0" w:oddVBand="0" w:evenVBand="0" w:oddHBand="0" w:evenHBand="1" w:firstRowFirstColumn="0" w:firstRowLastColumn="0" w:lastRowFirstColumn="0" w:lastRowLastColumn="0"/>
            </w:pPr>
            <w:r w:rsidRPr="00BE64B5">
              <w:rPr>
                <w:rFonts w:ascii="VIC" w:eastAsia="Arial" w:hAnsi="VIC" w:cs="Arial"/>
              </w:rPr>
              <w:t xml:space="preserve">Development Phase Services and Deliverables Schedule </w:t>
            </w:r>
          </w:p>
        </w:tc>
      </w:tr>
      <w:tr w:rsidR="009F4F1A" w:rsidRPr="009E6A58" w14:paraId="05628B13"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250609B0" w14:textId="77777777" w:rsidR="009F4F1A" w:rsidRPr="00697FDB" w:rsidRDefault="009F4F1A" w:rsidP="007C25E1">
            <w:pPr>
              <w:pStyle w:val="Tabletext"/>
              <w:rPr>
                <w:rFonts w:asciiTheme="majorHAnsi" w:hAnsiTheme="majorHAnsi"/>
                <w:bCs/>
              </w:rPr>
            </w:pPr>
            <w:r w:rsidRPr="00697FDB">
              <w:rPr>
                <w:rFonts w:asciiTheme="majorHAnsi" w:hAnsiTheme="majorHAnsi"/>
                <w:bCs/>
              </w:rPr>
              <w:t>DTF</w:t>
            </w:r>
          </w:p>
        </w:tc>
        <w:tc>
          <w:tcPr>
            <w:tcW w:w="6477" w:type="dxa"/>
          </w:tcPr>
          <w:p w14:paraId="73AE6B98" w14:textId="77777777" w:rsidR="009F4F1A" w:rsidRPr="00DD2D2E"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Department of Treasury and Finance</w:t>
            </w:r>
          </w:p>
        </w:tc>
      </w:tr>
      <w:tr w:rsidR="009F4F1A" w:rsidRPr="009E6A58" w14:paraId="66E1557B"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307E1E43" w14:textId="77777777" w:rsidR="009F4F1A" w:rsidRPr="00697FDB" w:rsidRDefault="009F4F1A" w:rsidP="007C25E1">
            <w:pPr>
              <w:pStyle w:val="Tabletext"/>
              <w:rPr>
                <w:rFonts w:asciiTheme="majorHAnsi" w:hAnsiTheme="majorHAnsi"/>
                <w:bCs/>
              </w:rPr>
            </w:pPr>
            <w:r w:rsidRPr="00697FDB">
              <w:rPr>
                <w:rFonts w:asciiTheme="majorHAnsi" w:hAnsiTheme="majorHAnsi"/>
                <w:bCs/>
              </w:rPr>
              <w:t>HVHR</w:t>
            </w:r>
          </w:p>
        </w:tc>
        <w:tc>
          <w:tcPr>
            <w:tcW w:w="6477" w:type="dxa"/>
          </w:tcPr>
          <w:p w14:paraId="715BB951" w14:textId="77777777" w:rsidR="009F4F1A" w:rsidRDefault="009F4F1A" w:rsidP="007C25E1">
            <w:pPr>
              <w:pStyle w:val="Tabletext"/>
              <w:cnfStyle w:val="000000010000" w:firstRow="0" w:lastRow="0" w:firstColumn="0" w:lastColumn="0" w:oddVBand="0" w:evenVBand="0" w:oddHBand="0" w:evenHBand="1" w:firstRowFirstColumn="0" w:firstRowLastColumn="0" w:lastRowFirstColumn="0" w:lastRowLastColumn="0"/>
            </w:pPr>
            <w:r>
              <w:t>High Value High Risk</w:t>
            </w:r>
          </w:p>
        </w:tc>
      </w:tr>
      <w:tr w:rsidR="009F4F1A" w:rsidRPr="009E6A58" w14:paraId="6246001E"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6D992FAA" w14:textId="77777777" w:rsidR="009F4F1A" w:rsidRPr="00697FDB" w:rsidRDefault="009F4F1A" w:rsidP="007C25E1">
            <w:pPr>
              <w:pStyle w:val="Tabletext"/>
              <w:rPr>
                <w:rFonts w:asciiTheme="majorHAnsi" w:hAnsiTheme="majorHAnsi"/>
                <w:bCs/>
              </w:rPr>
            </w:pPr>
            <w:r w:rsidRPr="00697FDB">
              <w:rPr>
                <w:rFonts w:asciiTheme="majorHAnsi" w:hAnsiTheme="majorHAnsi"/>
                <w:bCs/>
              </w:rPr>
              <w:t>ITC</w:t>
            </w:r>
          </w:p>
        </w:tc>
        <w:tc>
          <w:tcPr>
            <w:tcW w:w="6477" w:type="dxa"/>
          </w:tcPr>
          <w:p w14:paraId="28C680C0" w14:textId="77777777" w:rsidR="009F4F1A"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Incentivised Target Cost</w:t>
            </w:r>
          </w:p>
        </w:tc>
      </w:tr>
      <w:tr w:rsidR="009F4F1A" w:rsidRPr="009E6A58" w14:paraId="3E7B3C63"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327F6BD8" w14:textId="77777777" w:rsidR="009F4F1A" w:rsidRPr="00697FDB" w:rsidRDefault="009F4F1A" w:rsidP="007C25E1">
            <w:pPr>
              <w:pStyle w:val="Tabletext"/>
              <w:rPr>
                <w:rFonts w:asciiTheme="majorHAnsi" w:hAnsiTheme="majorHAnsi"/>
                <w:bCs/>
              </w:rPr>
            </w:pPr>
            <w:r w:rsidRPr="00697FDB">
              <w:rPr>
                <w:rFonts w:asciiTheme="majorHAnsi" w:hAnsiTheme="majorHAnsi"/>
                <w:bCs/>
              </w:rPr>
              <w:t>ITC Development Deed</w:t>
            </w:r>
          </w:p>
        </w:tc>
        <w:tc>
          <w:tcPr>
            <w:tcW w:w="6477" w:type="dxa"/>
          </w:tcPr>
          <w:p w14:paraId="5D591B5A" w14:textId="316AF5A2" w:rsidR="009F4F1A" w:rsidRDefault="5BCF3A00" w:rsidP="007C25E1">
            <w:pPr>
              <w:pStyle w:val="Tabletext"/>
              <w:cnfStyle w:val="000000010000" w:firstRow="0" w:lastRow="0" w:firstColumn="0" w:lastColumn="0" w:oddVBand="0" w:evenVBand="0" w:oddHBand="0" w:evenHBand="1" w:firstRowFirstColumn="0" w:firstRowLastColumn="0" w:lastRowFirstColumn="0" w:lastRowLastColumn="0"/>
            </w:pPr>
            <w:r>
              <w:t>As defined in section</w:t>
            </w:r>
            <w:r w:rsidR="7865FA55" w:rsidRPr="2C5D2C8B">
              <w:rPr>
                <w:rFonts w:ascii="Calibri" w:hAnsi="Calibri" w:cs="Calibri"/>
              </w:rPr>
              <w:t> </w:t>
            </w:r>
            <w:r w:rsidR="009F4F1A">
              <w:fldChar w:fldCharType="begin" w:fldLock="1"/>
            </w:r>
            <w:r w:rsidR="009F4F1A">
              <w:instrText xml:space="preserve"> REF _Ref144735996 \n \h </w:instrText>
            </w:r>
            <w:r w:rsidR="009F4F1A">
              <w:fldChar w:fldCharType="separate"/>
            </w:r>
            <w:r w:rsidR="00400321">
              <w:t>4</w:t>
            </w:r>
            <w:r w:rsidR="009F4F1A">
              <w:fldChar w:fldCharType="end"/>
            </w:r>
          </w:p>
        </w:tc>
      </w:tr>
      <w:tr w:rsidR="009F4F1A" w:rsidRPr="009E6A58" w14:paraId="0DBE8D20"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18C88300" w14:textId="77777777" w:rsidR="009F4F1A" w:rsidRPr="00697FDB" w:rsidRDefault="009F4F1A" w:rsidP="007C25E1">
            <w:pPr>
              <w:pStyle w:val="Tabletext"/>
              <w:rPr>
                <w:rFonts w:asciiTheme="majorHAnsi" w:hAnsiTheme="majorHAnsi"/>
                <w:bCs/>
              </w:rPr>
            </w:pPr>
            <w:r w:rsidRPr="00697FDB">
              <w:rPr>
                <w:rFonts w:asciiTheme="majorHAnsi" w:hAnsiTheme="majorHAnsi"/>
                <w:bCs/>
              </w:rPr>
              <w:t>ITC Delivery Deed</w:t>
            </w:r>
          </w:p>
        </w:tc>
        <w:tc>
          <w:tcPr>
            <w:tcW w:w="6477" w:type="dxa"/>
          </w:tcPr>
          <w:p w14:paraId="5F565317" w14:textId="04B3295B" w:rsidR="009F4F1A" w:rsidRDefault="5BCF3A00" w:rsidP="007C25E1">
            <w:pPr>
              <w:pStyle w:val="Tabletext"/>
              <w:cnfStyle w:val="000000000000" w:firstRow="0" w:lastRow="0" w:firstColumn="0" w:lastColumn="0" w:oddVBand="0" w:evenVBand="0" w:oddHBand="0" w:evenHBand="0" w:firstRowFirstColumn="0" w:firstRowLastColumn="0" w:lastRowFirstColumn="0" w:lastRowLastColumn="0"/>
            </w:pPr>
            <w:r>
              <w:t>As defined in section</w:t>
            </w:r>
            <w:r w:rsidR="7865FA55" w:rsidRPr="2C5D2C8B">
              <w:rPr>
                <w:rFonts w:ascii="Calibri" w:hAnsi="Calibri" w:cs="Calibri"/>
              </w:rPr>
              <w:t> </w:t>
            </w:r>
            <w:r w:rsidR="009F4F1A">
              <w:fldChar w:fldCharType="begin" w:fldLock="1"/>
            </w:r>
            <w:r w:rsidR="009F4F1A">
              <w:instrText xml:space="preserve"> REF _Ref144736035 \n \h </w:instrText>
            </w:r>
            <w:r w:rsidR="009F4F1A">
              <w:fldChar w:fldCharType="separate"/>
            </w:r>
            <w:r w:rsidR="00400321">
              <w:t>5</w:t>
            </w:r>
            <w:r w:rsidR="009F4F1A">
              <w:fldChar w:fldCharType="end"/>
            </w:r>
          </w:p>
        </w:tc>
      </w:tr>
      <w:tr w:rsidR="009F4F1A" w:rsidRPr="009E6A58" w14:paraId="243EF1BC"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6238AA16" w14:textId="77777777" w:rsidR="009F4F1A" w:rsidRPr="00697FDB" w:rsidRDefault="009F4F1A" w:rsidP="007C25E1">
            <w:pPr>
              <w:pStyle w:val="Tabletext"/>
              <w:rPr>
                <w:rFonts w:asciiTheme="majorHAnsi" w:hAnsiTheme="majorHAnsi"/>
                <w:bCs/>
              </w:rPr>
            </w:pPr>
            <w:r w:rsidRPr="00697FDB">
              <w:rPr>
                <w:rFonts w:asciiTheme="majorHAnsi" w:hAnsiTheme="majorHAnsi"/>
                <w:bCs/>
              </w:rPr>
              <w:t>KPI</w:t>
            </w:r>
          </w:p>
        </w:tc>
        <w:tc>
          <w:tcPr>
            <w:tcW w:w="6477" w:type="dxa"/>
          </w:tcPr>
          <w:p w14:paraId="32E2074D" w14:textId="77777777" w:rsidR="009F4F1A" w:rsidRDefault="009F4F1A" w:rsidP="007C25E1">
            <w:pPr>
              <w:pStyle w:val="Tabletext"/>
              <w:cnfStyle w:val="000000010000" w:firstRow="0" w:lastRow="0" w:firstColumn="0" w:lastColumn="0" w:oddVBand="0" w:evenVBand="0" w:oddHBand="0" w:evenHBand="1" w:firstRowFirstColumn="0" w:firstRowLastColumn="0" w:lastRowFirstColumn="0" w:lastRowLastColumn="0"/>
            </w:pPr>
            <w:r>
              <w:t>Key Performance Indicator</w:t>
            </w:r>
          </w:p>
        </w:tc>
      </w:tr>
      <w:tr w:rsidR="009F4F1A" w:rsidRPr="009E6A58" w14:paraId="4C0A9D92"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1DCC8E31" w14:textId="77777777" w:rsidR="009F4F1A" w:rsidRPr="00697FDB" w:rsidRDefault="009F4F1A" w:rsidP="007C25E1">
            <w:pPr>
              <w:pStyle w:val="Tabletext"/>
              <w:rPr>
                <w:rFonts w:asciiTheme="majorHAnsi" w:hAnsiTheme="majorHAnsi"/>
                <w:bCs/>
              </w:rPr>
            </w:pPr>
            <w:r w:rsidRPr="00697FDB">
              <w:rPr>
                <w:rFonts w:asciiTheme="majorHAnsi" w:hAnsiTheme="majorHAnsi"/>
                <w:bCs/>
              </w:rPr>
              <w:t>KRA</w:t>
            </w:r>
          </w:p>
        </w:tc>
        <w:tc>
          <w:tcPr>
            <w:tcW w:w="6477" w:type="dxa"/>
          </w:tcPr>
          <w:p w14:paraId="4B77BFEC" w14:textId="77777777" w:rsidR="009F4F1A"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Key Result Area</w:t>
            </w:r>
          </w:p>
        </w:tc>
      </w:tr>
      <w:tr w:rsidR="009F4F1A" w:rsidRPr="009E6A58" w14:paraId="6A3AA094"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4E4BC5E7" w14:textId="3AFD6F71" w:rsidR="009F4F1A" w:rsidRPr="00697FDB" w:rsidRDefault="5BCF3A00" w:rsidP="2C5D2C8B">
            <w:pPr>
              <w:pStyle w:val="Tabletext"/>
              <w:rPr>
                <w:rFonts w:asciiTheme="majorHAnsi" w:hAnsiTheme="majorHAnsi"/>
              </w:rPr>
            </w:pPr>
            <w:r w:rsidRPr="2C5D2C8B">
              <w:rPr>
                <w:rFonts w:asciiTheme="majorHAnsi" w:hAnsiTheme="majorHAnsi"/>
              </w:rPr>
              <w:t>MTPF</w:t>
            </w:r>
            <w:r w:rsidR="586E6055" w:rsidRPr="2C5D2C8B">
              <w:rPr>
                <w:rFonts w:asciiTheme="majorHAnsi" w:hAnsiTheme="majorHAnsi"/>
              </w:rPr>
              <w:t xml:space="preserve"> </w:t>
            </w:r>
            <w:r w:rsidRPr="2C5D2C8B">
              <w:rPr>
                <w:rFonts w:asciiTheme="majorHAnsi" w:hAnsiTheme="majorHAnsi"/>
              </w:rPr>
              <w:t>A</w:t>
            </w:r>
            <w:r w:rsidR="586E6055" w:rsidRPr="2C5D2C8B">
              <w:rPr>
                <w:rFonts w:asciiTheme="majorHAnsi" w:hAnsiTheme="majorHAnsi"/>
              </w:rPr>
              <w:t>ct</w:t>
            </w:r>
          </w:p>
        </w:tc>
        <w:tc>
          <w:tcPr>
            <w:tcW w:w="6477" w:type="dxa"/>
          </w:tcPr>
          <w:p w14:paraId="4BF3FCEB" w14:textId="668129CE" w:rsidR="009F4F1A" w:rsidRDefault="5BCF3A00" w:rsidP="007C25E1">
            <w:pPr>
              <w:pStyle w:val="Tabletext"/>
              <w:cnfStyle w:val="000000010000" w:firstRow="0" w:lastRow="0" w:firstColumn="0" w:lastColumn="0" w:oddVBand="0" w:evenVBand="0" w:oddHBand="0" w:evenHBand="1" w:firstRowFirstColumn="0" w:firstRowLastColumn="0" w:lastRowFirstColumn="0" w:lastRowLastColumn="0"/>
            </w:pPr>
            <w:r>
              <w:t xml:space="preserve">As defined </w:t>
            </w:r>
            <w:r w:rsidRPr="2C5D2C8B">
              <w:rPr>
                <w:rFonts w:eastAsiaTheme="minorEastAsia"/>
                <w:lang w:eastAsia="en-AU"/>
              </w:rPr>
              <w:t>in section</w:t>
            </w:r>
            <w:r w:rsidR="7865FA55" w:rsidRPr="2C5D2C8B">
              <w:rPr>
                <w:rFonts w:ascii="Calibri" w:eastAsiaTheme="minorEastAsia" w:hAnsi="Calibri" w:cs="Calibri"/>
                <w:lang w:eastAsia="en-AU"/>
              </w:rPr>
              <w:t> </w:t>
            </w:r>
            <w:r w:rsidR="009F4F1A">
              <w:fldChar w:fldCharType="begin" w:fldLock="1"/>
            </w:r>
            <w:r w:rsidR="009F4F1A" w:rsidRPr="2C5D2C8B">
              <w:rPr>
                <w:rFonts w:eastAsiaTheme="minorEastAsia"/>
                <w:lang w:eastAsia="en-AU"/>
              </w:rPr>
              <w:instrText xml:space="preserve"> REF _Ref129287034 \r \h </w:instrText>
            </w:r>
            <w:r w:rsidR="009F4F1A">
              <w:instrText xml:space="preserve"> \* MERGEFORMAT </w:instrText>
            </w:r>
            <w:r w:rsidR="009F4F1A">
              <w:fldChar w:fldCharType="separate"/>
            </w:r>
            <w:r w:rsidR="00400321">
              <w:rPr>
                <w:rFonts w:eastAsiaTheme="minorEastAsia"/>
                <w:lang w:eastAsia="en-AU"/>
              </w:rPr>
              <w:t>1.6</w:t>
            </w:r>
            <w:r w:rsidR="009F4F1A">
              <w:fldChar w:fldCharType="end"/>
            </w:r>
          </w:p>
        </w:tc>
      </w:tr>
      <w:tr w:rsidR="009F4F1A" w:rsidRPr="009E6A58" w14:paraId="641096C7"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662F4C78" w14:textId="77777777" w:rsidR="009F4F1A" w:rsidRPr="00697FDB" w:rsidRDefault="009F4F1A" w:rsidP="007C25E1">
            <w:pPr>
              <w:pStyle w:val="Tabletext"/>
              <w:rPr>
                <w:rFonts w:asciiTheme="majorHAnsi" w:hAnsiTheme="majorHAnsi"/>
                <w:bCs/>
              </w:rPr>
            </w:pPr>
            <w:r w:rsidRPr="00697FDB">
              <w:rPr>
                <w:rFonts w:asciiTheme="majorHAnsi" w:hAnsiTheme="majorHAnsi"/>
                <w:bCs/>
              </w:rPr>
              <w:t>PDDD</w:t>
            </w:r>
          </w:p>
        </w:tc>
        <w:tc>
          <w:tcPr>
            <w:tcW w:w="6477" w:type="dxa"/>
          </w:tcPr>
          <w:p w14:paraId="3F95775A" w14:textId="77777777" w:rsidR="009F4F1A"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Project Due Diligence Documentation</w:t>
            </w:r>
          </w:p>
        </w:tc>
      </w:tr>
      <w:tr w:rsidR="009F4F1A" w:rsidRPr="009E6A58" w14:paraId="02FC098C"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6B753D63" w14:textId="77777777" w:rsidR="009F4F1A" w:rsidRPr="00697FDB" w:rsidRDefault="009F4F1A" w:rsidP="007C25E1">
            <w:pPr>
              <w:pStyle w:val="Tabletext"/>
              <w:rPr>
                <w:rFonts w:asciiTheme="majorHAnsi" w:hAnsiTheme="majorHAnsi"/>
                <w:bCs/>
              </w:rPr>
            </w:pPr>
            <w:r w:rsidRPr="00697FDB">
              <w:rPr>
                <w:rFonts w:asciiTheme="majorHAnsi" w:hAnsiTheme="majorHAnsi"/>
                <w:bCs/>
              </w:rPr>
              <w:t>PSDR</w:t>
            </w:r>
          </w:p>
        </w:tc>
        <w:tc>
          <w:tcPr>
            <w:tcW w:w="6477" w:type="dxa"/>
          </w:tcPr>
          <w:p w14:paraId="0BC0EACA" w14:textId="691198F6" w:rsidR="009F4F1A" w:rsidRDefault="5BCF3A00" w:rsidP="007C25E1">
            <w:pPr>
              <w:pStyle w:val="Tabletext"/>
              <w:cnfStyle w:val="000000010000" w:firstRow="0" w:lastRow="0" w:firstColumn="0" w:lastColumn="0" w:oddVBand="0" w:evenVBand="0" w:oddHBand="0" w:evenHBand="1" w:firstRowFirstColumn="0" w:firstRowLastColumn="0" w:lastRowFirstColumn="0" w:lastRowLastColumn="0"/>
            </w:pPr>
            <w:r>
              <w:t>As defined in section</w:t>
            </w:r>
            <w:r w:rsidR="7865FA55" w:rsidRPr="2C5D2C8B">
              <w:rPr>
                <w:rFonts w:ascii="Calibri" w:hAnsi="Calibri" w:cs="Calibri"/>
              </w:rPr>
              <w:t> </w:t>
            </w:r>
            <w:r w:rsidR="009F4F1A">
              <w:fldChar w:fldCharType="begin" w:fldLock="1"/>
            </w:r>
            <w:r w:rsidR="009F4F1A">
              <w:instrText xml:space="preserve"> REF _Ref144736355 \n \h </w:instrText>
            </w:r>
            <w:r w:rsidR="009F4F1A">
              <w:fldChar w:fldCharType="separate"/>
            </w:r>
            <w:r w:rsidR="00400321">
              <w:t>1.5</w:t>
            </w:r>
            <w:r w:rsidR="009F4F1A">
              <w:fldChar w:fldCharType="end"/>
            </w:r>
          </w:p>
        </w:tc>
      </w:tr>
      <w:tr w:rsidR="009F4F1A" w:rsidRPr="009E6A58" w14:paraId="5AD680A4" w14:textId="77777777" w:rsidTr="2C5D2C8B">
        <w:tc>
          <w:tcPr>
            <w:cnfStyle w:val="001000000000" w:firstRow="0" w:lastRow="0" w:firstColumn="1" w:lastColumn="0" w:oddVBand="0" w:evenVBand="0" w:oddHBand="0" w:evenHBand="0" w:firstRowFirstColumn="0" w:firstRowLastColumn="0" w:lastRowFirstColumn="0" w:lastRowLastColumn="0"/>
            <w:tcW w:w="2613" w:type="dxa"/>
          </w:tcPr>
          <w:p w14:paraId="1A070240" w14:textId="77777777" w:rsidR="009F4F1A" w:rsidRPr="00697FDB" w:rsidRDefault="009F4F1A" w:rsidP="007C25E1">
            <w:pPr>
              <w:pStyle w:val="Tabletext"/>
              <w:rPr>
                <w:rFonts w:asciiTheme="majorHAnsi" w:hAnsiTheme="majorHAnsi"/>
                <w:bCs/>
              </w:rPr>
            </w:pPr>
            <w:r w:rsidRPr="00697FDB">
              <w:rPr>
                <w:rFonts w:asciiTheme="majorHAnsi" w:hAnsiTheme="majorHAnsi"/>
                <w:bCs/>
              </w:rPr>
              <w:t>TOC</w:t>
            </w:r>
          </w:p>
        </w:tc>
        <w:tc>
          <w:tcPr>
            <w:tcW w:w="6477" w:type="dxa"/>
          </w:tcPr>
          <w:p w14:paraId="19EE022F" w14:textId="77777777" w:rsidR="009F4F1A" w:rsidRDefault="009F4F1A" w:rsidP="007C25E1">
            <w:pPr>
              <w:pStyle w:val="Tabletext"/>
              <w:cnfStyle w:val="000000000000" w:firstRow="0" w:lastRow="0" w:firstColumn="0" w:lastColumn="0" w:oddVBand="0" w:evenVBand="0" w:oddHBand="0" w:evenHBand="0" w:firstRowFirstColumn="0" w:firstRowLastColumn="0" w:lastRowFirstColumn="0" w:lastRowLastColumn="0"/>
            </w:pPr>
            <w:r>
              <w:t>Target Outturn Cost</w:t>
            </w:r>
          </w:p>
        </w:tc>
      </w:tr>
      <w:tr w:rsidR="009F4F1A" w:rsidRPr="009E6A58" w14:paraId="06F49455" w14:textId="77777777" w:rsidTr="2C5D2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14:paraId="7211FCED" w14:textId="77777777" w:rsidR="009F4F1A" w:rsidRPr="00697FDB" w:rsidRDefault="009F4F1A" w:rsidP="007C25E1">
            <w:pPr>
              <w:pStyle w:val="Tabletext"/>
              <w:rPr>
                <w:rFonts w:asciiTheme="majorHAnsi" w:hAnsiTheme="majorHAnsi"/>
                <w:bCs/>
              </w:rPr>
            </w:pPr>
            <w:r w:rsidRPr="00697FDB">
              <w:rPr>
                <w:rFonts w:asciiTheme="majorHAnsi" w:hAnsiTheme="majorHAnsi"/>
                <w:bCs/>
              </w:rPr>
              <w:t>VfM</w:t>
            </w:r>
          </w:p>
        </w:tc>
        <w:tc>
          <w:tcPr>
            <w:tcW w:w="6477" w:type="dxa"/>
          </w:tcPr>
          <w:p w14:paraId="3720F8C6" w14:textId="77777777" w:rsidR="009F4F1A" w:rsidRDefault="009F4F1A" w:rsidP="007C25E1">
            <w:pPr>
              <w:pStyle w:val="Tabletext"/>
              <w:cnfStyle w:val="000000010000" w:firstRow="0" w:lastRow="0" w:firstColumn="0" w:lastColumn="0" w:oddVBand="0" w:evenVBand="0" w:oddHBand="0" w:evenHBand="1" w:firstRowFirstColumn="0" w:firstRowLastColumn="0" w:lastRowFirstColumn="0" w:lastRowLastColumn="0"/>
            </w:pPr>
            <w:r>
              <w:t>Value for Money</w:t>
            </w:r>
          </w:p>
        </w:tc>
      </w:tr>
    </w:tbl>
    <w:p w14:paraId="78637A5A" w14:textId="0E4D2B20" w:rsidR="00470F4B" w:rsidRDefault="002B5BB6">
      <w:pPr>
        <w:pStyle w:val="Annexureheading"/>
      </w:pPr>
      <w:bookmarkStart w:id="2518" w:name="_Toc133577915"/>
      <w:bookmarkStart w:id="2519" w:name="_Toc145612611"/>
      <w:r w:rsidRPr="00C0343C">
        <w:t>– Defects</w:t>
      </w:r>
      <w:bookmarkEnd w:id="2513"/>
      <w:bookmarkEnd w:id="2514"/>
      <w:bookmarkEnd w:id="2515"/>
      <w:bookmarkEnd w:id="2518"/>
      <w:bookmarkEnd w:id="2519"/>
    </w:p>
    <w:p w14:paraId="08B73EE4" w14:textId="36B441C2" w:rsidR="009B48CE" w:rsidRDefault="00432B4E" w:rsidP="000C3262">
      <w:r>
        <w:rPr>
          <w:noProof/>
        </w:rPr>
        <mc:AlternateContent>
          <mc:Choice Requires="wpc">
            <w:drawing>
              <wp:inline distT="0" distB="0" distL="0" distR="0" wp14:anchorId="3C4B76CF" wp14:editId="5492565E">
                <wp:extent cx="5731510" cy="5802736"/>
                <wp:effectExtent l="0" t="0" r="40640" b="7620"/>
                <wp:docPr id="2015598398" name="Canvas 2015598398" descr="Flow chart showing the process for defect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15598376" name="Group 2015598376"/>
                        <wpg:cNvGrpSpPr/>
                        <wpg:grpSpPr>
                          <a:xfrm>
                            <a:off x="35999" y="69676"/>
                            <a:ext cx="5716224" cy="5715399"/>
                            <a:chOff x="1931483" y="69676"/>
                            <a:chExt cx="5716224" cy="5715399"/>
                          </a:xfrm>
                        </wpg:grpSpPr>
                        <wps:wsp>
                          <wps:cNvPr id="2015598377" name="Rectangle 2015598377"/>
                          <wps:cNvSpPr/>
                          <wps:spPr>
                            <a:xfrm>
                              <a:off x="3447475" y="69676"/>
                              <a:ext cx="2753701" cy="6669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F83E1" w14:textId="77777777" w:rsidR="00432B4E" w:rsidRPr="00AB08B8" w:rsidRDefault="00432B4E" w:rsidP="00432B4E">
                                <w:pPr>
                                  <w:spacing w:before="0" w:after="0" w:line="240" w:lineRule="auto"/>
                                  <w:rPr>
                                    <w:rFonts w:asciiTheme="majorHAnsi" w:eastAsia="SimSun" w:hAnsiTheme="majorHAnsi"/>
                                    <w:color w:val="FFFFFF" w:themeColor="background1"/>
                                    <w:sz w:val="16"/>
                                    <w:szCs w:val="16"/>
                                  </w:rPr>
                                </w:pPr>
                                <w:r w:rsidRPr="00AB08B8">
                                  <w:rPr>
                                    <w:rFonts w:asciiTheme="majorHAnsi" w:eastAsia="SimSun" w:hAnsiTheme="majorHAnsi"/>
                                    <w:color w:val="FFFFFF" w:themeColor="background1"/>
                                    <w:sz w:val="16"/>
                                    <w:szCs w:val="16"/>
                                  </w:rPr>
                                  <w:t>Defects</w:t>
                                </w:r>
                              </w:p>
                              <w:p w14:paraId="2FC3195E" w14:textId="77777777" w:rsidR="00432B4E" w:rsidRPr="00AB08B8" w:rsidRDefault="00432B4E" w:rsidP="00432B4E">
                                <w:pPr>
                                  <w:spacing w:before="0" w:after="0" w:line="240" w:lineRule="auto"/>
                                  <w:rPr>
                                    <w:rFonts w:eastAsia="SimSun"/>
                                    <w:color w:val="FFFFFF" w:themeColor="background1"/>
                                    <w:sz w:val="16"/>
                                    <w:szCs w:val="16"/>
                                  </w:rPr>
                                </w:pPr>
                                <w:r w:rsidRPr="00AB08B8">
                                  <w:rPr>
                                    <w:rFonts w:eastAsia="SimSun"/>
                                    <w:color w:val="FFFFFF" w:themeColor="background1"/>
                                    <w:sz w:val="16"/>
                                    <w:szCs w:val="16"/>
                                  </w:rPr>
                                  <w:t xml:space="preserve">In the Works until the end of the </w:t>
                                </w:r>
                                <w:r>
                                  <w:rPr>
                                    <w:rFonts w:eastAsia="SimSun"/>
                                    <w:color w:val="FFFFFF" w:themeColor="background1"/>
                                    <w:sz w:val="16"/>
                                    <w:szCs w:val="16"/>
                                  </w:rPr>
                                  <w:t xml:space="preserve">DLP </w:t>
                                </w:r>
                                <w:r w:rsidRPr="00AB08B8">
                                  <w:rPr>
                                    <w:rFonts w:eastAsia="SimSun"/>
                                    <w:color w:val="FFFFFF" w:themeColor="background1"/>
                                    <w:sz w:val="16"/>
                                    <w:szCs w:val="16"/>
                                  </w:rPr>
                                  <w:t xml:space="preserve">or in the Returned Asset until the end of the relevant Returned Asset DLP </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78" name="Rectangle 2015598378"/>
                          <wps:cNvSpPr/>
                          <wps:spPr>
                            <a:xfrm>
                              <a:off x="4870852" y="1016972"/>
                              <a:ext cx="2776855" cy="51837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AB546" w14:textId="77777777" w:rsidR="00432B4E" w:rsidRPr="00AB08B8" w:rsidRDefault="00432B4E" w:rsidP="00432B4E">
                                <w:pPr>
                                  <w:spacing w:before="0" w:after="0" w:line="240" w:lineRule="auto"/>
                                  <w:rPr>
                                    <w:rFonts w:eastAsia="SimSun"/>
                                    <w:color w:val="FFFFFF" w:themeColor="background1"/>
                                    <w:sz w:val="16"/>
                                    <w:szCs w:val="16"/>
                                  </w:rPr>
                                </w:pPr>
                                <w:r w:rsidRPr="00AB08B8">
                                  <w:rPr>
                                    <w:rFonts w:eastAsia="SimSun"/>
                                    <w:color w:val="FFFFFF" w:themeColor="background1"/>
                                    <w:sz w:val="16"/>
                                    <w:szCs w:val="16"/>
                                  </w:rPr>
                                  <w:t>The Principal may give notice to the Contractor and the Principal Representative if it believes that there is a Defect or likely Defect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79" name="Rectangle 2015598379"/>
                          <wps:cNvSpPr/>
                          <wps:spPr>
                            <a:xfrm>
                              <a:off x="1936374" y="1017048"/>
                              <a:ext cx="2776991" cy="51836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1339F" w14:textId="77777777" w:rsidR="00432B4E" w:rsidRPr="00AB08B8" w:rsidRDefault="00432B4E" w:rsidP="00432B4E">
                                <w:pPr>
                                  <w:spacing w:before="0" w:after="0" w:line="240" w:lineRule="auto"/>
                                  <w:rPr>
                                    <w:rFonts w:eastAsia="SimSun"/>
                                    <w:color w:val="FFFFFF" w:themeColor="background1"/>
                                    <w:sz w:val="16"/>
                                    <w:szCs w:val="16"/>
                                  </w:rPr>
                                </w:pPr>
                                <w:r w:rsidRPr="00AB08B8">
                                  <w:rPr>
                                    <w:rFonts w:eastAsia="SimSun"/>
                                    <w:color w:val="FFFFFF" w:themeColor="background1"/>
                                    <w:sz w:val="16"/>
                                    <w:szCs w:val="16"/>
                                  </w:rPr>
                                  <w:t>The Contractor must notify the Principal and the Principal Representative if it identifies a Defect or likely Defect in the Works or a Returned Asset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80" name="Rectangle 2015598380"/>
                          <wps:cNvSpPr/>
                          <wps:spPr>
                            <a:xfrm>
                              <a:off x="1936373" y="1937994"/>
                              <a:ext cx="5711333" cy="384673"/>
                            </a:xfrm>
                            <a:prstGeom prst="rect">
                              <a:avLst/>
                            </a:prstGeom>
                            <a:solidFill>
                              <a:schemeClr val="accent2">
                                <a:lumMod val="20000"/>
                                <a:lumOff val="80000"/>
                              </a:schemeClr>
                            </a:solidFill>
                            <a:ln>
                              <a:noFill/>
                              <a:tailEnd type="stealth" w="lg" len="lg"/>
                            </a:ln>
                          </wps:spPr>
                          <wps:style>
                            <a:lnRef idx="2">
                              <a:schemeClr val="accent1">
                                <a:shade val="50000"/>
                              </a:schemeClr>
                            </a:lnRef>
                            <a:fillRef idx="1">
                              <a:schemeClr val="accent1"/>
                            </a:fillRef>
                            <a:effectRef idx="0">
                              <a:schemeClr val="accent1"/>
                            </a:effectRef>
                            <a:fontRef idx="minor">
                              <a:schemeClr val="lt1"/>
                            </a:fontRef>
                          </wps:style>
                          <wps:txbx>
                            <w:txbxContent>
                              <w:p w14:paraId="5249EAD8" w14:textId="77777777" w:rsidR="00432B4E" w:rsidRPr="00CA5722" w:rsidRDefault="00432B4E" w:rsidP="00432B4E">
                                <w:pPr>
                                  <w:spacing w:before="0" w:after="0" w:line="240" w:lineRule="auto"/>
                                  <w:rPr>
                                    <w:rFonts w:eastAsia="SimSun"/>
                                    <w:sz w:val="16"/>
                                    <w:szCs w:val="16"/>
                                  </w:rPr>
                                </w:pPr>
                                <w:r w:rsidRPr="00CA5722">
                                  <w:rPr>
                                    <w:rFonts w:eastAsia="SimSun"/>
                                    <w:sz w:val="16"/>
                                    <w:szCs w:val="16"/>
                                  </w:rPr>
                                  <w:t>The Contractor must develop, submit, update and comply with the Defect Corrective Action Plan in accordance with clause 28.4</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81" name="Rectangle 2015598381"/>
                          <wps:cNvSpPr/>
                          <wps:spPr>
                            <a:xfrm>
                              <a:off x="1931483" y="2509293"/>
                              <a:ext cx="5711333" cy="463714"/>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66ECB" w14:textId="77777777" w:rsidR="00432B4E" w:rsidRPr="003D0862" w:rsidRDefault="00432B4E" w:rsidP="00432B4E">
                                <w:pPr>
                                  <w:spacing w:before="0" w:after="0" w:line="240" w:lineRule="auto"/>
                                  <w:rPr>
                                    <w:rFonts w:eastAsia="SimSun"/>
                                    <w:color w:val="000000"/>
                                    <w:sz w:val="16"/>
                                    <w:szCs w:val="16"/>
                                  </w:rPr>
                                </w:pPr>
                                <w:r w:rsidRPr="003D0862">
                                  <w:rPr>
                                    <w:rFonts w:eastAsia="SimSun"/>
                                    <w:color w:val="000000"/>
                                    <w:sz w:val="16"/>
                                    <w:szCs w:val="16"/>
                                  </w:rPr>
                                  <w:t>The Contractor must promptly rectify all Defects in the Works as soon as they are identified</w:t>
                                </w:r>
                                <w:r>
                                  <w:rPr>
                                    <w:rFonts w:eastAsia="SimSun"/>
                                    <w:color w:val="000000"/>
                                    <w:sz w:val="16"/>
                                    <w:szCs w:val="16"/>
                                  </w:rPr>
                                  <w:t>,</w:t>
                                </w:r>
                                <w:r w:rsidRPr="003D0862">
                                  <w:rPr>
                                    <w:rFonts w:eastAsia="SimSun"/>
                                    <w:color w:val="000000"/>
                                    <w:sz w:val="16"/>
                                    <w:szCs w:val="16"/>
                                  </w:rPr>
                                  <w:t xml:space="preserve"> unless the Defect is a Defect </w:t>
                                </w:r>
                                <w:r>
                                  <w:rPr>
                                    <w:rFonts w:eastAsia="SimSun"/>
                                    <w:color w:val="000000"/>
                                    <w:sz w:val="16"/>
                                    <w:szCs w:val="16"/>
                                  </w:rPr>
                                  <w:t xml:space="preserve">that </w:t>
                                </w:r>
                                <w:r w:rsidRPr="003D0862">
                                  <w:rPr>
                                    <w:rFonts w:eastAsia="SimSun"/>
                                    <w:color w:val="000000"/>
                                    <w:sz w:val="16"/>
                                    <w:szCs w:val="16"/>
                                  </w:rPr>
                                  <w:t>the Principal accepts or rectifies in accordance with clause 28.6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5598382" name="Rectangle 2015598382"/>
                          <wps:cNvSpPr/>
                          <wps:spPr>
                            <a:xfrm>
                              <a:off x="1936373" y="3328526"/>
                              <a:ext cx="2610745" cy="1589074"/>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5EF32" w14:textId="77777777" w:rsidR="00432B4E" w:rsidRPr="003D0862" w:rsidRDefault="00432B4E" w:rsidP="00432B4E">
                                <w:pPr>
                                  <w:spacing w:before="0" w:after="0" w:line="240" w:lineRule="auto"/>
                                  <w:rPr>
                                    <w:rFonts w:eastAsia="SimSun"/>
                                    <w:color w:val="000000"/>
                                    <w:sz w:val="16"/>
                                    <w:szCs w:val="16"/>
                                  </w:rPr>
                                </w:pPr>
                                <w:r w:rsidRPr="003D0862">
                                  <w:rPr>
                                    <w:rFonts w:eastAsia="SimSun"/>
                                    <w:color w:val="000000"/>
                                    <w:sz w:val="16"/>
                                    <w:szCs w:val="16"/>
                                  </w:rPr>
                                  <w:t>If the Principal accepts or rectifies (or engages others to rectify) a Defect in the Works or the Returned Assets, the Contractor must pay the Principal (as a debt due and payable) the greater of:</w:t>
                                </w:r>
                              </w:p>
                              <w:p w14:paraId="42E62B3A" w14:textId="77777777" w:rsidR="00432B4E" w:rsidRPr="00A13178" w:rsidRDefault="00432B4E" w:rsidP="00432B4E">
                                <w:pPr>
                                  <w:keepLines w:val="0"/>
                                  <w:numPr>
                                    <w:ilvl w:val="0"/>
                                    <w:numId w:val="71"/>
                                  </w:numPr>
                                  <w:spacing w:before="0" w:after="0" w:line="240" w:lineRule="auto"/>
                                  <w:ind w:left="216" w:hanging="216"/>
                                  <w:rPr>
                                    <w:rFonts w:eastAsia="SimSun"/>
                                    <w:color w:val="000000"/>
                                    <w:sz w:val="16"/>
                                    <w:szCs w:val="16"/>
                                  </w:rPr>
                                </w:pPr>
                                <w:r w:rsidRPr="003D0862">
                                  <w:rPr>
                                    <w:rFonts w:eastAsia="SimSun"/>
                                    <w:color w:val="000000"/>
                                    <w:sz w:val="16"/>
                                    <w:szCs w:val="16"/>
                                  </w:rPr>
                                  <w:t>the costs necessary to rectify that Defect</w:t>
                                </w:r>
                              </w:p>
                              <w:p w14:paraId="131536A6" w14:textId="77777777" w:rsidR="00432B4E" w:rsidRPr="00992B7E" w:rsidRDefault="00432B4E" w:rsidP="00432B4E">
                                <w:pPr>
                                  <w:keepLines w:val="0"/>
                                  <w:numPr>
                                    <w:ilvl w:val="0"/>
                                    <w:numId w:val="71"/>
                                  </w:numPr>
                                  <w:spacing w:before="0" w:after="0" w:line="240" w:lineRule="auto"/>
                                  <w:ind w:left="216" w:hanging="216"/>
                                  <w:rPr>
                                    <w:rFonts w:eastAsia="SimSun"/>
                                    <w:color w:val="000000"/>
                                    <w:sz w:val="16"/>
                                    <w:szCs w:val="16"/>
                                  </w:rPr>
                                </w:pPr>
                                <w:r w:rsidRPr="003D0862">
                                  <w:rPr>
                                    <w:rFonts w:eastAsia="SimSun"/>
                                    <w:color w:val="000000"/>
                                    <w:sz w:val="16"/>
                                    <w:szCs w:val="16"/>
                                  </w:rPr>
                                  <w:t>the relevant diminution in value of the Works or the relevant Returned Assets (as applicable) as a consequence of that Defect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5598383" name="Rectangle 2015598383"/>
                          <wps:cNvSpPr/>
                          <wps:spPr>
                            <a:xfrm>
                              <a:off x="5324110" y="3766069"/>
                              <a:ext cx="2323597" cy="600557"/>
                            </a:xfrm>
                            <a:prstGeom prst="rect">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CCB39" w14:textId="77777777" w:rsidR="00432B4E" w:rsidRPr="003D0862" w:rsidRDefault="00432B4E" w:rsidP="00CA13AB">
                                <w:pPr>
                                  <w:spacing w:before="0" w:after="0" w:line="216" w:lineRule="auto"/>
                                  <w:rPr>
                                    <w:rFonts w:eastAsia="SimSun"/>
                                    <w:color w:val="000000"/>
                                    <w:sz w:val="16"/>
                                    <w:szCs w:val="16"/>
                                  </w:rPr>
                                </w:pPr>
                                <w:r w:rsidRPr="003D0862">
                                  <w:rPr>
                                    <w:rFonts w:eastAsia="SimSun"/>
                                    <w:color w:val="000000"/>
                                    <w:sz w:val="16"/>
                                    <w:szCs w:val="16"/>
                                  </w:rPr>
                                  <w:t xml:space="preserve">Prior to the Date of Practical Completion where the Principal has </w:t>
                                </w:r>
                                <w:r w:rsidRPr="00AB08B8">
                                  <w:rPr>
                                    <w:rFonts w:eastAsia="SimSun"/>
                                    <w:b/>
                                    <w:bCs/>
                                    <w:color w:val="000000"/>
                                    <w:sz w:val="16"/>
                                    <w:szCs w:val="16"/>
                                  </w:rPr>
                                  <w:t>NOT</w:t>
                                </w:r>
                                <w:r w:rsidRPr="003D0862">
                                  <w:rPr>
                                    <w:rFonts w:eastAsia="SimSun"/>
                                    <w:color w:val="000000"/>
                                    <w:sz w:val="16"/>
                                    <w:szCs w:val="16"/>
                                  </w:rPr>
                                  <w:t xml:space="preserve"> given the Contractor notice of the Defect will be a </w:t>
                                </w:r>
                                <w:r w:rsidRPr="00A13178">
                                  <w:rPr>
                                    <w:rFonts w:eastAsia="SimSun"/>
                                    <w:b/>
                                    <w:bCs/>
                                    <w:color w:val="000000"/>
                                    <w:sz w:val="16"/>
                                    <w:szCs w:val="16"/>
                                  </w:rPr>
                                  <w:t>Reimbursable Cost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84" name="Rectangle 2015598384"/>
                          <wps:cNvSpPr/>
                          <wps:spPr>
                            <a:xfrm>
                              <a:off x="5095212" y="3325882"/>
                              <a:ext cx="2552494" cy="362663"/>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749CD" w14:textId="77777777" w:rsidR="00432B4E" w:rsidRPr="003D0862" w:rsidRDefault="00432B4E" w:rsidP="00432B4E">
                                <w:pPr>
                                  <w:spacing w:before="0" w:after="0" w:line="240" w:lineRule="auto"/>
                                  <w:ind w:left="360" w:hanging="360"/>
                                  <w:rPr>
                                    <w:rFonts w:eastAsia="SimSun"/>
                                    <w:color w:val="000000"/>
                                    <w:sz w:val="16"/>
                                    <w:szCs w:val="16"/>
                                  </w:rPr>
                                </w:pPr>
                                <w:r w:rsidRPr="003D0862">
                                  <w:rPr>
                                    <w:rFonts w:eastAsia="SimSun"/>
                                    <w:color w:val="000000"/>
                                    <w:sz w:val="16"/>
                                    <w:szCs w:val="16"/>
                                  </w:rPr>
                                  <w:t>The Contractor</w:t>
                                </w:r>
                                <w:r>
                                  <w:rPr>
                                    <w:rFonts w:eastAsia="SimSun"/>
                                    <w:color w:val="000000"/>
                                    <w:sz w:val="16"/>
                                    <w:szCs w:val="16"/>
                                  </w:rPr>
                                  <w:t>’</w:t>
                                </w:r>
                                <w:r w:rsidRPr="003D0862">
                                  <w:rPr>
                                    <w:rFonts w:eastAsia="SimSun"/>
                                    <w:color w:val="000000"/>
                                    <w:sz w:val="16"/>
                                    <w:szCs w:val="16"/>
                                  </w:rPr>
                                  <w:t>s cost of rectifying Defects: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5598385" name="Rectangle 2015598385"/>
                          <wps:cNvSpPr/>
                          <wps:spPr>
                            <a:xfrm>
                              <a:off x="5324110" y="4502602"/>
                              <a:ext cx="2323465" cy="582831"/>
                            </a:xfrm>
                            <a:prstGeom prst="rect">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2DE0A" w14:textId="77777777" w:rsidR="00432B4E" w:rsidRPr="003D0862" w:rsidRDefault="00432B4E" w:rsidP="00CA13AB">
                                <w:pPr>
                                  <w:spacing w:before="0" w:after="0" w:line="216" w:lineRule="auto"/>
                                  <w:rPr>
                                    <w:rFonts w:eastAsia="SimSun"/>
                                    <w:color w:val="000000"/>
                                    <w:sz w:val="16"/>
                                    <w:szCs w:val="16"/>
                                  </w:rPr>
                                </w:pPr>
                                <w:r w:rsidRPr="003D0862">
                                  <w:rPr>
                                    <w:rFonts w:eastAsia="SimSun"/>
                                    <w:color w:val="000000"/>
                                    <w:sz w:val="16"/>
                                    <w:szCs w:val="16"/>
                                  </w:rPr>
                                  <w:t xml:space="preserve">Prior to the Date of Practical Completion where the Principal </w:t>
                                </w:r>
                                <w:r w:rsidRPr="00A13178">
                                  <w:rPr>
                                    <w:rFonts w:eastAsia="SimSun"/>
                                    <w:b/>
                                    <w:bCs/>
                                    <w:color w:val="000000"/>
                                    <w:sz w:val="16"/>
                                    <w:szCs w:val="16"/>
                                  </w:rPr>
                                  <w:t>HAS</w:t>
                                </w:r>
                                <w:r w:rsidRPr="003D0862">
                                  <w:rPr>
                                    <w:rFonts w:eastAsia="SimSun"/>
                                    <w:color w:val="000000"/>
                                    <w:sz w:val="16"/>
                                    <w:szCs w:val="16"/>
                                  </w:rPr>
                                  <w:t xml:space="preserve"> given the Contractor notice of the Defect will </w:t>
                                </w:r>
                                <w:r w:rsidRPr="00A13178">
                                  <w:rPr>
                                    <w:rFonts w:eastAsia="SimSun"/>
                                    <w:b/>
                                    <w:bCs/>
                                    <w:color w:val="000000"/>
                                    <w:sz w:val="16"/>
                                    <w:szCs w:val="16"/>
                                  </w:rPr>
                                  <w:t>NOT</w:t>
                                </w:r>
                                <w:r w:rsidRPr="003D0862">
                                  <w:rPr>
                                    <w:rFonts w:eastAsia="SimSun"/>
                                    <w:color w:val="000000"/>
                                    <w:sz w:val="16"/>
                                    <w:szCs w:val="16"/>
                                  </w:rPr>
                                  <w:t xml:space="preserve"> be a Reimbursable Cost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86" name="Rectangle 2015598386"/>
                          <wps:cNvSpPr/>
                          <wps:spPr>
                            <a:xfrm>
                              <a:off x="5323976" y="5202780"/>
                              <a:ext cx="2323465" cy="582295"/>
                            </a:xfrm>
                            <a:prstGeom prst="rect">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A0054" w14:textId="77777777" w:rsidR="00432B4E" w:rsidRPr="003D0862" w:rsidRDefault="00432B4E" w:rsidP="00CA13AB">
                                <w:pPr>
                                  <w:spacing w:before="0" w:after="0" w:line="216" w:lineRule="auto"/>
                                  <w:rPr>
                                    <w:rFonts w:eastAsia="SimSun"/>
                                    <w:color w:val="000000"/>
                                    <w:sz w:val="16"/>
                                    <w:szCs w:val="16"/>
                                  </w:rPr>
                                </w:pPr>
                                <w:r w:rsidRPr="003D0862">
                                  <w:rPr>
                                    <w:rFonts w:eastAsia="SimSun"/>
                                    <w:color w:val="000000"/>
                                    <w:sz w:val="16"/>
                                    <w:szCs w:val="16"/>
                                  </w:rPr>
                                  <w:t xml:space="preserve">After the Date of Practical Completion will </w:t>
                                </w:r>
                                <w:r w:rsidRPr="00A13178">
                                  <w:rPr>
                                    <w:rFonts w:eastAsia="SimSun"/>
                                    <w:b/>
                                    <w:bCs/>
                                    <w:color w:val="000000"/>
                                    <w:sz w:val="16"/>
                                    <w:szCs w:val="16"/>
                                  </w:rPr>
                                  <w:t>NOT</w:t>
                                </w:r>
                                <w:r w:rsidRPr="003D0862">
                                  <w:rPr>
                                    <w:rFonts w:eastAsia="SimSun"/>
                                    <w:color w:val="000000"/>
                                    <w:sz w:val="16"/>
                                    <w:szCs w:val="16"/>
                                  </w:rPr>
                                  <w:t xml:space="preserve"> be a Reimbursable Cost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2015598387" name="Connector: Elbow 2015598387"/>
                          <wps:cNvCnPr/>
                          <wps:spPr>
                            <a:xfrm rot="5400000">
                              <a:off x="3836689" y="2378064"/>
                              <a:ext cx="355519" cy="1545404"/>
                            </a:xfrm>
                            <a:prstGeom prst="bentConnector3">
                              <a:avLst>
                                <a:gd name="adj1" fmla="val 5000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88" name="Connector: Elbow 2015598388"/>
                          <wps:cNvCnPr/>
                          <wps:spPr>
                            <a:xfrm rot="16200000" flipH="1">
                              <a:off x="5402867" y="2357289"/>
                              <a:ext cx="352875" cy="1584309"/>
                            </a:xfrm>
                            <a:prstGeom prst="bentConnector3">
                              <a:avLst>
                                <a:gd name="adj1" fmla="val 5000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89" name="Connector: Elbow 2015598389"/>
                          <wps:cNvCnPr/>
                          <wps:spPr>
                            <a:xfrm rot="10800000" flipH="1" flipV="1">
                              <a:off x="5095212" y="3507214"/>
                              <a:ext cx="228898" cy="559134"/>
                            </a:xfrm>
                            <a:prstGeom prst="bentConnector3">
                              <a:avLst>
                                <a:gd name="adj1" fmla="val -9987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0" name="Connector: Elbow 2015598390"/>
                          <wps:cNvCnPr/>
                          <wps:spPr>
                            <a:xfrm rot="10800000" flipH="1" flipV="1">
                              <a:off x="5095212" y="3507214"/>
                              <a:ext cx="228898" cy="1286804"/>
                            </a:xfrm>
                            <a:prstGeom prst="bentConnector3">
                              <a:avLst>
                                <a:gd name="adj1" fmla="val -9987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1" name="Connector: Elbow 2015598391"/>
                          <wps:cNvCnPr/>
                          <wps:spPr>
                            <a:xfrm rot="10800000" flipH="1" flipV="1">
                              <a:off x="5095212" y="3507214"/>
                              <a:ext cx="228764" cy="1986714"/>
                            </a:xfrm>
                            <a:prstGeom prst="bentConnector3">
                              <a:avLst>
                                <a:gd name="adj1" fmla="val -99928"/>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3" name="Straight Arrow Connector 2015598393"/>
                          <wps:cNvCnPr/>
                          <wps:spPr>
                            <a:xfrm flipH="1">
                              <a:off x="4787150" y="2322667"/>
                              <a:ext cx="4890" cy="186626"/>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4" name="Connector: Elbow 2015598394"/>
                          <wps:cNvCnPr/>
                          <wps:spPr>
                            <a:xfrm rot="16200000" flipH="1">
                              <a:off x="3857163" y="1003116"/>
                              <a:ext cx="402585" cy="1467170"/>
                            </a:xfrm>
                            <a:prstGeom prst="bentConnector3">
                              <a:avLst>
                                <a:gd name="adj1" fmla="val 34857"/>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5" name="Connector: Elbow 2015598395"/>
                          <wps:cNvCnPr/>
                          <wps:spPr>
                            <a:xfrm rot="5400000">
                              <a:off x="5324335" y="1003049"/>
                              <a:ext cx="402650" cy="1467240"/>
                            </a:xfrm>
                            <a:prstGeom prst="bentConnector3">
                              <a:avLst>
                                <a:gd name="adj1" fmla="val 3486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6" name="Connector: Elbow 2015598396"/>
                          <wps:cNvCnPr/>
                          <wps:spPr>
                            <a:xfrm rot="5400000">
                              <a:off x="3934374" y="127096"/>
                              <a:ext cx="280448" cy="1499456"/>
                            </a:xfrm>
                            <a:prstGeom prst="bentConnector3">
                              <a:avLst>
                                <a:gd name="adj1" fmla="val 41639"/>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015598397" name="Connector: Elbow 2015598397"/>
                          <wps:cNvCnPr/>
                          <wps:spPr>
                            <a:xfrm rot="16200000" flipH="1">
                              <a:off x="5401617" y="159309"/>
                              <a:ext cx="280372" cy="1434954"/>
                            </a:xfrm>
                            <a:prstGeom prst="bentConnector3">
                              <a:avLst>
                                <a:gd name="adj1" fmla="val 41637"/>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3C4B76CF" id="Canvas 2015598398" o:spid="_x0000_s1026" editas="canvas" alt="Flow chart showing the process for defects" style="width:451.3pt;height:456.9pt;mso-position-horizontal-relative:char;mso-position-vertical-relative:line" coordsize="57315,5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3ukQgAAL1LAAAOAAAAZHJzL2Uyb0RvYy54bWzsXFuTmzYYfe9M/wPDe2IQiIsnTmZnm6Sd&#10;SdNMNm2etRjbdDBQwa69/fU9kkC+Lbb34s3uVHnYgBFCCJ3zne8Cb94t57l1nfI6K4uR7b52bCst&#10;knKcFdOR/ee3D68i26obVoxZXhbpyL5Ja/vd259/erOohikpZ2U+TrmFTop6uKhG9qxpquFgUCez&#10;dM7q12WVFjg4KfmcNdjl08GYswV6n+cD4jjBYFHyccXLJK1r/PqLOmi/lf1PJmnS/DGZ1Glj5SMb&#10;Y2vkXy7/Xoq/g7dv2HDKWTXLknYY7B6jmLOswEV1V7+whllXPNvpap4lvKzLSfM6KeeDcjLJklTe&#10;A+7Gdbbu5pwV16yWN5NgdroBYusR+72cinHXZZ6NP2R5LnYqXjfnObeuGWZtMcuaVMzTYKPVAKMY&#10;inPF/ws8xxRNFtV0uJhW+nliDWw90Dvd/0deXlXy9qfD5PP1F25l45GNiaI0jrwwsK2CzbGoZDtr&#10;7fd2KDjnI68uqi+8/WGq9sQ9Lid8Lv7HI7CWI9ujcRzb1s3IDuIAPeMENkyXjZXgIA3dgBDfthIc&#10;xw710Fa2SGZYXuJ8N/ZcP/K2e0hm7w/0gVlVQ8GETrES5XDFTAIP9Wom64fN5MWMVamcyfq2mQy7&#10;mfwKwLBimqer2QzFnYrhYDb1VNbDGrN62zz6fuiHdHseupkkIfVCx1UzGQRBjFlF93oS1Nr7mJZz&#10;SyzCkc0xIIybDdn1p7pRTcUR0UT8vLFuJWukeuWyJEmLxm0vsNEyL8TJRSlWvOpU/IJH0N2Y3Gpu&#10;8lS0y4uv6QRrD8+ZyMH0XEgOaMbGqUIOdfCvu7ogNDE0ebOyQ9F6guvrvt19fatRtu3FqalkN32y&#10;c/hkfYa8clk0+uR5VpT8tg5yPX0T1b6bJDU1Ypaa5eUSgxObl+X4BiDlpaLZuko+ZHhWn1jdfGEc&#10;vAoGhq3A0VnJ/7WtBXh3ZNf/XDGe2lb+W4FV7tOQCKJe3+HrO5frO8XV/LwESWFF4WpyEyfzJu82&#10;J7ycf4eJOBNXxSFWJLj2yE4a3u2cN8oewMgk6dmZbAZyrljzqbgQVKuei1h135bfGa/apdlgUX8u&#10;O2TtrFDVVkx1UZ5dNeUkk8t3NU/tVALlTw132GRFnLfAPboT3P0odCJKJNxdxw3ikIjzV9RJwjCI&#10;KPhAUqcL1pYNDOAFmbxcwEtDLJl1tZ4N7qVwesa4h8Dpxb0UNOJhHmXmIXcCL4QigiAC7kPHl7yx&#10;ifs4bg09Be6Dzg53wquz4sbQK7WwqVaeqaFXArwzEcberynS54v7CLqnD/c41oq3O+BeuTnggDCO&#10;pX5f4R7eket5aCDsvRf5QeiJC5zS3itJnl/Nfy/HCkoIDCjhDel+NRcemvRko+5njEYreDm2fb4B&#10;GzYsy98XY6u5qeBs1k3K8mYG9Tqy8ylka4rABzbUXRo34gFuhGQXuV6Mqtjyd58xu8DI97KLlojH&#10;sosOohDqxCSWi6GHXXwoEPeE4YPLaSdZtuhBIJ9EFFEO4elsHNS0cptNX2sJBjJM8VCmkM/+sZgi&#10;dn3/9rhDe8TEHQ4HrLtgSOtHbAVsI8QJeplChgXu6H8oHeJ5ACPZCtmSwHVCv407uDSKsXc6IWKo&#10;AoT2nF0W2qncx3BZDFWIXN1JMxIik9JLFVohHiUqqEd81wW1C4ckDAInaHM3OifhEWR/kAIRLkvg&#10;OJTKlMdpXJa9TOGSEH6LERV7VdTpshjS/ZB25LFEhUlmnJ4pEITsZQqtEI9jCiemxFXJDIgKGkGw&#10;bCYzKCU+Ih4quBGQIDhhcGMvUxj344fmOyVT6MS40RQvIwwKb6CXKbRAPI4p1jSFTx0SONtMAU3h&#10;B13aMyKR18USTpD+2MsURlP8eKbQOfXHYAqjKU6vKXRl2W6BRKQF4rFM4cWiUg2+BSUOCVXCZRXS&#10;JFtMQWJJRcb7UBHU/08NldQUOgtvmOJlaApdOXleFgVqFUs+tN7nl+VCF1BGWieCMM6Ltha1qzNU&#10;1Z+qdIb6IkGpzFVXlorCiSBShanEA3kE0qVZ0YdHKXVxXMQuXOqjiwNhzkuUROqxejLYIFNNIuow&#10;HbcCiY3/RlZnMs9Rs4fUqbWOwrY1CKqr4BCn5oXIirixQx8QwDhJqvWIIqvbyzGP0A1PHfJslp2M&#10;7C3HVMQhktEiiPH0xYWRLi7Uq2wHEVoPHUIEyq4VJKxJnlW/dhVzLTiw2EkUAIFY+wjhhQRA2fDX&#10;PUoiUYuswBH5niMb9NtWAw5R8b9ZiWTAcZdXNg5kwHQFXj84tAQ4CA5HFrQgsq3BIbf+2obJeliL&#10;OiFRSfOVDSEkimLAVsAEb1a43ilMyKs4Rq1wm4IzNmT1XoKxITtv9sS6YK0XJmgCqm/zxXtVlXsK&#10;mLgwPNFJpJbBSc/7OwYnuzjRpVf9OFmvwHoynIRwU5TqiiHQDhVp3Ut1AScxkUIScs7YE2NP9rzf&#10;iDLC1rG9aDjLprPGOuMcPrqGjfbWVcXhAbui9ZbwfFtnxA8jvBiqygwQ00NuUPr9K5XlowapBUUU&#10;IHfYSqGefEDdDlSPULmxcqEL5854309fcPQCvG+RnFY5Lr1wtr1vVbF/YIXLVzj3e98eKmBdJMDV&#10;K0CO57pbJXjwzmnUed94EQBvCe1f8/eyA56PcRi3YsdtN3JpVy7pBHA/ONbzwHvl0i3BWlFp5nm4&#10;iIjFOo7n+FvxKCAiECZCxqOACIKKY0XmPVbgvogIun6NMDLCaJ8w0onOfkSs5zvviggv9nz9miiK&#10;G+MtE0HgQ+PN0RYQeJmMHpBF9wKEDzPVBX4NIAwg9gHicD4PlcLHRp4OZS/cwFXZC5fGbW5i5S8A&#10;G+JjCS02PD+mpwjLCmwY+bSb9XgZ8kl+MwgfXJLZvkR8Ikq6hu33rMRHqNb3ZavVV7fe/gcAAP//&#10;AwBQSwMEFAAGAAgAAAAhAOE9yYfdAAAABQEAAA8AAABkcnMvZG93bnJldi54bWxMj0FLxDAQhe+C&#10;/yGM4M1Nti611qaLCIroYXUteM02s20wmZQmu63+eqMXvQxveMN731Tr2Vl2xDEYTxKWCwEMqfXa&#10;UCehebu/KICFqEgr6wklfGKAdX16UqlS+4le8biNHUshFEoloY9xKDkPbY9OhYUfkJK396NTMa1j&#10;x/WophTuLM+EyLlThlJDrwa867H92B6chFW2t8XLQ/789dg009P7ylyJjZHy/Gy+vQEWcY5/x/CD&#10;n9ChTkw7fyAdmJWQHom/M3nXIsuB7ZJYXhbA64r/p6+/AQAA//8DAFBLAQItABQABgAIAAAAIQC2&#10;gziS/gAAAOEBAAATAAAAAAAAAAAAAAAAAAAAAABbQ29udGVudF9UeXBlc10ueG1sUEsBAi0AFAAG&#10;AAgAAAAhADj9If/WAAAAlAEAAAsAAAAAAAAAAAAAAAAALwEAAF9yZWxzLy5yZWxzUEsBAi0AFAAG&#10;AAgAAAAhAKs1ze6RCAAAvUsAAA4AAAAAAAAAAAAAAAAALgIAAGRycy9lMm9Eb2MueG1sUEsBAi0A&#10;FAAGAAgAAAAhAOE9yYfdAAAABQEAAA8AAAAAAAAAAAAAAAAA6woAAGRycy9kb3ducmV2LnhtbFBL&#10;BQYAAAAABAAEAPMAAAD1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low chart showing the process for defects" style="position:absolute;width:57315;height:58026;visibility:visible;mso-wrap-style:square" filled="t">
                  <v:fill o:detectmouseclick="t"/>
                  <v:path o:connecttype="none"/>
                </v:shape>
                <v:group id="Group 2015598376" o:spid="_x0000_s1028" style="position:absolute;left:359;top:696;width:57163;height:57154" coordorigin="19314,696" coordsize="57162,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PNzAAAAOMAAAAPAAAAZHJzL2Rvd25yZXYueG1sRI9Pa8JA&#10;FMTvBb/D8oTedBMl/kldRaSWHqRQFaS3R/aZBLNvQ3ZN4rfvFoQeh5n5DbPa9KYSLTWutKwgHkcg&#10;iDOrS84VnE/70QKE88gaK8uk4EEONuvBywpTbTv+pvbocxEg7FJUUHhfp1K6rCCDbmxr4uBdbWPQ&#10;B9nkUjfYBbip5CSKZtJgyWGhwJp2BWW3490o+Oiw207j9/Zwu+4eP6fk63KISanXYb99A+Gp9//h&#10;Z/tTK5hEcZIsF9P5DP4+hT8g178AAAD//wMAUEsBAi0AFAAGAAgAAAAhANvh9svuAAAAhQEAABMA&#10;AAAAAAAAAAAAAAAAAAAAAFtDb250ZW50X1R5cGVzXS54bWxQSwECLQAUAAYACAAAACEAWvQsW78A&#10;AAAVAQAACwAAAAAAAAAAAAAAAAAfAQAAX3JlbHMvLnJlbHNQSwECLQAUAAYACAAAACEAzUZjzcwA&#10;AADjAAAADwAAAAAAAAAAAAAAAAAHAgAAZHJzL2Rvd25yZXYueG1sUEsFBgAAAAADAAMAtwAAAAAD&#10;AAAAAA==&#10;">
                  <v:rect id="Rectangle 2015598377" o:spid="_x0000_s1029" style="position:absolute;left:34474;top:696;width:2753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nPygAAAOMAAAAPAAAAZHJzL2Rvd25yZXYueG1sRI9BSwMx&#10;FITvgv8hPMGbTbqlbl2bllKoiEJLW70/Nq+bpZuXJYnt+u+NIHgcZuYbZr4cXCcuFGLrWcN4pEAQ&#10;19603Gj4OG4eZiBiQjbYeSYN3xRhubi9mWNl/JX3dDmkRmQIxwo12JT6SspYW3IYR74nzt7JB4cp&#10;y9BIE/Ca4a6ThVKP0mHLecFiT2tL9fnw5TQch2b9eXrZWvV+nqAqTNm97YLW93fD6hlEoiH9h//a&#10;r0ZDocbT6dNsUpbw+yn/Abn4AQAA//8DAFBLAQItABQABgAIAAAAIQDb4fbL7gAAAIUBAAATAAAA&#10;AAAAAAAAAAAAAAAAAABbQ29udGVudF9UeXBlc10ueG1sUEsBAi0AFAAGAAgAAAAhAFr0LFu/AAAA&#10;FQEAAAsAAAAAAAAAAAAAAAAAHwEAAF9yZWxzLy5yZWxzUEsBAi0AFAAGAAgAAAAhAM81ec/KAAAA&#10;4wAAAA8AAAAAAAAAAAAAAAAABwIAAGRycy9kb3ducmV2LnhtbFBLBQYAAAAAAwADALcAAAD+AgAA&#10;AAA=&#10;" fillcolor="#87189d [3204]" stroked="f" strokeweight="2pt">
                    <v:textbox inset="3.6pt,,3.6pt">
                      <w:txbxContent>
                        <w:p w14:paraId="2F8F83E1" w14:textId="77777777" w:rsidR="00432B4E" w:rsidRPr="00AB08B8" w:rsidRDefault="00432B4E" w:rsidP="00432B4E">
                          <w:pPr>
                            <w:spacing w:before="0" w:after="0" w:line="240" w:lineRule="auto"/>
                            <w:rPr>
                              <w:rFonts w:asciiTheme="majorHAnsi" w:eastAsia="SimSun" w:hAnsiTheme="majorHAnsi"/>
                              <w:color w:val="FFFFFF" w:themeColor="background1"/>
                              <w:sz w:val="16"/>
                              <w:szCs w:val="16"/>
                            </w:rPr>
                          </w:pPr>
                          <w:r w:rsidRPr="00AB08B8">
                            <w:rPr>
                              <w:rFonts w:asciiTheme="majorHAnsi" w:eastAsia="SimSun" w:hAnsiTheme="majorHAnsi"/>
                              <w:color w:val="FFFFFF" w:themeColor="background1"/>
                              <w:sz w:val="16"/>
                              <w:szCs w:val="16"/>
                            </w:rPr>
                            <w:t>Defects</w:t>
                          </w:r>
                        </w:p>
                        <w:p w14:paraId="2FC3195E" w14:textId="77777777" w:rsidR="00432B4E" w:rsidRPr="00AB08B8" w:rsidRDefault="00432B4E" w:rsidP="00432B4E">
                          <w:pPr>
                            <w:spacing w:before="0" w:after="0" w:line="240" w:lineRule="auto"/>
                            <w:rPr>
                              <w:rFonts w:eastAsia="SimSun"/>
                              <w:color w:val="FFFFFF" w:themeColor="background1"/>
                              <w:sz w:val="16"/>
                              <w:szCs w:val="16"/>
                            </w:rPr>
                          </w:pPr>
                          <w:r w:rsidRPr="00AB08B8">
                            <w:rPr>
                              <w:rFonts w:eastAsia="SimSun"/>
                              <w:color w:val="FFFFFF" w:themeColor="background1"/>
                              <w:sz w:val="16"/>
                              <w:szCs w:val="16"/>
                            </w:rPr>
                            <w:t xml:space="preserve">In the Works until the end of the </w:t>
                          </w:r>
                          <w:r>
                            <w:rPr>
                              <w:rFonts w:eastAsia="SimSun"/>
                              <w:color w:val="FFFFFF" w:themeColor="background1"/>
                              <w:sz w:val="16"/>
                              <w:szCs w:val="16"/>
                            </w:rPr>
                            <w:t xml:space="preserve">DLP </w:t>
                          </w:r>
                          <w:r w:rsidRPr="00AB08B8">
                            <w:rPr>
                              <w:rFonts w:eastAsia="SimSun"/>
                              <w:color w:val="FFFFFF" w:themeColor="background1"/>
                              <w:sz w:val="16"/>
                              <w:szCs w:val="16"/>
                            </w:rPr>
                            <w:t xml:space="preserve">or in the Returned Asset until the end of the relevant Returned Asset DLP </w:t>
                          </w:r>
                        </w:p>
                      </w:txbxContent>
                    </v:textbox>
                  </v:rect>
                  <v:rect id="Rectangle 2015598378" o:spid="_x0000_s1030" style="position:absolute;left:48708;top:10169;width:27769;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9xwAAAOMAAAAPAAAAZHJzL2Rvd25yZXYueG1sRE9NawIx&#10;EL0X+h/CCN5q4opVV6MUwSIttFTrfdiMm8XNZElSXf99cyj0+Hjfq03vWnGlEBvPGsYjBYK48qbh&#10;WsP3cfc0BxETssHWM2m4U4TN+vFhhaXxN/6i6yHVIodwLFGDTakrpYyVJYdx5DvizJ19cJgyDLU0&#10;AW853LWyUOpZOmw4N1jsaGupuhx+nIZjX29P59cPq94vE1SFmbVvn0Hr4aB/WYJI1Kd/8Z97bzQU&#10;ajydLuaTWR6dP+U/INe/AAAA//8DAFBLAQItABQABgAIAAAAIQDb4fbL7gAAAIUBAAATAAAAAAAA&#10;AAAAAAAAAAAAAABbQ29udGVudF9UeXBlc10ueG1sUEsBAi0AFAAGAAgAAAAhAFr0LFu/AAAAFQEA&#10;AAsAAAAAAAAAAAAAAAAAHwEAAF9yZWxzLy5yZWxzUEsBAi0AFAAGAAgAAAAhAL6q7b3HAAAA4wAA&#10;AA8AAAAAAAAAAAAAAAAABwIAAGRycy9kb3ducmV2LnhtbFBLBQYAAAAAAwADALcAAAD7AgAAAAA=&#10;" fillcolor="#87189d [3204]" stroked="f" strokeweight="2pt">
                    <v:textbox inset="3.6pt,,3.6pt">
                      <w:txbxContent>
                        <w:p w14:paraId="239AB546" w14:textId="77777777" w:rsidR="00432B4E" w:rsidRPr="00AB08B8" w:rsidRDefault="00432B4E" w:rsidP="00432B4E">
                          <w:pPr>
                            <w:spacing w:before="0" w:after="0" w:line="240" w:lineRule="auto"/>
                            <w:rPr>
                              <w:rFonts w:eastAsia="SimSun"/>
                              <w:color w:val="FFFFFF" w:themeColor="background1"/>
                              <w:sz w:val="16"/>
                              <w:szCs w:val="16"/>
                            </w:rPr>
                          </w:pPr>
                          <w:r w:rsidRPr="00AB08B8">
                            <w:rPr>
                              <w:rFonts w:eastAsia="SimSun"/>
                              <w:color w:val="FFFFFF" w:themeColor="background1"/>
                              <w:sz w:val="16"/>
                              <w:szCs w:val="16"/>
                            </w:rPr>
                            <w:t>The Principal may give notice to the Contractor and the Principal Representative if it believes that there is a Defect or likely Defect</w:t>
                          </w:r>
                        </w:p>
                      </w:txbxContent>
                    </v:textbox>
                  </v:rect>
                  <v:rect id="Rectangle 2015598379" o:spid="_x0000_s1031" style="position:absolute;left:19363;top:10170;width:27770;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gmygAAAOMAAAAPAAAAZHJzL2Rvd25yZXYueG1sRI/dagIx&#10;FITvC32HcAq9q4krVt0aRQRLsdDiT+8Pm+NmcXOyJKlu374RCr0cZuYbZr7sXSsuFGLjWcNwoEAQ&#10;V940XGs4HjZPUxAxIRtsPZOGH4qwXNzfzbE0/so7uuxTLTKEY4kabEpdKWWsLDmMA98RZ+/kg8OU&#10;ZailCXjNcNfKQqln6bDhvGCxo7Wl6rz/dhoOfb3+Or1+WPV+HqEqzKTdfgatHx/61QuIRH36D/+1&#10;34yGQg3H49l0NJnB7VP+A3LxCwAA//8DAFBLAQItABQABgAIAAAAIQDb4fbL7gAAAIUBAAATAAAA&#10;AAAAAAAAAAAAAAAAAABbQ29udGVudF9UeXBlc10ueG1sUEsBAi0AFAAGAAgAAAAhAFr0LFu/AAAA&#10;FQEAAAsAAAAAAAAAAAAAAAAAHwEAAF9yZWxzLy5yZWxzUEsBAi0AFAAGAAgAAAAhANHmSCbKAAAA&#10;4wAAAA8AAAAAAAAAAAAAAAAABwIAAGRycy9kb3ducmV2LnhtbFBLBQYAAAAAAwADALcAAAD+AgAA&#10;AAA=&#10;" fillcolor="#87189d [3204]" stroked="f" strokeweight="2pt">
                    <v:textbox inset="3.6pt,,3.6pt">
                      <w:txbxContent>
                        <w:p w14:paraId="1EF1339F" w14:textId="77777777" w:rsidR="00432B4E" w:rsidRPr="00AB08B8" w:rsidRDefault="00432B4E" w:rsidP="00432B4E">
                          <w:pPr>
                            <w:spacing w:before="0" w:after="0" w:line="240" w:lineRule="auto"/>
                            <w:rPr>
                              <w:rFonts w:eastAsia="SimSun"/>
                              <w:color w:val="FFFFFF" w:themeColor="background1"/>
                              <w:sz w:val="16"/>
                              <w:szCs w:val="16"/>
                            </w:rPr>
                          </w:pPr>
                          <w:r w:rsidRPr="00AB08B8">
                            <w:rPr>
                              <w:rFonts w:eastAsia="SimSun"/>
                              <w:color w:val="FFFFFF" w:themeColor="background1"/>
                              <w:sz w:val="16"/>
                              <w:szCs w:val="16"/>
                            </w:rPr>
                            <w:t>The Contractor must notify the Principal and the Principal Representative if it identifies a Defect or likely Defect in the Works or a Returned Asset</w:t>
                          </w:r>
                        </w:p>
                      </w:txbxContent>
                    </v:textbox>
                  </v:rect>
                  <v:rect id="Rectangle 2015598380" o:spid="_x0000_s1032" style="position:absolute;left:19363;top:19379;width:57114;height: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bAyAAAAOMAAAAPAAAAZHJzL2Rvd25yZXYueG1sRI9NasMw&#10;EIX3hd5BTKG7RkqKi+tGCcW0ELKL2wMM1kQ2sUaOpDjO7atFoMvH++Nbb2c3iIlC7D1rWC4UCOLW&#10;m56tht+f75cSREzIBgfPpOFGEbabx4c1VsZf+UBTk6zIIxwr1NClNFZSxrYjh3HhR+LsHX1wmLIM&#10;VpqA1zzuBrlS6k067Dk/dDhS3VF7ai5Ow1e9PxXKN9PluLPnaA+3cOZa6+en+fMDRKI5/Yfv7Z3R&#10;sFLLongvX8tMkZkyD8jNHwAAAP//AwBQSwECLQAUAAYACAAAACEA2+H2y+4AAACFAQAAEwAAAAAA&#10;AAAAAAAAAAAAAAAAW0NvbnRlbnRfVHlwZXNdLnhtbFBLAQItABQABgAIAAAAIQBa9CxbvwAAABUB&#10;AAALAAAAAAAAAAAAAAAAAB8BAABfcmVscy8ucmVsc1BLAQItABQABgAIAAAAIQB0DZbAyAAAAOMA&#10;AAAPAAAAAAAAAAAAAAAAAAcCAABkcnMvZG93bnJldi54bWxQSwUGAAAAAAMAAwC3AAAA/AIAAAAA&#10;" fillcolor="#eedef1 [661]" stroked="f" strokeweight="2pt">
                    <v:stroke endarrow="classic" endarrowwidth="wide" endarrowlength="long"/>
                    <v:textbox inset="3.6pt,,3.6pt">
                      <w:txbxContent>
                        <w:p w14:paraId="5249EAD8" w14:textId="77777777" w:rsidR="00432B4E" w:rsidRPr="00CA5722" w:rsidRDefault="00432B4E" w:rsidP="00432B4E">
                          <w:pPr>
                            <w:spacing w:before="0" w:after="0" w:line="240" w:lineRule="auto"/>
                            <w:rPr>
                              <w:rFonts w:eastAsia="SimSun"/>
                              <w:sz w:val="16"/>
                              <w:szCs w:val="16"/>
                            </w:rPr>
                          </w:pPr>
                          <w:r w:rsidRPr="00CA5722">
                            <w:rPr>
                              <w:rFonts w:eastAsia="SimSun"/>
                              <w:sz w:val="16"/>
                              <w:szCs w:val="16"/>
                            </w:rPr>
                            <w:t>The Contractor must develop, submit, update and comply with the Defect Corrective Action Plan in accordance with clause 28.4</w:t>
                          </w:r>
                        </w:p>
                      </w:txbxContent>
                    </v:textbox>
                  </v:rect>
                  <v:rect id="Rectangle 2015598381" o:spid="_x0000_s1033" style="position:absolute;left:19314;top:25092;width:57114;height: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WWywAAAOMAAAAPAAAAZHJzL2Rvd25yZXYueG1sRI9PawIx&#10;FMTvhX6H8Aq9abKK7bo1ShVKC+Kh/sHrY/O6u3TzsmxSjf30piD0OMzMb5jZItpWnKj3jWMN2VCB&#10;IC6dabjSsN+9DXIQPiAbbB2Thgt5WMzv72ZYGHfmTzptQyUShH2BGuoQukJKX9Zk0Q9dR5y8L9db&#10;DEn2lTQ9nhPctnKk1JO02HBaqLGjVU3l9/bHalhv1GF5NNE9/8b3/LI6emVar/XjQ3x9AREohv/w&#10;rf1hNIxUNplM83Gewd+n9Afk/AoAAP//AwBQSwECLQAUAAYACAAAACEA2+H2y+4AAACFAQAAEwAA&#10;AAAAAAAAAAAAAAAAAAAAW0NvbnRlbnRfVHlwZXNdLnhtbFBLAQItABQABgAIAAAAIQBa9CxbvwAA&#10;ABUBAAALAAAAAAAAAAAAAAAAAB8BAABfcmVscy8ucmVsc1BLAQItABQABgAIAAAAIQCbaxWWywAA&#10;AOMAAAAPAAAAAAAAAAAAAAAAAAcCAABkcnMvZG93bnJldi54bWxQSwUGAAAAAAMAAwC3AAAA/wIA&#10;AAAA&#10;" fillcolor="white [3212]" strokecolor="#87189d [3204]" strokeweight="2.25pt">
                    <v:textbox>
                      <w:txbxContent>
                        <w:p w14:paraId="77066ECB" w14:textId="77777777" w:rsidR="00432B4E" w:rsidRPr="003D0862" w:rsidRDefault="00432B4E" w:rsidP="00432B4E">
                          <w:pPr>
                            <w:spacing w:before="0" w:after="0" w:line="240" w:lineRule="auto"/>
                            <w:rPr>
                              <w:rFonts w:eastAsia="SimSun"/>
                              <w:color w:val="000000"/>
                              <w:sz w:val="16"/>
                              <w:szCs w:val="16"/>
                            </w:rPr>
                          </w:pPr>
                          <w:r w:rsidRPr="003D0862">
                            <w:rPr>
                              <w:rFonts w:eastAsia="SimSun"/>
                              <w:color w:val="000000"/>
                              <w:sz w:val="16"/>
                              <w:szCs w:val="16"/>
                            </w:rPr>
                            <w:t>The Contractor must promptly rectify all Defects in the Works as soon as they are identified</w:t>
                          </w:r>
                          <w:r>
                            <w:rPr>
                              <w:rFonts w:eastAsia="SimSun"/>
                              <w:color w:val="000000"/>
                              <w:sz w:val="16"/>
                              <w:szCs w:val="16"/>
                            </w:rPr>
                            <w:t>,</w:t>
                          </w:r>
                          <w:r w:rsidRPr="003D0862">
                            <w:rPr>
                              <w:rFonts w:eastAsia="SimSun"/>
                              <w:color w:val="000000"/>
                              <w:sz w:val="16"/>
                              <w:szCs w:val="16"/>
                            </w:rPr>
                            <w:t xml:space="preserve"> unless the Defect is a Defect </w:t>
                          </w:r>
                          <w:r>
                            <w:rPr>
                              <w:rFonts w:eastAsia="SimSun"/>
                              <w:color w:val="000000"/>
                              <w:sz w:val="16"/>
                              <w:szCs w:val="16"/>
                            </w:rPr>
                            <w:t xml:space="preserve">that </w:t>
                          </w:r>
                          <w:r w:rsidRPr="003D0862">
                            <w:rPr>
                              <w:rFonts w:eastAsia="SimSun"/>
                              <w:color w:val="000000"/>
                              <w:sz w:val="16"/>
                              <w:szCs w:val="16"/>
                            </w:rPr>
                            <w:t>the Principal accepts or rectifies in accordance with clause 28.6</w:t>
                          </w:r>
                        </w:p>
                      </w:txbxContent>
                    </v:textbox>
                  </v:rect>
                  <v:rect id="Rectangle 2015598382" o:spid="_x0000_s1034" style="position:absolute;left:19363;top:33285;width:26108;height:15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vhywAAAOMAAAAPAAAAZHJzL2Rvd25yZXYueG1sRI9PawIx&#10;FMTvhX6H8Aq9aeKK7bo1ShVKC+Kh/sHrY/O6u3TzsmxSjf30piD0OMzMb5jZItpWnKj3jWMNo6EC&#10;QVw603ClYb97G+QgfEA22DomDRfysJjf382wMO7Mn3TahkokCPsCNdQhdIWUvqzJoh+6jjh5X663&#10;GJLsK2l6PCe4bWWm1JO02HBaqLGjVU3l9/bHalhv1GF5NNE9/8b3/LI6emVar/XjQ3x9AREohv/w&#10;rf1hNGRqNJlM83Gewd+n9Afk/AoAAP//AwBQSwECLQAUAAYACAAAACEA2+H2y+4AAACFAQAAEwAA&#10;AAAAAAAAAAAAAAAAAAAAW0NvbnRlbnRfVHlwZXNdLnhtbFBLAQItABQABgAIAAAAIQBa9CxbvwAA&#10;ABUBAAALAAAAAAAAAAAAAAAAAB8BAABfcmVscy8ucmVsc1BLAQItABQABgAIAAAAIQBruYvhywAA&#10;AOMAAAAPAAAAAAAAAAAAAAAAAAcCAABkcnMvZG93bnJldi54bWxQSwUGAAAAAAMAAwC3AAAA/wIA&#10;AAAA&#10;" fillcolor="white [3212]" strokecolor="#87189d [3204]" strokeweight="2.25pt">
                    <v:textbox>
                      <w:txbxContent>
                        <w:p w14:paraId="31F5EF32" w14:textId="77777777" w:rsidR="00432B4E" w:rsidRPr="003D0862" w:rsidRDefault="00432B4E" w:rsidP="00432B4E">
                          <w:pPr>
                            <w:spacing w:before="0" w:after="0" w:line="240" w:lineRule="auto"/>
                            <w:rPr>
                              <w:rFonts w:eastAsia="SimSun"/>
                              <w:color w:val="000000"/>
                              <w:sz w:val="16"/>
                              <w:szCs w:val="16"/>
                            </w:rPr>
                          </w:pPr>
                          <w:r w:rsidRPr="003D0862">
                            <w:rPr>
                              <w:rFonts w:eastAsia="SimSun"/>
                              <w:color w:val="000000"/>
                              <w:sz w:val="16"/>
                              <w:szCs w:val="16"/>
                            </w:rPr>
                            <w:t>If the Principal accepts or rectifies (or engages others to rectify) a Defect in the Works or the Returned Assets, the Contractor must pay the Principal (as a debt due and payable) the greater of:</w:t>
                          </w:r>
                        </w:p>
                        <w:p w14:paraId="42E62B3A" w14:textId="77777777" w:rsidR="00432B4E" w:rsidRPr="00A13178" w:rsidRDefault="00432B4E" w:rsidP="00432B4E">
                          <w:pPr>
                            <w:keepLines w:val="0"/>
                            <w:numPr>
                              <w:ilvl w:val="0"/>
                              <w:numId w:val="71"/>
                            </w:numPr>
                            <w:spacing w:before="0" w:after="0" w:line="240" w:lineRule="auto"/>
                            <w:ind w:left="216" w:hanging="216"/>
                            <w:rPr>
                              <w:rFonts w:eastAsia="SimSun"/>
                              <w:color w:val="000000"/>
                              <w:sz w:val="16"/>
                              <w:szCs w:val="16"/>
                            </w:rPr>
                          </w:pPr>
                          <w:r w:rsidRPr="003D0862">
                            <w:rPr>
                              <w:rFonts w:eastAsia="SimSun"/>
                              <w:color w:val="000000"/>
                              <w:sz w:val="16"/>
                              <w:szCs w:val="16"/>
                            </w:rPr>
                            <w:t>the costs necessary to rectify that Defect</w:t>
                          </w:r>
                        </w:p>
                        <w:p w14:paraId="131536A6" w14:textId="77777777" w:rsidR="00432B4E" w:rsidRPr="00992B7E" w:rsidRDefault="00432B4E" w:rsidP="00432B4E">
                          <w:pPr>
                            <w:keepLines w:val="0"/>
                            <w:numPr>
                              <w:ilvl w:val="0"/>
                              <w:numId w:val="71"/>
                            </w:numPr>
                            <w:spacing w:before="0" w:after="0" w:line="240" w:lineRule="auto"/>
                            <w:ind w:left="216" w:hanging="216"/>
                            <w:rPr>
                              <w:rFonts w:eastAsia="SimSun"/>
                              <w:color w:val="000000"/>
                              <w:sz w:val="16"/>
                              <w:szCs w:val="16"/>
                            </w:rPr>
                          </w:pPr>
                          <w:r w:rsidRPr="003D0862">
                            <w:rPr>
                              <w:rFonts w:eastAsia="SimSun"/>
                              <w:color w:val="000000"/>
                              <w:sz w:val="16"/>
                              <w:szCs w:val="16"/>
                            </w:rPr>
                            <w:t>the relevant diminution in value of the Works or the relevant Returned Assets (as applicable) as a consequence of that Defect</w:t>
                          </w:r>
                        </w:p>
                      </w:txbxContent>
                    </v:textbox>
                  </v:rect>
                  <v:rect id="Rectangle 2015598383" o:spid="_x0000_s1035" style="position:absolute;left:53241;top:37660;width:23236;height: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JyQAAAOMAAAAPAAAAZHJzL2Rvd25yZXYueG1sRI9Ba8JA&#10;FITvBf/D8oTe6sZISoyuUgtSL0Jr9f6afSbB7Nuwu5r4791Cocdh5pthluvBtOJGzjeWFUwnCQji&#10;0uqGKwXH7+1LDsIHZI2tZVJwJw/r1ehpiYW2PX/R7RAqEUvYF6igDqErpPRlTQb9xHbE0TtbZzBE&#10;6SqpHfax3LQyTZJXabDhuFBjR+81lZfD1ShI+9PJ68x9Zpu0OdJls//4KedKPY+HtwWIQEP4D//R&#10;Ox25ZJpl83yWz+D3U/wDcvUAAAD//wMAUEsBAi0AFAAGAAgAAAAhANvh9svuAAAAhQEAABMAAAAA&#10;AAAAAAAAAAAAAAAAAFtDb250ZW50X1R5cGVzXS54bWxQSwECLQAUAAYACAAAACEAWvQsW78AAAAV&#10;AQAACwAAAAAAAAAAAAAAAAAfAQAAX3JlbHMvLnJlbHNQSwECLQAUAAYACAAAACEAcP3OSckAAADj&#10;AAAADwAAAAAAAAAAAAAAAAAHAgAAZHJzL2Rvd25yZXYueG1sUEsFBgAAAAADAAMAtwAAAP0CAAAA&#10;AA==&#10;" fillcolor="white [3212]" strokecolor="#87189d [3204]" strokeweight="1pt">
                    <v:textbox inset="3.6pt,,3.6pt">
                      <w:txbxContent>
                        <w:p w14:paraId="7DFCCB39" w14:textId="77777777" w:rsidR="00432B4E" w:rsidRPr="003D0862" w:rsidRDefault="00432B4E" w:rsidP="00CA13AB">
                          <w:pPr>
                            <w:spacing w:before="0" w:after="0" w:line="216" w:lineRule="auto"/>
                            <w:rPr>
                              <w:rFonts w:eastAsia="SimSun"/>
                              <w:color w:val="000000"/>
                              <w:sz w:val="16"/>
                              <w:szCs w:val="16"/>
                            </w:rPr>
                          </w:pPr>
                          <w:r w:rsidRPr="003D0862">
                            <w:rPr>
                              <w:rFonts w:eastAsia="SimSun"/>
                              <w:color w:val="000000"/>
                              <w:sz w:val="16"/>
                              <w:szCs w:val="16"/>
                            </w:rPr>
                            <w:t xml:space="preserve">Prior to the Date of Practical Completion where the Principal has </w:t>
                          </w:r>
                          <w:r w:rsidRPr="00AB08B8">
                            <w:rPr>
                              <w:rFonts w:eastAsia="SimSun"/>
                              <w:b/>
                              <w:bCs/>
                              <w:color w:val="000000"/>
                              <w:sz w:val="16"/>
                              <w:szCs w:val="16"/>
                            </w:rPr>
                            <w:t>NOT</w:t>
                          </w:r>
                          <w:r w:rsidRPr="003D0862">
                            <w:rPr>
                              <w:rFonts w:eastAsia="SimSun"/>
                              <w:color w:val="000000"/>
                              <w:sz w:val="16"/>
                              <w:szCs w:val="16"/>
                            </w:rPr>
                            <w:t xml:space="preserve"> given the Contractor notice of the Defect will be a </w:t>
                          </w:r>
                          <w:r w:rsidRPr="00A13178">
                            <w:rPr>
                              <w:rFonts w:eastAsia="SimSun"/>
                              <w:b/>
                              <w:bCs/>
                              <w:color w:val="000000"/>
                              <w:sz w:val="16"/>
                              <w:szCs w:val="16"/>
                            </w:rPr>
                            <w:t>Reimbursable Cost</w:t>
                          </w:r>
                        </w:p>
                      </w:txbxContent>
                    </v:textbox>
                  </v:rect>
                  <v:rect id="Rectangle 2015598384" o:spid="_x0000_s1036" style="position:absolute;left:50952;top:33258;width:25525;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YOywAAAOMAAAAPAAAAZHJzL2Rvd25yZXYueG1sRI9PawIx&#10;FMTvgt8hvEJvNdFWXVejtEJpofTgP7w+Nq+7i5uXZZNq7KdvCgWPw8z8hlmsom3EmTpfO9YwHCgQ&#10;xIUzNZca9rvXhwyED8gGG8ek4UoeVst+b4G5cRfe0HkbSpEg7HPUUIXQ5lL6oiKLfuBa4uR9uc5i&#10;SLIrpenwkuC2kSOlJtJizWmhwpbWFRWn7bfV8PGpDi9HE930J75l1/XRK9N4re/v4vMcRKAYbuH/&#10;9rvRMFLD8XiWPWZP8Pcp/QG5/AUAAP//AwBQSwECLQAUAAYACAAAACEA2+H2y+4AAACFAQAAEwAA&#10;AAAAAAAAAAAAAAAAAAAAW0NvbnRlbnRfVHlwZXNdLnhtbFBLAQItABQABgAIAAAAIQBa9CxbvwAA&#10;ABUBAAALAAAAAAAAAAAAAAAAAB8BAABfcmVscy8ucmVsc1BLAQItABQABgAIAAAAIQCLHLYOywAA&#10;AOMAAAAPAAAAAAAAAAAAAAAAAAcCAABkcnMvZG93bnJldi54bWxQSwUGAAAAAAMAAwC3AAAA/wIA&#10;AAAA&#10;" fillcolor="white [3212]" strokecolor="#87189d [3204]" strokeweight="2.25pt">
                    <v:textbox>
                      <w:txbxContent>
                        <w:p w14:paraId="28E749CD" w14:textId="77777777" w:rsidR="00432B4E" w:rsidRPr="003D0862" w:rsidRDefault="00432B4E" w:rsidP="00432B4E">
                          <w:pPr>
                            <w:spacing w:before="0" w:after="0" w:line="240" w:lineRule="auto"/>
                            <w:ind w:left="360" w:hanging="360"/>
                            <w:rPr>
                              <w:rFonts w:eastAsia="SimSun"/>
                              <w:color w:val="000000"/>
                              <w:sz w:val="16"/>
                              <w:szCs w:val="16"/>
                            </w:rPr>
                          </w:pPr>
                          <w:r w:rsidRPr="003D0862">
                            <w:rPr>
                              <w:rFonts w:eastAsia="SimSun"/>
                              <w:color w:val="000000"/>
                              <w:sz w:val="16"/>
                              <w:szCs w:val="16"/>
                            </w:rPr>
                            <w:t>The Contractor</w:t>
                          </w:r>
                          <w:r>
                            <w:rPr>
                              <w:rFonts w:eastAsia="SimSun"/>
                              <w:color w:val="000000"/>
                              <w:sz w:val="16"/>
                              <w:szCs w:val="16"/>
                            </w:rPr>
                            <w:t>’</w:t>
                          </w:r>
                          <w:r w:rsidRPr="003D0862">
                            <w:rPr>
                              <w:rFonts w:eastAsia="SimSun"/>
                              <w:color w:val="000000"/>
                              <w:sz w:val="16"/>
                              <w:szCs w:val="16"/>
                            </w:rPr>
                            <w:t>s cost of rectifying Defects:</w:t>
                          </w:r>
                        </w:p>
                      </w:txbxContent>
                    </v:textbox>
                  </v:rect>
                  <v:rect id="Rectangle 2015598385" o:spid="_x0000_s1037" style="position:absolute;left:53241;top:45026;width:23234;height:5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OmygAAAOMAAAAPAAAAZHJzL2Rvd25yZXYueG1sRI9Ba8JA&#10;FITvBf/D8oTe6saULTG6ihZKeym0Vu/P7DMJZt+G3a1J/323UPA4zHwzzGoz2k5cyYfWsYb5LANB&#10;XDnTcq3h8PXyUIAIEdlg55g0/FCAzXpyt8LSuIE/6bqPtUglHErU0MTYl1KGqiGLYeZ64uSdnbcY&#10;k/S1NB6HVG47mWfZk7TYclposKfnhqrL/ttqyIfjMRjlP9Qubw902b2/nqqF1vfTcbsEEWmMt/A/&#10;/WYSl82VWhSPhYK/T+kPyPUvAAAA//8DAFBLAQItABQABgAIAAAAIQDb4fbL7gAAAIUBAAATAAAA&#10;AAAAAAAAAAAAAAAAAABbQ29udGVudF9UeXBlc10ueG1sUEsBAi0AFAAGAAgAAAAhAFr0LFu/AAAA&#10;FQEAAAsAAAAAAAAAAAAAAAAAHwEAAF9yZWxzLy5yZWxzUEsBAi0AFAAGAAgAAAAhAJBY86bKAAAA&#10;4wAAAA8AAAAAAAAAAAAAAAAABwIAAGRycy9kb3ducmV2LnhtbFBLBQYAAAAAAwADALcAAAD+AgAA&#10;AAA=&#10;" fillcolor="white [3212]" strokecolor="#87189d [3204]" strokeweight="1pt">
                    <v:textbox inset="3.6pt,,3.6pt">
                      <w:txbxContent>
                        <w:p w14:paraId="4552DE0A" w14:textId="77777777" w:rsidR="00432B4E" w:rsidRPr="003D0862" w:rsidRDefault="00432B4E" w:rsidP="00CA13AB">
                          <w:pPr>
                            <w:spacing w:before="0" w:after="0" w:line="216" w:lineRule="auto"/>
                            <w:rPr>
                              <w:rFonts w:eastAsia="SimSun"/>
                              <w:color w:val="000000"/>
                              <w:sz w:val="16"/>
                              <w:szCs w:val="16"/>
                            </w:rPr>
                          </w:pPr>
                          <w:r w:rsidRPr="003D0862">
                            <w:rPr>
                              <w:rFonts w:eastAsia="SimSun"/>
                              <w:color w:val="000000"/>
                              <w:sz w:val="16"/>
                              <w:szCs w:val="16"/>
                            </w:rPr>
                            <w:t xml:space="preserve">Prior to the Date of Practical Completion where the Principal </w:t>
                          </w:r>
                          <w:r w:rsidRPr="00A13178">
                            <w:rPr>
                              <w:rFonts w:eastAsia="SimSun"/>
                              <w:b/>
                              <w:bCs/>
                              <w:color w:val="000000"/>
                              <w:sz w:val="16"/>
                              <w:szCs w:val="16"/>
                            </w:rPr>
                            <w:t>HAS</w:t>
                          </w:r>
                          <w:r w:rsidRPr="003D0862">
                            <w:rPr>
                              <w:rFonts w:eastAsia="SimSun"/>
                              <w:color w:val="000000"/>
                              <w:sz w:val="16"/>
                              <w:szCs w:val="16"/>
                            </w:rPr>
                            <w:t xml:space="preserve"> given the Contractor notice of the Defect will </w:t>
                          </w:r>
                          <w:r w:rsidRPr="00A13178">
                            <w:rPr>
                              <w:rFonts w:eastAsia="SimSun"/>
                              <w:b/>
                              <w:bCs/>
                              <w:color w:val="000000"/>
                              <w:sz w:val="16"/>
                              <w:szCs w:val="16"/>
                            </w:rPr>
                            <w:t>NOT</w:t>
                          </w:r>
                          <w:r w:rsidRPr="003D0862">
                            <w:rPr>
                              <w:rFonts w:eastAsia="SimSun"/>
                              <w:color w:val="000000"/>
                              <w:sz w:val="16"/>
                              <w:szCs w:val="16"/>
                            </w:rPr>
                            <w:t xml:space="preserve"> be a Reimbursable Cost</w:t>
                          </w:r>
                        </w:p>
                      </w:txbxContent>
                    </v:textbox>
                  </v:rect>
                  <v:rect id="Rectangle 2015598386" o:spid="_x0000_s1038" style="position:absolute;left:53239;top:52027;width:23235;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3RyQAAAOMAAAAPAAAAZHJzL2Rvd25yZXYueG1sRI9Ba8JA&#10;FITvQv/D8gq96caUSIyuUgulXgRr9f6afSbB7NuwuzXpv3cFocdh5pthluvBtOJKzjeWFUwnCQji&#10;0uqGKwXH749xDsIHZI2tZVLwRx7Wq6fREgtte/6i6yFUIpawL1BBHUJXSOnLmgz6ie2Io3e2zmCI&#10;0lVSO+xjuWllmiQzabDhuFBjR+81lZfDr1GQ9qeT15nbZ5u0OdJls/v8KedKvTwPbwsQgYbwH37Q&#10;Wx25ZJpl8/w1n8H9U/wDcnUDAAD//wMAUEsBAi0AFAAGAAgAAAAhANvh9svuAAAAhQEAABMAAAAA&#10;AAAAAAAAAAAAAAAAAFtDb250ZW50X1R5cGVzXS54bWxQSwECLQAUAAYACAAAACEAWvQsW78AAAAV&#10;AQAACwAAAAAAAAAAAAAAAAAfAQAAX3JlbHMvLnJlbHNQSwECLQAUAAYACAAAACEAYIpt0ckAAADj&#10;AAAADwAAAAAAAAAAAAAAAAAHAgAAZHJzL2Rvd25yZXYueG1sUEsFBgAAAAADAAMAtwAAAP0CAAAA&#10;AA==&#10;" fillcolor="white [3212]" strokecolor="#87189d [3204]" strokeweight="1pt">
                    <v:textbox inset="3.6pt,,3.6pt">
                      <w:txbxContent>
                        <w:p w14:paraId="4DAA0054" w14:textId="77777777" w:rsidR="00432B4E" w:rsidRPr="003D0862" w:rsidRDefault="00432B4E" w:rsidP="00CA13AB">
                          <w:pPr>
                            <w:spacing w:before="0" w:after="0" w:line="216" w:lineRule="auto"/>
                            <w:rPr>
                              <w:rFonts w:eastAsia="SimSun"/>
                              <w:color w:val="000000"/>
                              <w:sz w:val="16"/>
                              <w:szCs w:val="16"/>
                            </w:rPr>
                          </w:pPr>
                          <w:r w:rsidRPr="003D0862">
                            <w:rPr>
                              <w:rFonts w:eastAsia="SimSun"/>
                              <w:color w:val="000000"/>
                              <w:sz w:val="16"/>
                              <w:szCs w:val="16"/>
                            </w:rPr>
                            <w:t xml:space="preserve">After the Date of Practical Completion will </w:t>
                          </w:r>
                          <w:r w:rsidRPr="00A13178">
                            <w:rPr>
                              <w:rFonts w:eastAsia="SimSun"/>
                              <w:b/>
                              <w:bCs/>
                              <w:color w:val="000000"/>
                              <w:sz w:val="16"/>
                              <w:szCs w:val="16"/>
                            </w:rPr>
                            <w:t>NOT</w:t>
                          </w:r>
                          <w:r w:rsidRPr="003D0862">
                            <w:rPr>
                              <w:rFonts w:eastAsia="SimSun"/>
                              <w:color w:val="000000"/>
                              <w:sz w:val="16"/>
                              <w:szCs w:val="16"/>
                            </w:rPr>
                            <w:t xml:space="preserve"> be a Reimbursable Cost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015598387" o:spid="_x0000_s1039" type="#_x0000_t34" style="position:absolute;left:38366;top:23781;width:3555;height:154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iKygAAAOMAAAAPAAAAZHJzL2Rvd25yZXYueG1sRI9Ba8JA&#10;FITvQv/D8gq96UatGqOrFKHUk1DNweMz+0xis29DdqPx37uC0OMwM98wy3VnKnGlxpWWFQwHEQji&#10;zOqScwXp4bsfg3AeWWNlmRTcycF69dZbYqLtjX/puve5CBB2CSoovK8TKV1WkEE3sDVx8M62MeiD&#10;bHKpG7wFuKnkKIqm0mDJYaHAmjYFZX/71ii47I7pKd3mZznV6aH9+Wyt3ZFSH+/d1wKEp87/h1/t&#10;rVYwioaTyTwexzN4fgp/QK4eAAAA//8DAFBLAQItABQABgAIAAAAIQDb4fbL7gAAAIUBAAATAAAA&#10;AAAAAAAAAAAAAAAAAABbQ29udGVudF9UeXBlc10ueG1sUEsBAi0AFAAGAAgAAAAhAFr0LFu/AAAA&#10;FQEAAAsAAAAAAAAAAAAAAAAAHwEAAF9yZWxzLy5yZWxzUEsBAi0AFAAGAAgAAAAhAAj1WIrKAAAA&#10;4wAAAA8AAAAAAAAAAAAAAAAABwIAAGRycy9kb3ducmV2LnhtbFBLBQYAAAAAAwADALcAAAD+AgAA&#10;AAA=&#10;" strokecolor="#87189d [3204]" strokeweight="1.5pt">
                    <v:stroke endarrow="classic" endarrowwidth="wide" endarrowlength="long"/>
                  </v:shape>
                  <v:shape id="Connector: Elbow 2015598388" o:spid="_x0000_s1040" type="#_x0000_t34" style="position:absolute;left:54029;top:23572;width:3528;height:158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xaxwAAAOMAAAAPAAAAZHJzL2Rvd25yZXYueG1sRE9Na4NA&#10;EL0X8h+WCeRWVxMM1mYjQUjx1iaVQm+DO1WJOyvuNjH/Pnso9Ph437tiNoO40uR6ywqSKAZB3Fjd&#10;c6ug/jw+ZyCcR9Y4WCYFd3JQ7BdPO8y1vfGJrmffihDCLkcFnfdjLqVrOjLoIjsSB+7HTgZ9gFMr&#10;9YS3EG4GuY7jrTTYc2jocKSyo+Zy/jUK5i3L09vH9/ErLW3p66x6H7BSarWcD68gPM3+X/znrrSC&#10;dZyk6Uu2ycLo8Cn8Abl/AAAA//8DAFBLAQItABQABgAIAAAAIQDb4fbL7gAAAIUBAAATAAAAAAAA&#10;AAAAAAAAAAAAAABbQ29udGVudF9UeXBlc10ueG1sUEsBAi0AFAAGAAgAAAAhAFr0LFu/AAAAFQEA&#10;AAsAAAAAAAAAAAAAAAAAHwEAAF9yZWxzLy5yZWxzUEsBAi0AFAAGAAgAAAAhAJgzPFrHAAAA4wAA&#10;AA8AAAAAAAAAAAAAAAAABwIAAGRycy9kb3ducmV2LnhtbFBLBQYAAAAAAwADALcAAAD7AgAAAAA=&#10;" strokecolor="#87189d [3204]" strokeweight="1.5pt">
                    <v:stroke endarrow="classic" endarrowwidth="wide" endarrowlength="long"/>
                  </v:shape>
                  <v:shape id="Connector: Elbow 2015598389" o:spid="_x0000_s1041" type="#_x0000_t34" style="position:absolute;left:50952;top:35072;width:2289;height:5591;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obywAAAOMAAAAPAAAAZHJzL2Rvd25yZXYueG1sRI9BawIx&#10;FITvhf6H8Aq91URF2V2NUgSht6K2h95eN8/s4uZlSVLd7q9vCoUeh5n5hllvB9eJK4XYetYwnSgQ&#10;xLU3LVsNb6f9UwEiJmSDnWfS8E0Rtpv7uzVWxt/4QNdjsiJDOFaooUmpr6SMdUMO48T3xNk7++Aw&#10;ZRmsNAFvGe46OVNqKR22nBca7GnXUH05fjkN5edcXnaHfSs/wqiW47s9ja9W68eH4XkFItGQ/sN/&#10;7RejYaami0VZzIsSfj/lPyA3PwAAAP//AwBQSwECLQAUAAYACAAAACEA2+H2y+4AAACFAQAAEwAA&#10;AAAAAAAAAAAAAAAAAAAAW0NvbnRlbnRfVHlwZXNdLnhtbFBLAQItABQABgAIAAAAIQBa9CxbvwAA&#10;ABUBAAALAAAAAAAAAAAAAAAAAB8BAABfcmVscy8ucmVsc1BLAQItABQABgAIAAAAIQBX3fobywAA&#10;AOMAAAAPAAAAAAAAAAAAAAAAAAcCAABkcnMvZG93bnJldi54bWxQSwUGAAAAAAMAAwC3AAAA/wIA&#10;AAAA&#10;" adj="-21572" strokecolor="#87189d [3204]" strokeweight="1.5pt">
                    <v:stroke endarrow="classic" endarrowwidth="wide" endarrowlength="long"/>
                  </v:shape>
                  <v:shape id="Connector: Elbow 2015598390" o:spid="_x0000_s1042" type="#_x0000_t34" style="position:absolute;left:50952;top:35072;width:2289;height:1286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VbyQAAAOMAAAAPAAAAZHJzL2Rvd25yZXYueG1sRI/LagIx&#10;FIb3Bd8hnIK7mqgoztQoIgjdFS9ddHc6Oc0MTk6GJNVxnr5ZFLr8+W98623vWnGjEBvPGqYTBYK4&#10;8qZhq+FyPrysQMSEbLD1TBoeFGG7GT2tsTT+zke6nZIVeYRjiRrqlLpSyljV5DBOfEecvW8fHKYs&#10;g5Um4D2Pu1bOlFpKhw3nhxo72tdUXU8/TkPxNZfX/fHQyM8wqOXwYc/Du9V6/NzvXkEk6tN/+K/9&#10;ZjTM1HSxKFbzIlNkpswDcvMLAAD//wMAUEsBAi0AFAAGAAgAAAAhANvh9svuAAAAhQEAABMAAAAA&#10;AAAAAAAAAAAAAAAAAFtDb250ZW50X1R5cGVzXS54bWxQSwECLQAUAAYACAAAACEAWvQsW78AAAAV&#10;AQAACwAAAAAAAAAAAAAAAAAfAQAAX3JlbHMvLnJlbHNQSwECLQAUAAYACAAAACEAQz7FW8kAAADj&#10;AAAADwAAAAAAAAAAAAAAAAAHAgAAZHJzL2Rvd25yZXYueG1sUEsFBgAAAAADAAMAtwAAAP0CAAAA&#10;AA==&#10;" adj="-21572" strokecolor="#87189d [3204]" strokeweight="1.5pt">
                    <v:stroke endarrow="classic" endarrowwidth="wide" endarrowlength="long"/>
                  </v:shape>
                  <v:shape id="Connector: Elbow 2015598391" o:spid="_x0000_s1043" type="#_x0000_t34" style="position:absolute;left:50952;top:35072;width:2287;height:1986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WzAAAAOMAAAAPAAAAZHJzL2Rvd25yZXYueG1sRI9BS8NA&#10;FITvQv/D8gpexO6mEmlit6Uogr0IbT30+Mi+JjHZt9vs2sZ/7wqCx2FmvmGW69H24kJDaB1ryGYK&#10;BHHlTMu1ho/D6/0CRIjIBnvHpOGbAqxXk5sllsZdeUeXfaxFgnAoUUMToy+lDFVDFsPMeeLkndxg&#10;MSY51NIMeE1w28u5Uo/SYstpoUFPzw1V3f7Larg7btXh/XPXnfPRt+ol80XRbbW+nY6bJxCRxvgf&#10;/mu/GQ1zleV5sXgoMvj9lP6AXP0AAAD//wMAUEsBAi0AFAAGAAgAAAAhANvh9svuAAAAhQEAABMA&#10;AAAAAAAAAAAAAAAAAAAAAFtDb250ZW50X1R5cGVzXS54bWxQSwECLQAUAAYACAAAACEAWvQsW78A&#10;AAAVAQAACwAAAAAAAAAAAAAAAAAfAQAAX3JlbHMvLnJlbHNQSwECLQAUAAYACAAAACEAf5cBFswA&#10;AADjAAAADwAAAAAAAAAAAAAAAAAHAgAAZHJzL2Rvd25yZXYueG1sUEsFBgAAAAADAAMAtwAAAAAD&#10;AAAAAA==&#10;" adj="-21584" strokecolor="#87189d [3204]" strokeweight="1.5pt">
                    <v:stroke endarrow="classic" endarrowwidth="wide" endarrowlength="long"/>
                  </v:shape>
                  <v:shapetype id="_x0000_t32" coordsize="21600,21600" o:spt="32" o:oned="t" path="m,l21600,21600e" filled="f">
                    <v:path arrowok="t" fillok="f" o:connecttype="none"/>
                    <o:lock v:ext="edit" shapetype="t"/>
                  </v:shapetype>
                  <v:shape id="Straight Arrow Connector 2015598393" o:spid="_x0000_s1044" type="#_x0000_t32" style="position:absolute;left:47871;top:23226;width:49;height:1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jyQAAAOMAAAAPAAAAZHJzL2Rvd25yZXYueG1sRI/RasJA&#10;FETfC/2H5RZ8qxuTRjR1lRBQ+mr0Ay7Z2ySYvRuza4x+fbdQ6OMwM2eYzW4ynRhpcK1lBYt5BIK4&#10;srrlWsH5tH9fgXAeWWNnmRQ8yMFu+/qywUzbOx9pLH0tAoRdhgoa7/tMSlc1ZNDNbU8cvG87GPRB&#10;DrXUA94D3HQyjqKlNNhyWGiwp6Kh6lLejILyOV4O7ccxvZouL3J+FHGVFErN3qb8E4Snyf+H/9pf&#10;WkEcLdJ0vUrWCfx+Cn9Abn8AAAD//wMAUEsBAi0AFAAGAAgAAAAhANvh9svuAAAAhQEAABMAAAAA&#10;AAAAAAAAAAAAAAAAAFtDb250ZW50X1R5cGVzXS54bWxQSwECLQAUAAYACAAAACEAWvQsW78AAAAV&#10;AQAACwAAAAAAAAAAAAAAAAAfAQAAX3JlbHMvLnJlbHNQSwECLQAUAAYACAAAACEA/hYy48kAAADj&#10;AAAADwAAAAAAAAAAAAAAAAAHAgAAZHJzL2Rvd25yZXYueG1sUEsFBgAAAAADAAMAtwAAAP0CAAAA&#10;AA==&#10;" strokecolor="#87189d [3204]" strokeweight="1.5pt">
                    <v:stroke endarrow="classic" endarrowwidth="wide" endarrowlength="long"/>
                  </v:shape>
                  <v:shape id="Connector: Elbow 2015598394" o:spid="_x0000_s1045" type="#_x0000_t34" style="position:absolute;left:38571;top:10031;width:4025;height:14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CywAAAOMAAAAPAAAAZHJzL2Rvd25yZXYueG1sRI9BS8NA&#10;FITvgv9heYI3u5toS5p2W0QQFTykUej1kX1Notm3Ibtu4793BcHjMDPfMNv9bAcRafK9Yw3ZQoEg&#10;bpzpudXw/vZ4U4DwAdng4Jg0fJOH/e7yYoulcWc+UKxDKxKEfYkauhDGUkrfdGTRL9xInLyTmyyG&#10;JKdWmgnPCW4HmSu1khZ7TgsdjvTQUfNZf1kNT+pw+vAvc1xVGdfHGKviNa+0vr6a7zcgAs3hP/zX&#10;fjYacpUtl+vidn0Hv5/SH5C7HwAAAP//AwBQSwECLQAUAAYACAAAACEA2+H2y+4AAACFAQAAEwAA&#10;AAAAAAAAAAAAAAAAAAAAW0NvbnRlbnRfVHlwZXNdLnhtbFBLAQItABQABgAIAAAAIQBa9CxbvwAA&#10;ABUBAAALAAAAAAAAAAAAAAAAAB8BAABfcmVscy8ucmVsc1BLAQItABQABgAIAAAAIQDOd/BCywAA&#10;AOMAAAAPAAAAAAAAAAAAAAAAAAcCAABkcnMvZG93bnJldi54bWxQSwUGAAAAAAMAAwC3AAAA/wIA&#10;AAAA&#10;" adj="7529" strokecolor="#87189d [3204]" strokeweight="1.5pt">
                    <v:stroke endarrow="classic" endarrowwidth="wide" endarrowlength="long"/>
                  </v:shape>
                  <v:shape id="Connector: Elbow 2015598395" o:spid="_x0000_s1046" type="#_x0000_t34" style="position:absolute;left:53243;top:10030;width:4026;height:146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kXywAAAOMAAAAPAAAAZHJzL2Rvd25yZXYueG1sRI9Pa8JA&#10;FMTvhX6H5RV6q7sqkRhdRQrS2lP9c/D4yL4modm3Mbsm8du7hYLHYWZ+wyzXg61FR62vHGsYjxQI&#10;4tyZigsNp+P2LQXhA7LB2jFpuJGH9er5aYmZcT3vqTuEQkQI+ww1lCE0mZQ+L8miH7mGOHo/rrUY&#10;omwLaVrsI9zWcqLUTFqsOC6U2NB7Sfnv4Wo1fPe72fVUbD/U5atJj/vbtEvOrPXry7BZgAg0hEf4&#10;v/1pNEzUOEnm6XSewN+n+Afk6g4AAP//AwBQSwECLQAUAAYACAAAACEA2+H2y+4AAACFAQAAEwAA&#10;AAAAAAAAAAAAAAAAAAAAW0NvbnRlbnRfVHlwZXNdLnhtbFBLAQItABQABgAIAAAAIQBa9CxbvwAA&#10;ABUBAAALAAAAAAAAAAAAAAAAAB8BAABfcmVscy8ucmVsc1BLAQItABQABgAIAAAAIQANcdkXywAA&#10;AOMAAAAPAAAAAAAAAAAAAAAAAAcCAABkcnMvZG93bnJldi54bWxQSwUGAAAAAAMAAwC3AAAA/wIA&#10;AAAA&#10;" adj="7530" strokecolor="#87189d [3204]" strokeweight="1.5pt">
                    <v:stroke endarrow="classic" endarrowwidth="wide" endarrowlength="long"/>
                  </v:shape>
                  <v:shape id="Connector: Elbow 2015598396" o:spid="_x0000_s1047" type="#_x0000_t34" style="position:absolute;left:39344;top:1270;width:2804;height:149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e8zAAAAOMAAAAPAAAAZHJzL2Rvd25yZXYueG1sRI9PS8NA&#10;FMTvgt9heYKXYHdTaWhjt8W/KHhqlPb6yD6TaPZtyK7p9tu7guBxmJnfMOtttL2YaPSdYw35TIEg&#10;rp3puNHw/vZ0tQThA7LB3jFpOJGH7eb8bI2lcUfe0VSFRiQI+xI1tCEMpZS+bsmin7mBOHkfbrQY&#10;khwbaUY8Jrjt5VypQlrsOC20ONB9S/VX9W01VLk6ZEX2+riPp3pnn6eYPXzeaX15EW9vQASK4T/8&#10;134xGuYqXyxWy+tVAb+f0h+Qmx8AAAD//wMAUEsBAi0AFAAGAAgAAAAhANvh9svuAAAAhQEAABMA&#10;AAAAAAAAAAAAAAAAAAAAAFtDb250ZW50X1R5cGVzXS54bWxQSwECLQAUAAYACAAAACEAWvQsW78A&#10;AAAVAQAACwAAAAAAAAAAAAAAAAAfAQAAX3JlbHMvLnJlbHNQSwECLQAUAAYACAAAACEAAunHvMwA&#10;AADjAAAADwAAAAAAAAAAAAAAAAAHAgAAZHJzL2Rvd25yZXYueG1sUEsFBgAAAAADAAMAtwAAAAAD&#10;AAAAAA==&#10;" adj="8994" strokecolor="#87189d [3204]" strokeweight="1.5pt">
                    <v:stroke endarrow="classic" endarrowwidth="wide" endarrowlength="long"/>
                  </v:shape>
                  <v:shape id="Connector: Elbow 2015598397" o:spid="_x0000_s1048" type="#_x0000_t34" style="position:absolute;left:54016;top:1593;width:2803;height:143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RnygAAAOMAAAAPAAAAZHJzL2Rvd25yZXYueG1sRI/dasJA&#10;FITvC77DcoTe1Y1KokldRQShBQv+9AEO2WOSNns2Zrcxvr0rFLwcZuYbZrHqTS06al1lWcF4FIEg&#10;zq2uuFDwfdq+zUE4j6yxtkwKbuRgtRy8LDDT9soH6o6+EAHCLkMFpfdNJqXLSzLoRrYhDt7ZtgZ9&#10;kG0hdYvXADe1nERRIg1WHBZKbGhTUv57/DMKdkX6FZvqU3bnGZrkZ33Zy32i1OuwX7+D8NT7Z/i/&#10;/aEVTKJxHKfzaTqDx6fwB+TyDgAA//8DAFBLAQItABQABgAIAAAAIQDb4fbL7gAAAIUBAAATAAAA&#10;AAAAAAAAAAAAAAAAAABbQ29udGVudF9UeXBlc10ueG1sUEsBAi0AFAAGAAgAAAAhAFr0LFu/AAAA&#10;FQEAAAsAAAAAAAAAAAAAAAAAHwEAAF9yZWxzLy5yZWxzUEsBAi0AFAAGAAgAAAAhACTGBGfKAAAA&#10;4wAAAA8AAAAAAAAAAAAAAAAABwIAAGRycy9kb3ducmV2LnhtbFBLBQYAAAAAAwADALcAAAD+AgAA&#10;AAA=&#10;" adj="8994" strokecolor="#87189d [3204]" strokeweight="1.5pt">
                    <v:stroke endarrow="classic" endarrowwidth="wide" endarrowlength="long"/>
                  </v:shape>
                </v:group>
                <w10:anchorlock/>
              </v:group>
            </w:pict>
          </mc:Fallback>
        </mc:AlternateContent>
      </w:r>
    </w:p>
    <w:p w14:paraId="7D088978" w14:textId="77777777" w:rsidR="000272A3" w:rsidRDefault="000272A3" w:rsidP="000C3262"/>
    <w:p w14:paraId="303E0EB1" w14:textId="77777777" w:rsidR="008606E4" w:rsidRDefault="008606E4" w:rsidP="000C3262">
      <w:pPr>
        <w:sectPr w:rsidR="008606E4" w:rsidSect="009D6A61">
          <w:footerReference w:type="even" r:id="rId74"/>
          <w:footerReference w:type="default" r:id="rId75"/>
          <w:pgSz w:w="11906" w:h="16838" w:code="9"/>
          <w:pgMar w:top="2160" w:right="1440" w:bottom="1440" w:left="1440" w:header="706" w:footer="461" w:gutter="0"/>
          <w:pgNumType w:start="1"/>
          <w:cols w:space="708"/>
          <w:docGrid w:linePitch="360"/>
        </w:sectPr>
      </w:pPr>
    </w:p>
    <w:p w14:paraId="31EE79C7" w14:textId="77777777" w:rsidR="008606E4" w:rsidRDefault="008606E4" w:rsidP="000C3262"/>
    <w:sectPr w:rsidR="008606E4" w:rsidSect="00854FD6">
      <w:headerReference w:type="default" r:id="rId76"/>
      <w:footerReference w:type="default" r:id="rId77"/>
      <w:type w:val="evenPage"/>
      <w:pgSz w:w="11906" w:h="16838" w:code="9"/>
      <w:pgMar w:top="2160" w:right="1440" w:bottom="1440"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EBBA" w14:textId="77777777" w:rsidR="007E1D3D" w:rsidRDefault="007E1D3D" w:rsidP="002D711A">
      <w:pPr>
        <w:spacing w:after="0" w:line="240" w:lineRule="auto"/>
      </w:pPr>
      <w:r>
        <w:separator/>
      </w:r>
    </w:p>
  </w:endnote>
  <w:endnote w:type="continuationSeparator" w:id="0">
    <w:p w14:paraId="691EE684" w14:textId="77777777" w:rsidR="007E1D3D" w:rsidRDefault="007E1D3D" w:rsidP="002D711A">
      <w:pPr>
        <w:spacing w:after="0" w:line="240" w:lineRule="auto"/>
      </w:pPr>
      <w:r>
        <w:continuationSeparator/>
      </w:r>
    </w:p>
  </w:endnote>
  <w:endnote w:type="continuationNotice" w:id="1">
    <w:p w14:paraId="46B08EB8" w14:textId="77777777" w:rsidR="007E1D3D" w:rsidRDefault="007E1D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332EED-5260-4A6E-9FC7-F3312CEE38BE}"/>
    <w:embedBold r:id="rId2" w:fontKey="{F393DD6A-56D0-4067-B576-3BDF089A674C}"/>
    <w:embedItalic r:id="rId3" w:fontKey="{5E5DBFC6-2630-4361-8FD2-AEDA4C441165}"/>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embedRegular r:id="rId4" w:fontKey="{086DBE0D-9708-427E-B165-79566E19375F}"/>
    <w:embedBold r:id="rId5" w:fontKey="{2F2D5ACD-9A62-40EF-ADE0-D76221C23FA0}"/>
    <w:embedItalic r:id="rId6" w:fontKey="{1517CCED-456F-4D39-B301-CE82395C8EB5}"/>
    <w:embedBoldItalic r:id="rId7" w:fontKey="{2B26D7F2-3EC5-4C41-BB25-405E88815B18}"/>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303AC148-D157-4AB4-92EE-4CC3982F7511}"/>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9" w:fontKey="{2D34FD07-5E80-480D-A4D2-F9B5B80A1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D67" w14:textId="77777777" w:rsidR="001B4A85" w:rsidRDefault="001B4A85" w:rsidP="00A230FA">
    <w:pPr>
      <w:pStyle w:val="Spacer"/>
    </w:pPr>
  </w:p>
  <w:p w14:paraId="54F52FCA" w14:textId="77777777" w:rsidR="001B4A85" w:rsidRDefault="001B4A85" w:rsidP="00A23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96FE" w14:textId="77777777" w:rsidR="001B4A85" w:rsidRDefault="001B4A85" w:rsidP="00A230FA">
    <w:pPr>
      <w:pStyle w:val="Spacer"/>
    </w:pPr>
    <w:r>
      <w:rPr>
        <w:noProof/>
      </w:rPr>
      <w:drawing>
        <wp:inline distT="0" distB="0" distL="0" distR="0" wp14:anchorId="11D1A22F" wp14:editId="3247A2F7">
          <wp:extent cx="1207008" cy="356616"/>
          <wp:effectExtent l="0" t="0" r="0" b="5715"/>
          <wp:docPr id="1882196092" name="Picture 1882196092"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BF15" w14:textId="77777777" w:rsidR="001B4A85" w:rsidRDefault="001B4A85" w:rsidP="00A230FA">
    <w:pPr>
      <w:pStyle w:val="Spacer"/>
    </w:pPr>
  </w:p>
  <w:p w14:paraId="46A95EF2" w14:textId="77777777" w:rsidR="001B4A85" w:rsidRDefault="001B4A85" w:rsidP="00A230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4898" w14:textId="77777777" w:rsidR="001B4A85" w:rsidRDefault="001B4A85" w:rsidP="00A230FA">
    <w:pPr>
      <w:pStyle w:val="Spacer"/>
    </w:pPr>
  </w:p>
  <w:p w14:paraId="1AA3DA12" w14:textId="77777777" w:rsidR="001B4A85" w:rsidRPr="00297281" w:rsidRDefault="001B4A85" w:rsidP="00A230FA">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6E0B" w14:textId="0F91D76F" w:rsidR="0007501B" w:rsidRDefault="0007501B" w:rsidP="0007501B">
    <w:pPr>
      <w:pStyle w:val="Footer"/>
      <w:rPr>
        <w:rStyle w:val="PageNumber"/>
      </w:rPr>
    </w:pPr>
    <w:r w:rsidRPr="00C022F9">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287BFEEC" w14:textId="77777777" w:rsidR="001B4A85" w:rsidRPr="0007501B" w:rsidRDefault="001B4A85" w:rsidP="000750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6225" w14:textId="77777777" w:rsidR="00633280" w:rsidRPr="00014213" w:rsidRDefault="00633280" w:rsidP="00C022F9">
    <w:pPr>
      <w:pStyle w:val="Footer"/>
    </w:pPr>
    <w:r>
      <w:rPr>
        <w:color w:val="2B579A"/>
        <w:shd w:val="clear" w:color="auto" w:fill="E6E6E6"/>
      </w:rPr>
      <w:drawing>
        <wp:anchor distT="0" distB="0" distL="114300" distR="114300" simplePos="0" relativeHeight="251646464" behindDoc="0" locked="0" layoutInCell="1" allowOverlap="1" wp14:anchorId="3AB806B5" wp14:editId="40E63262">
          <wp:simplePos x="0" y="0"/>
          <wp:positionH relativeFrom="column">
            <wp:posOffset>4240861</wp:posOffset>
          </wp:positionH>
          <wp:positionV relativeFrom="page">
            <wp:posOffset>9493250</wp:posOffset>
          </wp:positionV>
          <wp:extent cx="1956435" cy="582930"/>
          <wp:effectExtent l="0" t="0" r="5715"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64E3CEFD" w14:textId="46B4F2E6" w:rsidR="00633280" w:rsidRDefault="00633280"/>
  <w:p w14:paraId="055BB835" w14:textId="68B4846A" w:rsidR="000458C6" w:rsidRDefault="0031374B">
    <w:r>
      <w:fldChar w:fldCharType="begin"/>
    </w:r>
    <w:r>
      <w:instrText>DOCPROPERTY DocumentID \* MERGEFORMAT</w:instrText>
    </w:r>
    <w:r>
      <w:fldChar w:fldCharType="separate"/>
    </w:r>
    <w:r w:rsidR="00131EE1">
      <w:rPr>
        <w:b/>
        <w:bCs/>
        <w:lang w:val="en-US"/>
      </w:rPr>
      <w:t>Error! Unknown document property name.</w:t>
    </w:r>
    <w:r>
      <w:rPr>
        <w:color w:val="191919"/>
        <w:sz w:val="1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32F4" w14:textId="33174DD6" w:rsidR="009D6A61" w:rsidRDefault="009D6A61" w:rsidP="0007501B">
    <w:pPr>
      <w:pStyle w:val="Footer"/>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3B6DB4">
      <w:rPr>
        <w:rFonts w:asciiTheme="majorHAnsi" w:hAnsiTheme="majorHAnsi"/>
      </w:rPr>
      <w:t>Incentivised Target Cost Contract Suite</w:t>
    </w:r>
    <w:r w:rsidRPr="00063995">
      <w:rPr>
        <w:rFonts w:asciiTheme="majorHAnsi" w:hAnsiTheme="majorHAnsi"/>
      </w:rPr>
      <w:fldChar w:fldCharType="end"/>
    </w:r>
    <w:r w:rsidRPr="008A1ADB">
      <w:t xml:space="preserve"> </w:t>
    </w:r>
    <w:r w:rsidR="00D64A58" w:rsidRPr="008A1ADB">
      <w:t xml:space="preserve">– </w:t>
    </w:r>
    <w:r w:rsidRPr="0007501B">
      <w:rPr>
        <w:noProof w:val="0"/>
      </w:rPr>
      <w:fldChar w:fldCharType="begin"/>
    </w:r>
    <w:r w:rsidRPr="0007501B">
      <w:instrText xml:space="preserve"> StyleRef “</w:instrText>
    </w:r>
    <w:r>
      <w:instrText>Subt</w:instrText>
    </w:r>
    <w:r w:rsidRPr="0007501B">
      <w:instrText xml:space="preserve">itle” </w:instrText>
    </w:r>
    <w:r w:rsidRPr="0007501B">
      <w:rPr>
        <w:noProof w:val="0"/>
      </w:rPr>
      <w:fldChar w:fldCharType="separate"/>
    </w:r>
    <w:r w:rsidR="003B6DB4">
      <w:t>Guidance Notes</w:t>
    </w:r>
    <w:r w:rsidRPr="0007501B">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581D6DE4" w14:textId="77777777" w:rsidR="009D6A61" w:rsidRPr="0007501B" w:rsidRDefault="009D6A61" w:rsidP="000750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9CF3" w14:textId="77777777" w:rsidR="008606E4" w:rsidRPr="00854FD6" w:rsidRDefault="008606E4" w:rsidP="00854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8F605" w14:textId="77777777" w:rsidR="007E1D3D" w:rsidRDefault="007E1D3D" w:rsidP="002D711A">
      <w:pPr>
        <w:spacing w:after="0" w:line="240" w:lineRule="auto"/>
      </w:pPr>
      <w:r>
        <w:separator/>
      </w:r>
    </w:p>
  </w:footnote>
  <w:footnote w:type="continuationSeparator" w:id="0">
    <w:p w14:paraId="6F111A38" w14:textId="77777777" w:rsidR="007E1D3D" w:rsidRDefault="007E1D3D" w:rsidP="002D711A">
      <w:pPr>
        <w:spacing w:after="0" w:line="240" w:lineRule="auto"/>
      </w:pPr>
      <w:r>
        <w:continuationSeparator/>
      </w:r>
    </w:p>
  </w:footnote>
  <w:footnote w:type="continuationNotice" w:id="1">
    <w:p w14:paraId="59222D65" w14:textId="77777777" w:rsidR="007E1D3D" w:rsidRDefault="007E1D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D64B" w14:textId="1F6B8425" w:rsidR="00114BD4" w:rsidRDefault="00114BD4">
    <w:pPr>
      <w:pStyle w:val="Header"/>
    </w:pPr>
    <w:r>
      <w:rPr>
        <w:noProof/>
      </w:rPr>
      <mc:AlternateContent>
        <mc:Choice Requires="wpg">
          <w:drawing>
            <wp:anchor distT="0" distB="0" distL="114300" distR="114300" simplePos="0" relativeHeight="251683328" behindDoc="1" locked="0" layoutInCell="1" allowOverlap="1" wp14:anchorId="7AB941C0" wp14:editId="461CBD8C">
              <wp:simplePos x="0" y="0"/>
              <wp:positionH relativeFrom="column">
                <wp:posOffset>734608</wp:posOffset>
              </wp:positionH>
              <wp:positionV relativeFrom="paragraph">
                <wp:posOffset>579755</wp:posOffset>
              </wp:positionV>
              <wp:extent cx="6092473" cy="9607662"/>
              <wp:effectExtent l="38100" t="0" r="381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10" name="Freeform: Shape 10"/>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0" y="2407023"/>
                          <a:ext cx="2228515" cy="2406625"/>
                          <a:chOff x="0" y="0"/>
                          <a:chExt cx="2228515" cy="2406625"/>
                        </a:xfrm>
                        <a:solidFill>
                          <a:schemeClr val="accent1"/>
                        </a:solidFill>
                      </wpg:grpSpPr>
                      <wps:wsp>
                        <wps:cNvPr id="13" name="Freeform: Shape 13"/>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64" name="Freeform: Shape 188219606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65" name="Freeform: Shape 188219606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66" name="Freeform: Shape 188219606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67" name="Freeform: Shape 188219606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68" name="Freeform: Shape 188219606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69" name="Freeform: Shape 188219606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0" name="Freeform: Shape 1882196070"/>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1" name="Freeform: Shape 188219607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2" name="Freeform: Shape 188219607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3" name="Freeform: Shape 188219607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4" name="Freeform: Shape 188219607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5" name="Freeform: Shape 188219607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6" name="Freeform: Shape 1882196076"/>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7" name="Freeform: Shape 1882196077"/>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82196078" name="Freeform: Shape 1882196078"/>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79" name="Freeform: Shape 1882196079"/>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82196080" name="Group 1882196080"/>
                      <wpg:cNvGrpSpPr/>
                      <wpg:grpSpPr>
                        <a:xfrm>
                          <a:off x="3402106" y="4807323"/>
                          <a:ext cx="2228515" cy="2406625"/>
                          <a:chOff x="0" y="0"/>
                          <a:chExt cx="2228515" cy="2406625"/>
                        </a:xfrm>
                        <a:solidFill>
                          <a:schemeClr val="accent1"/>
                        </a:solidFill>
                      </wpg:grpSpPr>
                      <wps:wsp>
                        <wps:cNvPr id="1882196081" name="Freeform: Shape 1882196081"/>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2" name="Freeform: Shape 1882196082"/>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3" name="Freeform: Shape 188219608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4" name="Freeform: Shape 1882196084"/>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5" name="Freeform: Shape 1882196085"/>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6" name="Freeform: Shape 1882196086"/>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7" name="Freeform: Shape 1882196087"/>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8" name="Freeform: Shape 1882196088"/>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89" name="Freeform: Shape 1882196089"/>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90" name="Freeform: Shape 188219609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91" name="Freeform: Shape 188219609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93" name="Freeform: Shape 1882196093"/>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94" name="Freeform: Shape 1882196094"/>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2196095" name="Freeform: Shape 1882196095"/>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A39F359" id="Group 6" o:spid="_x0000_s1026" alt="&quot;&quot;" style="position:absolute;margin-left:57.85pt;margin-top:45.65pt;width:479.7pt;height:756.5pt;z-index:-251633152"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WmziIAAFJhAQAOAAAAZHJzL2Uyb0RvYy54bWzsnVtvIzeyx98PcL6D4McFTtz3i7HOYpBs&#10;ggWC7ADJQbKPGlm+ALKklTTjyX76/VcVKVbLLZLy6OQIG76kxxHr0mQVf13dbPaf//L5eTH5NN9s&#10;n1bL26v8q+xqMl/OVndPy4fbq//9+bv/6a4m2910eTddrJbz26vf5turv3z93//155f1zbxYPa4W&#10;d/PNBEqW25uX9e3V4263vrm+3s4e58/T7Ver9XyJH+9Xm+fpDn9uHq7vNtMXaH9eXBdZ1ly/rDZ3&#10;681qNt9u8X+/lR+vvmb99/fz2e7v9/fb+W6yuL2Cbzv+74b/+4H+e/31n6c3D5vp+vFpZtyYvsGL&#10;5+nTEkb3qr6d7qaTj5unV6qen2ab1XZ1v/tqtnq+Xt3fP83mfA44mzw7OJvvN6uPaz6Xh5uXh/W+&#10;m9C1B/30ZrWzHz99v1n/tH6/QU+8rB/QF/wXncvn+80zHeHl5DN32W/7Lpt/3k1m+J9N1hdVW15N&#10;Zvitb7K2aQrp1Nkjev6V3OzxrwHJa2v4euDOyxoBsnV9sP2yPvjpcbqec9dub9AH7zeTpzvEL0Jk&#10;OX1GnH63mc8p6m4m3HKCX7iDuPW+u7Y3W/TcSF+VZVMhOq8m6JWiytqsKKVXbL8VRVtnXS79hhbo&#10;tppa7M9+ejP7uN19P1/xEEw//bDdSaze4V8caXfG1dlqudw+7ea/wvn75wXC90/Xkzwv2yarJi8T&#10;a8lIHwj9Qwtlk8eJ8gXR/MoGPN7byMLadXPR3IRtFMqG8T5saSDE/RlhCXG7P5voHtNCBz2G0Xuw&#10;4zN9tEM2+7w0Y4Z/TaY0M2Y8WaxXW0oQPYCIF/snhkYCAlI04AFhdLUWzk8SRu9pYU5hnEycZXSI&#10;FuZIt8JyNKe/wXRME/GCJ+Ld1QQT8eZqgon4g2THerqjXqOzpX9OXpA9NlEeOZM4T+j359Wn+c8r&#10;brmjTjTDx67YjnNtFkvdFjEPh008mn6yLexxzVr31iPbj3lhNc4Wq+1cRpROjnN9f8LUTyrft6vF&#10;0913T4sFnSDDcP7NYjP5NEXvTWez+XJnh2jQcrGkLsPpzaZg6f1iuuM4W65IFU8A68129+10+yiq&#10;WFi6/hkzyEa8WyDcMPnayY3+9WF19xvmyM1KALpdz757gqYfptvd++kGUw5s4ioAvz6uNv+6mryA&#10;qLdX239+nG7mV5PF35aYrvu8qtBsx39UdVvgj43+5YP+Zfnx+ZsVzhZhDWv8T2q/W9h/3m9Wz78A&#10;/u/IKn6aLmewjfTZIaTkj292+Bs/YSKfzd+9k55ZPaPTf1j+tJ6Rcg4gnMnPn3+ZbtYT6p7bqx1m&#10;6R9XFhHTGzv7YpCogbQlyeXq3cfd6v6JpmbuMekn8wdwRUz9PbiFXjrCLZ4HyAlQLsytAgHflugy&#10;xHtb5FVZtRIeilsYOjQg3hdlX5b5WbkVwRQaUIs5nn/hRVfbSzkvsZCeeV2WYZoMuMX6c+KW35JG&#10;UI6+q6s+bEkLif4ISxpB0YTUQhH9Vg26OXgdMWw+6CukTaLigIpBmKM3kV/7K4HKQIp5fF6kmpCm&#10;2czhUuAn00AIpianBKmSKsZbCz57FK0mM6LbawRbX6xGexzz1/6WsPvHxK4pZaWqVSUeJlxBJVfX&#10;k5wvpKjUPLkUxgXkWGFXdDWYKIB0hR1SPlAQg72jksh3W4nz9Zr3stBe9quW/x91NFhz5HqE58H4&#10;65GsLbue5woD+P2FSFM3eSvdXFdtjnsQcvVq+0pfTtsLOAWi16Wtvq4o6rzNaqK3mOFr51cir4pn&#10;50hU7ezVrS9B6rIo2xpXIH4D+lqizTq+zvHa0AKiOmhDX0Vw53TBXtIidOHhPwl9IRE5DFpkaCBd&#10;euzm/7CZEVfN/99eepisRTFvomDswkOG3WU9RtFdm1iua+ZLfngvOygfWKOLPqi1yuxRlEpcD+zb&#10;BvZoGvI0MdrwlMsO3HPdF+iphP+DlvDIuyPI5Kv/eGTWPWDhYnJ6Y5FZApKok/nKBHlYd/Ye0lmQ&#10;WWZlVbaAgTETiUznSAwy/bo1Mpsqb7sKtPEb0ARs+jrs/0CAOzFoQ/NPTiDYS1qEiOY/Cc2/yGHQ&#10;IkMDCZmXhUybtUCmiYIxZMqwu6wPIlPyw4tMygfW6KLvKDKtl7hr4S/SRxy1TE3InKS73ndjD8Lt&#10;rXgDQfu0FlX2EWTyPeloZJZ5nnVy3XtQZZZNnwGTjMy2qfve1tfnQWZdZxVVacZMJDKdI1HIlFM4&#10;olsjs63zvC9BG7+BAQENMr02tACrLoI2NP+4c8K9pEWIaP6T0Pwr44ZBiwwNJGReGDJN1gKZJgpG&#10;kcnDfgIyJT/ikClx7m0rcT2wb0loj1JlSnyONkzITMjcnIJMLEk6gsyGgjUemU3Rl5jY7fWeqzKr&#10;AuuaMFfSA+KuravsrMjEDfUWd0JfJsbMEazpe7k0VztHYpDp162R2TVZkxHO/AY0AU2V6behBUR1&#10;0IbmHysP95IWCfeS5l/kMGiRoYGEzMtCpgnHCZBpQnkMmTLsLuuDVabkhxeD+yrTpdDRKlPiemDf&#10;otIeBZkjjtoGCZkJmacgsziKTPxyCjKrvGrb0WeZVVsgsgWZfVd1stgYWXCWKrOqsTqKbmwaM5HI&#10;dI5EIVNO4Yhujcy+zbKckOk3oAlokem1oQVEddCG5h93Th7sJS1CRPOfhOZf5DBokaGBhMwLQ6bJ&#10;WiDTRMEoMjn7BsjyP8uU/IhDpou+48gkL5F/9kL9eMPXjiZk3l6ZhcrpxuwJVWaBxwbjVSZ+OQmZ&#10;Ddb7y1s0Bzdm66LKa0z5VGXmWY8Q703KnIWZdZ5hdRdoYOwc4dphmak8iYGmX7mGZp61dI4ATsCE&#10;pqDBpt+KFmDdBVEnYEVTkNXT7Vm/HS0SYUFjMHIwtMiBhYTOy0KnCRWqNm2kjbFTBn7ALj87TZrE&#10;wdNEu7exBPfAAwtFe5SCc8RV2yAVnKngPKXgpNdvxumJX06hZ513VYtZ0V76uXu0Nd4NzcEXpmeR&#10;lbiZe1Z6NnnfFoQEsRNLT+dJFD29ygf0zLuuK5kJfhMahmYBrf8UtEAuuomefisahaw+3FVaJOI8&#10;NAqxTDpmMLTIgYVEzwujp8leoqeJtFF68sC79McwBugpaeIF4n4ZrbWM3D5aUkpwDzywULRHQ8/X&#10;rtoGiZ6JnifRExP/EXqe9ios1nY2GXYveU3PBu/IVpiRmZ5ljhVt3Tnp2WDrBt65wdiJpafzJIae&#10;fuUDehZ9R8UwuOY3oWFo6Om3ogVEdx+2olHI6mmTC78dLRJxHhqFkYOhRQ4sJHpeFj1NqHDtaeJ5&#10;jJ4y8C79w/SUNImkJ1u2F92WdfYoUJTgHnhgG9ijacgTxmjDRM9Ez1PoiStA3EnFohZMaOMUVS1O&#10;qUVR074Gad01HQhr7+FmNh/Ocgu3qhref0GMxEIUt5LFjRiGelVrhPZVk9ubt8fVaxzae7fcQ0ec&#10;1+3pZlbG9PSegSYheU8bVHjPQgsw2LzqNQaj+l8LDNUnbF4WNiVK7B1bBPEYNHnMXaYHmcl54SXm&#10;fnWQBLi3LQf0wLrlpD0KL197aX9PuEy4fBMuj7+JYoF62hspfOvWhbK7c4s3VfhxPjGzAIvzs5ae&#10;fVN2tAbGWDnCncOnns6PGGj6dWtqFlmV8dNIvwGNQYNNvw0twKqJm34bGoOiPNhLWoTQ5jegQRg3&#10;ClpiqD+h87LQaaKR2GmCYIydPOou5YPslOzwAnEPT4lyb1vrpL1Kh31LRXsUer720/6e6Jno+SZ6&#10;Hl1huy82T1tpm+OJZo/50caywmdTZLSgiPBZFh12XDJJcZaSM8fS3ZxuR+ZiJpKfzpEofnp1a37i&#10;HlNVENv8BjQOLT+9NrSAqA7a0DDkzqH1yP5e0iLEN/9JaBpGDoMWGRpIAL0wgJqsBUBNFIwBVIbd&#10;ZX2QoJIfXiruCeqi7ygYJa4H9i0Z7VEIOuKobZAQmhD6JoQeXXG7R+hpK2/zuq4rTPSvEVrgaUON&#10;11gIodjwp8FeQ+AcsuI8CO2xpr0BHIyZSIQ6R2IQ6tetEVrhCqEkhPoNaCIahPptaAFRHbSheSjK&#10;g72kRYhw/pPQPMzjhkGLDA0khF4WQk04Ug1qomAUoTzsLuuDCJX8iEOoi76jCLVe2lnnaEOJz4Gj&#10;CaHpZRX/53SO7CJk79DiSWTgkScXi9FbJGB72qrGjWEbzK4Kbdq+rAxCc6RQJbvsI9rPwtCmqauS&#10;GGrsRDJUeRIDUb9yDdEc+yTTs1gsIHInO2ZCU9Fg1G9FC4juLmxFU5HU1/Sej9+OFiHOBc5DYzFy&#10;MLTIgQWERdo+/4L2sDWhwo9CTTyPsVQG3qU/hjGw/FbSJA6mJtr9jTm4Bx5YSNqjWUDEE8Zow1SQ&#10;poL0TQUp8BagKa/2iadp02OhrYtRR9O2xO594A0vI6rLvKv5bvG5aIqt5fHIFYgwdmJp6jwZQ53m&#10;I/HHr1y3znnPaaap34SGo6Gp34oWwGdy0JEtsc5vRaOR1Ye7Sosw6/wWNBojB0OLHFhINL2swtSE&#10;JNPUxMEYTWXgXfqHaSpp4gek3eDWRLu3sQT3wANLUXsUmo64ahskmiaavoWm9ME1P03RAmCKpim+&#10;7ZbTVvCva9O2K/bb9+XYJLpozkvTpsPLMwQ8sRNLU+dJFE29ygc0xf4SVcNVo9+EhqOlqdeKFjAd&#10;STT1W9FolB4KdpUWYdb5LWg0tnGDoUUOLCSaXhhNTfbSq6EmDkZpygPv0j9MU0kTLyApK1iltYzc&#10;hmLLPns0kDSO2gnoeMPXrlpNiaaJpm+iKQAQoOlpr4q2bYEHJy6dXG3alVVdmfVGOb743bRn/Vpq&#10;V2SytZ+xE0tT50kMTf3KBzTFB2bAd+Kc34SGo6Gp34oWEN30ee+AFY1GUQ+a+u1oEWad/zw0GiMH&#10;Q4scWEg0vSyamlDh2tTEwRhNZeBd+odpKmkSSVO2bC/CLfvsUWhqHQ3SdMRVqynRNNH0TTTF1Byg&#10;qfnEauQ3yLHZQFeNPjftusZt+oetpbPuvDRtC3yBmxAhdmJp6jyJoqlX+YCm6IaiY875TWg4Wpp6&#10;rWiBXHQTTf1WNBqlh4JdpUWYdX4LGo1d3GBokQMLiaYXRlOTvVSbmjgYpSkP/Ck0lTSJpKmLwKMl&#10;p51mwjR97WqiaVqF9CWrkPAZ6xBNT/uCdtc2TY/53gazq037su3oq2f83LTHCzN4ZUZu2ZxlFRK+&#10;Qtq39DKpsRNLU+dJDE39ygc07VGJ90xTvwkNR0NTvxUtgM0zqCOJpn4rGo2iPthVWoRZ57eg0Rg5&#10;GFrkwEKi6WXR1IQk16YmDsZoKgPv0j9cm0qaRNLUReBRmlpH7QR0vCFPGANXE00TTb+IppjQArXp&#10;aR/X7osOXzRzMapo2vX7TQGLrO16LFY6J03bus1ol/Ve7ETSVHkSRVOvck3TAltE5VkNzgVMaDia&#10;TQH9p6AFRDfRNGBFo1HUB7tKixDrAhY0Gvu4wdAiBxYSTS+MpiZ7UZvaOBilKQ+8S/8gTU2aeGm6&#10;31LXRLu3scmd/eX8cZq+djXRNNH0i2ga3OVInm5Gr0LqO2ydK2sGDj7vgl2O8LU02KPilHYvKXO+&#10;iYxwP0txis+7gNb0joy1FAtU50sMUAPaB0TN8VQIu0fITkHmfMdsaEAaogbMaAnpTPrKt+rWMTOa&#10;j0Z/uLu0ECPP312akNFDooUObCSsXhZWbVxSlWrDbYyrZuxPAatki5eVDqwchfZ63GLQHuUR6t7V&#10;YJ065qzVlR6ipoeob3qIGtwCqT15CyQ8zBx9ioqdNMv9CzNF0WP10pnZ2vY5ltQSW8VSLFudL2NA&#10;0rCkV2YC2nVz7OJQ9AWz1W9Dk3LPVu9JaAnpTGar34zGpDmN8AlpIeae34bGJH0XK2pItNCBjcTW&#10;S2OrSWNiqwmFcbby2J/CVsmWSLay6RBbjasRbH3tbGJrKlu/qGwN7o3Unrg3UtZVWYeJ34azuwuM&#10;7f+qqsRMzXUrvkLfFGddopTjazNNxZvnGUuxbHW+RLHVr33A1rLP+5qh57ehSdnQ59iAcL8ZLYEv&#10;0NC3YKlu9ZvRmBT9vCOj35IWYu75bWhMRg+JFjqwkdh6YWw10cJ1qwmFUbZKOrqZAAPp3+QBzzgp&#10;W7xspeRglSbmvY1NiA9csMS0R1PhjjhrW6S69T+mbr1+WT/cPGzWP63lfdCX7Xry+Xmx3N7gvuzt&#10;1eNut765vt7OHufP0+1Xz0+zzWq7ut99NVs9X6++iLPBDZTa0zZQquosw/Z7LrQVZ+se36lBlljO&#10;Vv1ZPx7DcDI2IghLiQoPDJyMLyHO5qKfMOi3NKBtrCXNzmhLWqhv8qbhkllM0iw0dkoanWAhvk3J&#10;vPWfkhayLPR02xCdwQ7TzUeHJvH2wnhrosXylkJhjLcOiyZYPLy1SUVX6SYI/CC1PqC9xL6/uYS6&#10;m5zgiqWpPQp3x5y2LU7h7na1eLr77mmxoJ7h+Xv+zWIz+TRd3F5NZ7P5csdvLcKPQcvFcvJye0VT&#10;5XR9e3W/mO64a5crUsU5vd5sd99Ot4+iioUl2Z+fdvMNmvCp4UAP9rbr9xsBy4fV3W/vN5PNasfq&#10;t+vZd0/Q9MN0u3s/3Uz5f36ab/Dr42rzr6vJy4Yc2P7z43Qzv5os/rYEjXpcaMG1Hf9R1W2BPzb6&#10;lw/6l+XH529WOFtMiLDG/6T2u4X95/1m9fzLanP3jqzip+lyBtu3V7Pdxv7xzQ5/46f71WY2f/eO&#10;/w30rae7H5Y/rWeknPqX+uTnz79MN+sJ/fP2ajf/vPtxZbcQnN5MP/2w3UnfuLYkuVy9+7hb3T/x&#10;j9Rj0k+m+0Dj3xvLwZ2Y2tN2YsINy7zCJSwlVtVlbVnw5ayDc1G0NdYyaDifd5v9PWWspXE0/YOG&#10;+XmBSPzTNVeNmDT2iGaPxnimaUuXAQEbw+ZSnVZ4GXjcpV81YUUz3SgP2NBCjpZHbWi4OiIHbGih&#10;Q2ba0UvbENrCbfZ5ydMijpgGKO0389lugrlpgdkMswWmpdsrTDofbq8+SCxghnk0bemfNCnbIXHY&#10;60axZwaRM26IMn+xyYsqjnLJhF8EwY7bTxz7Y3NMVZoPN7MfP+F64OmO3u+Sz4h2mIFl/e33m9XH&#10;Nd4w3P9/zI9UqELme6pV39N1xr5ypUuM6X6lD6rSyWd8+gFfA8szPCg9zh2szs3toiFz24bn4dnj&#10;30UH/IG0WWw0e/zr591kBtUFHhCOSSJ37HIjviw69erL1eL2oul3q8ZpR0T/0me04D6PfC0XRC87&#10;XEu4/sMVkfQevpSeG9zXFbY/s7Ok7bvZx+3u+/nqmQbVXjcRes10+HBnPJ2tlsstrjl/HYCbN3Ij&#10;SIoZHtBXIgPWEyOdI1GQ9+rWjK9xudPSume/AY1s8yDZ778WENVBGwNk0wnwpYT3TLRIuJcGdXTc&#10;MGiRoQHk0n7Ep0RCycw9QIFSXK8/UHZSnKxXW0p6HRKIPPsnhhviUMkg5oNPGAOohW2dFCeMkdHC&#10;dq1EnDA6XAvbzIgTRmdqYft6HgvLuX/JxYcECl17mFCmbncXFFK8Fjzs7IftctfE0l/XuZIfZnRs&#10;A3uUhvt1WS6FcDa2jT0a+xzXA/u2gT0eddQ2OKXIxo3TfV2cKuc/duVMj3gDCOXJIHq9c4FbTPhc&#10;DiW1uQSxCC1pOSOoR7ezEfE1TMv8dhaEYuNkfHwDCDVmIhHqHIlBqF+3RijeHGo7urPsN6CJaN7D&#10;9dsYCHAnBm1oHoryYC9pESKc/yQ0DyOHQYsMDSSEXtZtaxOOhFATBWMIlWF3WY9R9CNU8sOLUMoH&#10;1uii7yhCrZd21jnekKeJgaMJoWnt1Zc8E6antwGE8iVxNEJLfKeYNq2wwezuOuOTr7woixDaNnXf&#10;26v88yC0rrOK3r81ZiIR6hyJQqicwhHdGqFtnec9rbnyGxgQEVNG0H8twKqLoA3NQ+6ccC9pESKc&#10;/yQ0D8u4YdAiQwMJoReGUJO1QKiJglGE8rC7rA8iVPIjDqES5962EtcD+5aM9ihVqMTnaMNUhf7H&#10;LLEiWv1+N3IxmQUQetoeFmVT9CUm+tcIrQq8FwRzhNCuxUYXZ0Uobsi3uHP6MjFmjmBO3/uluds5&#10;EoNQv26NUGwE12SEN78BTURThfptaAFRHbShecjKw72kRcK9pHkYOQxaZGggIfSyEGrCkapQE8pj&#10;CJVhd1kfRKjkhxeL+yrUpRDUWiLao5BR4npg3zawR9OQp4nRhgmhCaFvebsW2wSHEMpv6URXobQ5&#10;BVZNjSG0LRDpglB8ybzL7VOTs1ShVd3Jfv+VmIlEqHMkCqFe3RqhfZtlOSHUb0AT0SLUa0MLiOqg&#10;Dc1D7hzaedLfS1qECOc/Cc3DyGHQIkMDCaEXhlCTtUCoiYJRhHL2uawPIlTyIw6hLvqOI5S8RP7Z&#10;C/fjDV87ahmbEJoQ+iaEBjeo6E7boKJq6HVOF8zuRm5dVG6X/6xHyJ/11Z4a+7dUtLDX2IlkKFY9&#10;W09iIOpXriFKezNAMwAUMKGpaDDqt6IFWHdBFApY0VRk9XQ7129Hi0RY0FiMHAwtcmAhofSyUGpC&#10;hapRG2ljLJWBd+kfZKlJkziYmmj3NpbgHnhgIWmPUpCOuGobJJommr6Jpnh4H7ine9qWFHXeVS1m&#10;SXtpqGiKFzJz8Ibu6eZFRjd/TVqcpSLFqtO+pU9+12InlqbOkyiaepUPaIol5rS3BDjnN6HhaBbo&#10;+k9BCxjdYSsajaw+3FVaJOI8NBojB0OLHFhINL0wmprsJZqaeB6lKWehS/8wTSVNvIDcL9O1lpHb&#10;UGzZZ48GkuQoUsROQMcbvnbVako0TTR9E02DG090/AZj9O1drB1tstHvuTYFvl6OGZppWmJDldK+&#10;G3kWmjZ4s5W3TzB2YmnqPImhqV/5gKZFj6/xMSP8JjQcDU39VrRAzrrp1Vz5V9SLrayedprw23lF&#10;U/95aDRGDoYWOeipRNPLoqkJFa5NTRyM0VQGfsAy/4LdXNIkkqYS7d7GEtwDDywk7VGwO+KqbZBo&#10;mmj6JpoG94vAW6AAUzRN8TTUXhWqsrRrAGXhKO6sZmctSqsKuzFRTcpGYiG6dyOGoV7VGqF91eT2&#10;5q6c5Zh6jUN7b9fnvG5PN7sypqf3DDQJyftgB2kBBptXvcZgVP9rgaH6hM3LwqbEur2jiyAegyaP&#10;uct0jKGfmZwXfgjad1wkwL1tOaAH1i0G7dEsLqKZYbRdwmXC5VtwSZsQ+m/losUpuORbuS5EHTLx&#10;5gs//qfakz6mkZ+19OybsqM1M8ZKJDSdH2NU0xyU7X75DI7o1q2LDJt9EBX8BjQGDTb9/msBVs0b&#10;Qu07c+wkNAZFebCXtEj4JDQI40ZBSwz1J3ReFjptzuL+rYnkMXbyqLuUD7JTssMLRMoG1ihR7m1r&#10;nbRX6bBvqWmPQs/XftrfEz0TPd9ET0z6AXqetktRjiec+I75SMWZN0VGC44InyW+cFGcFZ85lvri&#10;423gp5g5wrjDl1ucI2Po0URkfnp169a4x1QVxDa/AY1Dy0+vDS0gqoM2NAy5c/jrBV4rWoT45j8J&#10;TcPIYdAiQwMJoBcGUAkUKj5NFIwBVIbdZX2QoJIfXiruCeqi7ygYJa4H9i0Z7VEIOuKobZAQmhD6&#10;JoRitgwg9LQtFvK6ritM9PZy0FWgBR5P1rh9QgjFhkIN9jIC55AVZ3n4mfdYA0+fZDVmIhHqHIlB&#10;qF+3RmiFK4SSEOo3oIloEOq3oQVEddCG5qEoD/aSFiHC+U9C8zByGLTI0EBC6GUh1IQjIdREwShC&#10;Oftc1gcRKvkRh1AXfUcRar20s87RhhKfA0cTQtMuRV+ySxEVjAGEnrbFArbDrerRj682bV/SEwhe&#10;QIQUqqqzMrRpavmsubETydDceRIDUb9yDdG8ylp6FoulPX4TmooGo34rWkB0d2Ermoqkvqaq2m9H&#10;ixDnAuehsRg5GFrkwEJC6WWh1IQKPwo18TzGUhn4AaL8D0NNmsTB1ES7vzEH98ADC0l7NAuIeMIY&#10;bZgK0lSQvqkgDe620J+220LT4PPBmIftpaErSNsSuwGCN0zTusy7ml9CxbR5looUW9njgSUQYezE&#10;0tR5EkNTv/IBTXkzbqap34SGo6Gp34oWyFl3S6zzW9FoZPXhrtIizDq/BY3GyMHQIgcWEk0vi6Ym&#10;JJmmJg7GaCoD79IfwxigqaSJH5D2+aiJdm9jCe6BB5ai9ig0HXHVNkg0TTQ9haYFfQN4vCiln4Ci&#10;6AW4bZHntLn8CD+7Yr/hX45tp4vmvPxsOrwuQ/wUO7H8dJ5E8dOrfMBP7DhRNVwn+k1oHFp+eq1o&#10;AdORxE+/FQ1D6aFgV2kRppvfgoZhGzcYWuTAQuLnhfHTZC+9HGriYJSfPPAu/cP8lDTxIpGyglVa&#10;y8htKLa0s0eDReOonYCON3ztqtWU+Jn4eQo/y6NVKH45iZ5tgUcjLn1c9dmVVV2ZFUV5W2PfStaM&#10;6D5L9dkVmWz2Z+zE0tN5EkNPv/IBPfGJGvCcuOY3oWFo6Om3ogVEdxO2olEo6kFPvx0twmzzn4dG&#10;YeRgaJEDCwiL9P2zC/r+mQkVrj5NHIzRUwbepT+GMVB9SppE0pMt24tuyzp7FHpaR4P0HHHVakr0&#10;TPQ8iZ5Ht/srT9vmD9sHdNXok9Cua9w2f9hsOsMuvXIReR56tkWB5TtAgtiJpafzJIqeXuUDeqIb&#10;io655jehYWjp6bWiBXLRTfT0W9EolB4KdpUWYbb5LWgUdnGDoUUOLCR6XlbtabOXak8TB6P05IE/&#10;hZ6SJpH0dBGI+LCss0dDTzPNhOn52lWrKdEz0fMkeh7d3k9WzEbfue1aPPvE/G6D19Wefdl29B00&#10;fvLZ45UXrGE6Iz3xndK+pddBjZ1YejpPYujpVz6gZ49Ku2d6+k1oGBp6+q1ogVx0Ez39VjQKRX2w&#10;q7QIs81vQaMwcjC0yIGFRM/LoqcJSa49TRyM0VMG3qV/uPaUNImkp4vAo/S0jtoJ6HhDnjAGriZ6&#10;plW5b1mViy31jjz4lM32ounZFx2+YeZiUtGz6/fb+BVZ2/VYXnROerZ1m9G+6b3YiaSn8iSKnl7l&#10;mp5FhsdDWQ2uBUxoGJpt/PynoAVEN33XO2BFo1DUB7tKixDbAhY0Cvu4wdAiBxYSPS+MniZ7UXva&#10;OBilJw+8S/8gPU2aeOm53xTXRLu3scmd/eX7cXq+djXRM9HzTfQ8un1fedq2fX2HzW3lGT8vN3L0&#10;xD5E+P4ZbupS8Un7i5TY+fmM+MQHWkBnehPUWooFqPMlBqAB7QOC5niqg/0dZEMic75jNjQQDUED&#10;ZrSEdCZ911t165gZzUOjP9xdWogR5+8uTcToIdFCBzYSRi8LozYuqQq14TbGUTP2p4BUssXLRgdS&#10;jkJ7/W2xZ49yE3fvarAOHXPW6kq3cdNt3FNu41LtOL4CF78ASdGFKDYlwsPI0aeg2Nuy3L/CUhR9&#10;i6cQ52Vp2+dY8kosFUuxLHW+jAFIw5G3JvJr182xr0LRF8xSvw1Nxj1LvSehJaQzmaV+MxqLppPC&#10;3aWFmHN+GxqL9CWrqCHRQgc2EksvjaUmjYmlJhTGWcpjfwpLJVsiWcqmQyw1rkaw9LWziaWpLH1T&#10;WZphbh6HaYmfTqNpV2Ud1NkAVpVpXlVVibmZK1N88r4pzrqoKMcXX5qKN7AzlmJp6nyJoqlf+4Cm&#10;ZZ/3NWPOb0OzsaFPpNFev9JdR05CS+ArMPS9VqpM/WY0GEU/74rot6SFmHR+GxqM0UOihQ5sJJpe&#10;GE1NtHBlakJhlKaSjm4mwED6F+fiKSVli5emlBys0sS8t7EJ8YELlpH2aGrYEWdti1SZ/sdUptcv&#10;64ebh836pzVeiKJ/vzzQvzDrb6brx6fZt9PdVP/NrW7mxepxtbibb77+NwAAAP//AwBQSwMEFAAG&#10;AAgAAAAhAEmj8S3iAAAADAEAAA8AAABkcnMvZG93bnJldi54bWxMj8FOwzAMhu9IvENkJG4sCaUb&#10;lKbTNAGnaRIbEuLmNV5brUmqJmu7tyc7wc2//On353w5mZYN1PvGWQVyJoCRLZ1ubKXga//+8AzM&#10;B7QaW2dJwYU8LIvbmxwz7Ub7ScMuVCyWWJ+hgjqELuPclzUZ9DPXkY27o+sNhhj7iusex1huWv4o&#10;xJwbbGy8UGNH65rK0+5sFHyMOK4S+TZsTsf15Wefbr83kpS6v5tWr8ACTeEPhqt+VIciOh3c2WrP&#10;2phluoiogheZALsCYpFKYIc4zcVTArzI+f8nil8AAAD//wMAUEsBAi0AFAAGAAgAAAAhALaDOJL+&#10;AAAA4QEAABMAAAAAAAAAAAAAAAAAAAAAAFtDb250ZW50X1R5cGVzXS54bWxQSwECLQAUAAYACAAA&#10;ACEAOP0h/9YAAACUAQAACwAAAAAAAAAAAAAAAAAvAQAAX3JlbHMvLnJlbHNQSwECLQAUAAYACAAA&#10;ACEAEG1lps4iAABSYQEADgAAAAAAAAAAAAAAAAAuAgAAZHJzL2Uyb0RvYy54bWxQSwECLQAUAAYA&#10;CAAAACEASaPxLeIAAAAMAQAADwAAAAAAAAAAAAAAAAAoJQAAZHJzL2Rvd25yZXYueG1sUEsFBgAA&#10;AAAEAAQA8wAAADcmAAAAAA==&#10;">
              <v:shape id="Freeform: Shape 10"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4QxAAAANsAAAAPAAAAZHJzL2Rvd25yZXYueG1sRI9Pb8Iw&#10;DMXvSPsOkZF2g5QdNtQREGKbhrQT/3Y2jWkLjdMlATo+/XyYxM3We37v58msc426UIi1ZwOjYQaK&#10;uPC25tLAdvMxGIOKCdli45kM/FKE2fShN8Hc+iuv6LJOpZIQjjkaqFJqc61jUZHDOPQtsWgHHxwm&#10;WUOpbcCrhLtGP2XZs3ZYszRU2NKiouK0PjsDu8Ny8fJ9fgu38Ll9P/64r3Hp9sY89rv5K6hEXbqb&#10;/6+XVvCFXn6RAfT0DwAA//8DAFBLAQItABQABgAIAAAAIQDb4fbL7gAAAIUBAAATAAAAAAAAAAAA&#10;AAAAAAAAAABbQ29udGVudF9UeXBlc10ueG1sUEsBAi0AFAAGAAgAAAAhAFr0LFu/AAAAFQEAAAsA&#10;AAAAAAAAAAAAAAAAHwEAAF9yZWxzLy5yZWxzUEsBAi0AFAAGAAgAAAAhAAXE7hDEAAAA2wAAAA8A&#10;AAAAAAAAAAAAAAAABwIAAGRycy9kb3ducmV2LnhtbFBLBQYAAAAAAwADALcAAAD4AgAAAAA=&#10;" path="m1137604,l,2406626r2275081,l1137604,xe" fillcolor="#ab5dba [3205]" stroked="f" strokeweight="0">
                <v:stroke joinstyle="miter"/>
                <v:path arrowok="t" o:connecttype="custom" o:connectlocs="1137604,0;0,2406626;2275081,2406626;1137604,0" o:connectangles="0,0,0,0"/>
              </v:shape>
              <v:shape id="Freeform: Shape 11"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39vwAAANsAAAAPAAAAZHJzL2Rvd25yZXYueG1sRE9Li8Iw&#10;EL4L+x/CLHizqQ+kdI2yKwh6c1XY69CMbbGZhCa29d8bQdjbfHzPWW0G04iOWl9bVjBNUhDEhdU1&#10;lwou590kA+EDssbGMil4kIfN+mO0wlzbnn+pO4VSxBD2OSqoQnC5lL6oyKBPrCOO3NW2BkOEbSl1&#10;i30MN42cpelSGqw5NlToaFtRcTvdjYIfWhbHrtyaRZb9ue7YH3Zzd1Bq/Dl8f4EINIR/8du913H+&#10;FF6/xAPk+gkAAP//AwBQSwECLQAUAAYACAAAACEA2+H2y+4AAACFAQAAEwAAAAAAAAAAAAAAAAAA&#10;AAAAW0NvbnRlbnRfVHlwZXNdLnhtbFBLAQItABQABgAIAAAAIQBa9CxbvwAAABUBAAALAAAAAAAA&#10;AAAAAAAAAB8BAABfcmVscy8ucmVsc1BLAQItABQABgAIAAAAIQCu8V39vwAAANsAAAAPAAAAAAAA&#10;AAAAAAAAAAcCAABkcnMvZG93bnJldi54bWxQSwUGAAAAAAMAAwC3AAAA8wIAAAAA&#10;" path="m,l1131533,2393851r12016,l2275081,,,xe" fillcolor="#ab5dba [3205]" stroked="f" strokeweight="0">
                <v:stroke joinstyle="miter"/>
                <v:path arrowok="t" o:connecttype="custom" o:connectlocs="0,0;1131279,2393316;1143292,2393316;2274570,0;0,0" o:connectangles="0,0,0,0,0"/>
              </v:shape>
              <v:group id="Group 12"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3"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VYwwAAANsAAAAPAAAAZHJzL2Rvd25yZXYueG1sRE9La8JA&#10;EL4L/odlhF6KbpqCtalrKILQgzRURTwO2WkSmp0N2c3D/vquUPA2H99z1uloatFT6yrLCp4WEQji&#10;3OqKCwWn426+AuE8ssbaMim4koN0M52sMdF24C/qD74QIYRdggpK75tESpeXZNAtbEMcuG/bGvQB&#10;toXULQ4h3NQyjqKlNFhxaCixoW1J+c+hMwr2VXd+HS/kh+xXR8fHlzg7f8ZKPczG9zcQnkZ/F/+7&#10;P3SY/wy3X8IBcvMHAAD//wMAUEsBAi0AFAAGAAgAAAAhANvh9svuAAAAhQEAABMAAAAAAAAAAAAA&#10;AAAAAAAAAFtDb250ZW50X1R5cGVzXS54bWxQSwECLQAUAAYACAAAACEAWvQsW78AAAAVAQAACwAA&#10;AAAAAAAAAAAAAAAfAQAAX3JlbHMvLnJlbHNQSwECLQAUAAYACAAAACEAe+uFWMMAAADb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14"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RFwwAAANsAAAAPAAAAZHJzL2Rvd25yZXYueG1sRE/basJA&#10;EH0v9B+WEXyrG+OFGl2liIJWUKr9gGl2TNJmZ0N2jdu/7xYKfZvDuc5iFUwtOmpdZVnBcJCAIM6t&#10;rrhQ8H7ZPj2DcB5ZY22ZFHyTg9Xy8WGBmbZ3fqPu7AsRQ9hlqKD0vsmkdHlJBt3ANsSRu9rWoI+w&#10;LaRu8R7DTS3TJJlKgxXHhhIbWpeUf51vRkE+Om3sZ/oxOcz26Tg5TsJr6IJS/V54mYPwFPy/+M+9&#10;03H+GH5/iQfI5Q8AAAD//wMAUEsBAi0AFAAGAAgAAAAhANvh9svuAAAAhQEAABMAAAAAAAAAAAAA&#10;AAAAAAAAAFtDb250ZW50X1R5cGVzXS54bWxQSwECLQAUAAYACAAAACEAWvQsW78AAAAVAQAACwAA&#10;AAAAAAAAAAAAAAAfAQAAX3JlbHMvLnJlbHNQSwECLQAUAAYACAAAACEAsoxURcMAAADb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15"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EQwAAAANsAAAAPAAAAZHJzL2Rvd25yZXYueG1sRE/NasJA&#10;EL4X+g7LFHqrGxVLSd0EK0i99GD0AYbsuIlmZ9Pd1cS37wpCb/Px/c6yHG0nruRD61jBdJKBIK6d&#10;btkoOOw3bx8gQkTW2DkmBTcKUBbPT0vMtRt4R9cqGpFCOOSooImxz6UMdUMWw8T1xIk7Om8xJuiN&#10;1B6HFG47Ocuyd2mx5dTQYE/rhupzdbEKviRK2pjKrHv/s5r/dqf58L1X6vVlXH2CiDTGf/HDvdVp&#10;/gLuv6QDZPEHAAD//wMAUEsBAi0AFAAGAAgAAAAhANvh9svuAAAAhQEAABMAAAAAAAAAAAAAAAAA&#10;AAAAAFtDb250ZW50X1R5cGVzXS54bWxQSwECLQAUAAYACAAAACEAWvQsW78AAAAVAQAACwAAAAAA&#10;AAAAAAAAAAAfAQAAX3JlbHMvLnJlbHNQSwECLQAUAAYACAAAACEAAYlhEMAAAADb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16"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OAwQAAANsAAAAPAAAAZHJzL2Rvd25yZXYueG1sRE/bagIx&#10;EH0v+A9hCn0pmrVU0dUottRW37x9wLAZd5duJksy1e3fNwXBtzmc68yXnWvUhUKsPRsYDjJQxIW3&#10;NZcGTsd1fwIqCrLFxjMZ+KUIy0XvYY659Vfe0+UgpUohHHM0UIm0udaxqMhhHPiWOHFnHxxKgqHU&#10;NuA1hbtGv2TZWDusOTVU2NJ7RcX34ccZoEw+R6uP1+3mOUzfaM27Lys7Y54eu9UMlFAnd/HNvbFp&#10;/hj+f0kH6MUfAAAA//8DAFBLAQItABQABgAIAAAAIQDb4fbL7gAAAIUBAAATAAAAAAAAAAAAAAAA&#10;AAAAAABbQ29udGVudF9UeXBlc10ueG1sUEsBAi0AFAAGAAgAAAAhAFr0LFu/AAAAFQEAAAsAAAAA&#10;AAAAAAAAAAAAHwEAAF9yZWxzLy5yZWxzUEsBAi0AFAAGAAgAAAAhAJ9Mg4DBAAAA2w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26"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wxwgAAANsAAAAPAAAAZHJzL2Rvd25yZXYueG1sRI/BasMw&#10;EETvhfyD2EBvtdwcTO1GCaEkEEig1C70ulhb20RaGUuJ1b+PCoUeh5l5w6y30Rpxo8kPjhU8ZzkI&#10;4tbpgTsFn83h6QWED8gajWNS8EMetpvFwxor7Wb+oFsdOpEg7CtU0IcwVlL6tieLPnMjcfK+3WQx&#10;JDl1Uk84J7g1cpXnhbQ4cFrocaS3ntpLfbUKEM+xuRZByr038fTlytq8l0o9LuPuFUSgGP7Df+2j&#10;VrAq4PdL+gFycwcAAP//AwBQSwECLQAUAAYACAAAACEA2+H2y+4AAACFAQAAEwAAAAAAAAAAAAAA&#10;AAAAAAAAW0NvbnRlbnRfVHlwZXNdLnhtbFBLAQItABQABgAIAAAAIQBa9CxbvwAAABUBAAALAAAA&#10;AAAAAAAAAAAAAB8BAABfcmVscy8ucmVsc1BLAQItABQABgAIAAAAIQAlczwxwgAAANs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7"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hdxAAAANsAAAAPAAAAZHJzL2Rvd25yZXYueG1sRI9Pa8JA&#10;FMTvBb/D8gpeitlUwdjUVWxF6tXES2+P7MufNvs2za4m/fbdguBxmJnfMOvtaFpxpd41lhU8RzEI&#10;4sLqhisF5/wwW4FwHllja5kU/JKD7WbysMZU24FPdM18JQKEXYoKau+7VEpX1GTQRbYjDl5pe4M+&#10;yL6SuschwE0r53G8lAYbDgs1dvReU/GdXYyCRfmS55efU/NZZG+J46f864P2Sk0fx90rCE+jv4dv&#10;7aNWME/g/0v4AXLzBwAA//8DAFBLAQItABQABgAIAAAAIQDb4fbL7gAAAIUBAAATAAAAAAAAAAAA&#10;AAAAAAAAAABbQ29udGVudF9UeXBlc10ueG1sUEsBAi0AFAAGAAgAAAAhAFr0LFu/AAAAFQEAAAsA&#10;AAAAAAAAAAAAAAAAHwEAAF9yZWxzLy5yZWxzUEsBAi0AFAAGAAgAAAAhAJytSF3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30"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HwAAAANsAAAAPAAAAZHJzL2Rvd25yZXYueG1sRE9NawIx&#10;EL0L/Q9hCr1p1orabo1iBcGL4GovvQ2b6WZxM1mSVOO/NwfB4+N9L1bJduJCPrSOFYxHBQji2umW&#10;GwU/p+3wA0SIyBo7x6TgRgFWy5fBAkvtrlzR5RgbkUM4lKjAxNiXUobakMUwcj1x5v6ctxgz9I3U&#10;Hq853HbyvShm0mLLucFgTxtD9fn4bxX01W4/MfP07T9/UzfdmPWM/EGpt9e0/gIRKcWn+OHeaQWT&#10;vD5/yT9ALu8AAAD//wMAUEsBAi0AFAAGAAgAAAAhANvh9svuAAAAhQEAABMAAAAAAAAAAAAAAAAA&#10;AAAAAFtDb250ZW50X1R5cGVzXS54bWxQSwECLQAUAAYACAAAACEAWvQsW78AAAAVAQAACwAAAAAA&#10;AAAAAAAAAAAfAQAAX3JlbHMvLnJlbHNQSwECLQAUAAYACAAAACEAS/jHh8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31"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mBxQAAANsAAAAPAAAAZHJzL2Rvd25yZXYueG1sRI9BawIx&#10;FITvBf9DeEIvolmr1LoaRSsFQahoS8/PzXOzuHlZNqm77a9vBKHHYWa+YebL1pbiSrUvHCsYDhIQ&#10;xJnTBecKPj/e+i8gfEDWWDomBT/kYbnoPMwx1a7hA12PIRcRwj5FBSaEKpXSZ4Ys+oGriKN3drXF&#10;EGWdS11jE+G2lE9J8iwtFhwXDFb0aii7HL+tgqlfb3b7ybjn3k/022xle/rKjVKP3XY1AxGoDf/h&#10;e3urFYyGcPsSf4Bc/AEAAP//AwBQSwECLQAUAAYACAAAACEA2+H2y+4AAACFAQAAEwAAAAAAAAAA&#10;AAAAAAAAAAAAW0NvbnRlbnRfVHlwZXNdLnhtbFBLAQItABQABgAIAAAAIQBa9CxbvwAAABUBAAAL&#10;AAAAAAAAAAAAAAAAAB8BAABfcmVscy8ucmVsc1BLAQItABQABgAIAAAAIQDJW5mB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1882196064"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KvyQAAAOMAAAAPAAAAZHJzL2Rvd25yZXYueG1sRE9fS8Mw&#10;EH8X9h3CCb65dGXUti4bQxgMBMVOkb3dmrMtNpfaxDX66Y0g+Hi//7faBNOLM42us6xgMU9AENdW&#10;d9woeD7srnMQziNr7C2Tgi9ysFnPLlZYajvxE50r34gYwq5EBa33Qymlq1sy6OZ2II7cmx0N+niO&#10;jdQjTjHc9DJNkkwa7Dg2tDjQXUv1e/VpFBSnw/dDev9aYfE43bx8LIOuj0Gpq8uwvQXhKfh/8Z97&#10;r+P8PE8XRZZkS/j9KQIg1z8AAAD//wMAUEsBAi0AFAAGAAgAAAAhANvh9svuAAAAhQEAABMAAAAA&#10;AAAAAAAAAAAAAAAAAFtDb250ZW50X1R5cGVzXS54bWxQSwECLQAUAAYACAAAACEAWvQsW78AAAAV&#10;AQAACwAAAAAAAAAAAAAAAAAfAQAAX3JlbHMvLnJlbHNQSwECLQAUAAYACAAAACEAhowSr8kAAADj&#10;AAAADwAAAAAAAAAAAAAAAAAHAgAAZHJzL2Rvd25yZXYueG1sUEsFBgAAAAADAAMAtwAAAP0CAAAA&#10;AA==&#10;" path="m44649,l,94611r6957,14798l58689,,44649,xe" filled="f" stroked="f" strokeweight="0">
                  <v:stroke joinstyle="miter"/>
                  <v:path arrowok="t" o:connecttype="custom" o:connectlocs="44649,0;0,94611;6957,109409;58689,0;44649,0" o:connectangles="0,0,0,0,0"/>
                </v:shape>
                <v:shape id="Freeform: Shape 1882196065"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cxwAAAOMAAAAPAAAAZHJzL2Rvd25yZXYueG1sRE+9TsMw&#10;EN6ReAfrkLpRJ1UbhVC3CkhUXSks2U72EQfic4hNm/bpayQkxvv+b72dXC+ONIbOs4J8noEg1t50&#10;3Cp4f3u5L0GEiGyw90wKzhRgu7m9WWNl/Ilf6XiIrUghHCpUYGMcKimDtuQwzP1AnLgPPzqM6Rxb&#10;aUY8pXDXy0WWFdJhx6nB4kDPlvTX4ccpuGB9vizr3Hv9FD53VjfTd94oNbub6kcQkab4L/5z702a&#10;X5aL/KHIihX8/pQAkJsrAAAA//8DAFBLAQItABQABgAIAAAAIQDb4fbL7gAAAIUBAAATAAAAAAAA&#10;AAAAAAAAAAAAAABbQ29udGVudF9UeXBlc10ueG1sUEsBAi0AFAAGAAgAAAAhAFr0LFu/AAAAFQEA&#10;AAsAAAAAAAAAAAAAAAAAHwEAAF9yZWxzLy5yZWxzUEsBAi0AFAAGAAgAAAAhANyP5ZzHAAAA4wAA&#10;AA8AAAAAAAAAAAAAAAAABwIAAGRycy9kb3ducmV2LnhtbFBLBQYAAAAAAwADALcAAAD7AgAAAAA=&#10;" path="m96381,l,204020r6957,14799l110421,,96381,xe" filled="f" stroked="f" strokeweight="0">
                  <v:stroke joinstyle="miter"/>
                  <v:path arrowok="t" o:connecttype="custom" o:connectlocs="96381,0;0,204020;6957,218819;110421,0;96381,0" o:connectangles="0,0,0,0,0"/>
                </v:shape>
                <v:shape id="Freeform: Shape 1882196066"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BFyQAAAOMAAAAPAAAAZHJzL2Rvd25yZXYueG1sRE9LS8NA&#10;EL4X/A/LCN7aTarENGZbRBEKHqQPoccxO2YTs7Mhu6bx37uC0ON87yk3k+3ESINvHCtIFwkI4srp&#10;hmsFx8PLPAfhA7LGzjEp+CEPm/XVrMRCuzPvaNyHWsQQ9gUqMCH0hZS+MmTRL1xPHLlPN1gM8Rxq&#10;qQc8x3DbyWWSZNJiw7HBYE9Phqqv/bdVcLp9G+/HqWvN8/bYvqfNx6G+e1Xq5np6fAARaAoX8b97&#10;q+P8PF+mqyzJMvj7KQIg178AAAD//wMAUEsBAi0AFAAGAAgAAAAhANvh9svuAAAAhQEAABMAAAAA&#10;AAAAAAAAAAAAAAAAAFtDb250ZW50X1R5cGVzXS54bWxQSwECLQAUAAYACAAAACEAWvQsW78AAAAV&#10;AQAACwAAAAAAAAAAAAAAAAAfAQAAX3JlbHMvLnJlbHNQSwECLQAUAAYACAAAACEAWWhQRckAAADj&#10;AAAADwAAAAAAAAAAAAAAAAAHAgAAZHJzL2Rvd25yZXYueG1sUEsFBgAAAAADAAMAtwAAAP0CAAAA&#10;AA==&#10;" path="m148114,l,313429r6957,14799l162027,,148114,xe" filled="f" stroked="f" strokeweight="0">
                  <v:stroke joinstyle="miter"/>
                  <v:path arrowok="t" o:connecttype="custom" o:connectlocs="148114,0;0,313429;6957,328228;162027,0;148114,0" o:connectangles="0,0,0,0,0"/>
                </v:shape>
                <v:shape id="Freeform: Shape 1882196067"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N1xwAAAOMAAAAPAAAAZHJzL2Rvd25yZXYueG1sRE9PS8Mw&#10;FL8L+w7hCbu5ZENqrcvG2HAKHmTVg8dH80yLzUtpsi5+eyMIHt/v/1tvk+vFRGPoPGtYLhQI4sab&#10;jq2G97fHmxJEiMgGe8+k4ZsCbDezqzVWxl/4RFMdrcghHCrU0MY4VFKGpiWHYeEH4sx9+tFhzOdo&#10;pRnxksNdL1dKFdJhx7mhxYH2LTVf9dlpIGtvjx/m6fRyOKdepcNUp/2r1vPrtHsAESnFf/Gf+9nk&#10;+WW5Wt4XqriD358yAHLzAwAA//8DAFBLAQItABQABgAIAAAAIQDb4fbL7gAAAIUBAAATAAAAAAAA&#10;AAAAAAAAAAAAAABbQ29udGVudF9UeXBlc10ueG1sUEsBAi0AFAAGAAgAAAAhAFr0LFu/AAAAFQEA&#10;AAsAAAAAAAAAAAAAAAAAHwEAAF9yZWxzLy5yZWxzUEsBAi0AFAAGAAgAAAAhADxWM3XHAAAA4wAA&#10;AA8AAAAAAAAAAAAAAAAABwIAAGRycy9kb3ducmV2LnhtbFBLBQYAAAAAAwADALcAAAD7AgAAAAA=&#10;" path="m199846,l,422839r6957,14798l213759,,199846,xe" filled="f" stroked="f" strokeweight="0">
                  <v:stroke joinstyle="miter"/>
                  <v:path arrowok="t" o:connecttype="custom" o:connectlocs="199846,0;0,422839;6957,437637;213759,0;199846,0" o:connectangles="0,0,0,0,0"/>
                </v:shape>
                <v:shape id="Freeform: Shape 1882196068"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jezAAAAOMAAAAPAAAAZHJzL2Rvd25yZXYueG1sRI9BS8NA&#10;EIXvQv/DMgUvYjcNGGLsttiC4kUkrdDrNDsmabOzITu20V/vHgoeZ96b975ZrEbXqTMNofVsYD5L&#10;QBFX3rZcG/jcvdznoIIgW+w8k4EfCrBaTm4WWFh/4ZLOW6lVDOFQoIFGpC+0DlVDDsPM98RR+/KD&#10;Q4njUGs74CWGu06nSZJphy3HhgZ72jRUnbbfzsBHufbH9LDu9umdvD5syt/6XXbG3E7H5ydQQqP8&#10;m6/Xbzbi53k6f8ySLELHn+IC9PIPAAD//wMAUEsBAi0AFAAGAAgAAAAhANvh9svuAAAAhQEAABMA&#10;AAAAAAAAAAAAAAAAAAAAAFtDb250ZW50X1R5cGVzXS54bWxQSwECLQAUAAYACAAAACEAWvQsW78A&#10;AAAVAQAACwAAAAAAAAAAAAAAAAAfAQAAX3JlbHMvLnJlbHNQSwECLQAUAAYACAAAACEAmXno3swA&#10;AADjAAAADwAAAAAAAAAAAAAAAAAHAgAAZHJzL2Rvd25yZXYueG1sUEsFBgAAAAADAAMAtwAAAAAD&#10;AAAAAA==&#10;" path="m665436,l,1407649r6957,14799l679350,,665436,xe" filled="f" stroked="f" strokeweight="0">
                  <v:stroke joinstyle="miter"/>
                  <v:path arrowok="t" o:connecttype="custom" o:connectlocs="665436,0;0,1407649;6957,1422448;679350,0;665436,0" o:connectangles="0,0,0,0,0"/>
                </v:shape>
                <v:shape id="Freeform: Shape 1882196069"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06xwAAAOMAAAAPAAAAZHJzL2Rvd25yZXYueG1sRE9La8JA&#10;EL4L/odlhF5ENwoNMXUVsQj2Vk2x1yE7ebTZ2ZBdY/z3XUHocb73rLeDaURPnastK1jMIxDEudU1&#10;lwq+ssMsAeE8ssbGMim4k4PtZjxaY6rtjU/Un30pQgi7FBVU3replC6vyKCb25Y4cIXtDPpwdqXU&#10;Hd5CuGnkMopiabDm0FBhS/uK8t/z1Si4ZIX/OXy2ri6+p6/Xk8nKj/5dqZfJsHsD4Wnw/+Kn+6jD&#10;/CRZLlZxFK/g8VMAQG7+AAAA//8DAFBLAQItABQABgAIAAAAIQDb4fbL7gAAAIUBAAATAAAAAAAA&#10;AAAAAAAAAAAAAABbQ29udGVudF9UeXBlc10ueG1sUEsBAi0AFAAGAAgAAAAhAFr0LFu/AAAAFQEA&#10;AAsAAAAAAAAAAAAAAAAAHwEAAF9yZWxzLy5yZWxzUEsBAi0AFAAGAAgAAAAhAMfvHTrHAAAA4wAA&#10;AA8AAAAAAAAAAAAAAAAABwIAAGRycy9kb3ducmV2LnhtbFBLBQYAAAAAAwADALcAAAD7AgAAAAA=&#10;" path="m717042,l,1517059r6957,14798l731082,,717042,xe" filled="f" stroked="f" strokeweight="0">
                  <v:stroke joinstyle="miter"/>
                  <v:path arrowok="t" o:connecttype="custom" o:connectlocs="717042,0;0,1517059;6957,1531857;731082,0;717042,0" o:connectangles="0,0,0,0,0"/>
                </v:shape>
                <v:shape id="Freeform: Shape 1882196070"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CGzAAAAOMAAAAPAAAAZHJzL2Rvd25yZXYueG1sRI9BT8Mw&#10;DIXvSPyHyEhcEEu3wyhl2QSThkBi0uiQuJrGawqNUzVhC/8eH5A42n7vfX6LVfa9OtIYu8AGppMC&#10;FHETbMetgbf95roEFROyxT4wGfihCKvl+dkCKxtO/ErHOrVKQjhWaMClNFRax8aRxzgJA7HcDmH0&#10;mGQcW21HPEm47/WsKObaY8dCcDjQ2lHzVX97gTw/1mXe7jb79cOhfvm4cu+fu2zM5UW+vwOVKKd/&#10;8Z/7ycr7ZTmb3s6LG2khnWQBevkLAAD//wMAUEsBAi0AFAAGAAgAAAAhANvh9svuAAAAhQEAABMA&#10;AAAAAAAAAAAAAAAAAAAAAFtDb250ZW50X1R5cGVzXS54bWxQSwECLQAUAAYACAAAACEAWvQsW78A&#10;AAAVAQAACwAAAAAAAAAAAAAAAAAfAQAAX3JlbHMvLnJlbHNQSwECLQAUAAYACAAAACEAeXwwhswA&#10;AADjAAAADwAAAAAAAAAAAAAAAAAHAgAAZHJzL2Rvd25yZXYueG1sUEsFBgAAAAADAAMAtwAAAAAD&#10;AAAAAA==&#10;" path="m768774,l,1626468r6957,14798l782814,,768774,xe" filled="f" stroked="f" strokeweight="0">
                  <v:stroke joinstyle="miter"/>
                  <v:path arrowok="t" o:connecttype="custom" o:connectlocs="768774,0;0,1626468;6957,1641266;782814,0;768774,0" o:connectangles="0,0,0,0,0"/>
                </v:shape>
                <v:shape id="Freeform: Shape 1882196071"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8WyQAAAOMAAAAPAAAAZHJzL2Rvd25yZXYueG1sRE/NasJA&#10;EL4LfYdlCr1I3SSHuE1dRVospQch2gcYsmMSzM6G7NakPr1bKHic739Wm8l24kKDbx1rSBcJCOLK&#10;mZZrDd/H3bMC4QOywc4xafglD5v1w2yFhXEjl3Q5hFrEEPYFamhC6AspfdWQRb9wPXHkTm6wGOI5&#10;1NIMOMZw28ksSXJpseXY0GBPbw1V58OP1aC2+fVdVbKezl/lfvzYzU/Zca/10+O0fQURaAp38b/7&#10;08T5SmXpS54sU/j7KQIg1zcAAAD//wMAUEsBAi0AFAAGAAgAAAAhANvh9svuAAAAhQEAABMAAAAA&#10;AAAAAAAAAAAAAAAAAFtDb250ZW50X1R5cGVzXS54bWxQSwECLQAUAAYACAAAACEAWvQsW78AAAAV&#10;AQAACwAAAAAAAAAAAAAAAAAfAQAAX3JlbHMvLnJlbHNQSwECLQAUAAYACAAAACEAi9RfFskAAADj&#10;AAAADwAAAAAAAAAAAAAAAAAHAgAAZHJzL2Rvd25yZXYueG1sUEsFBgAAAAADAAMAtwAAAP0CAAAA&#10;AA==&#10;" path="m820507,l,1735877r6957,14799l834546,,820507,xe" filled="f" stroked="f" strokeweight="0">
                  <v:stroke joinstyle="miter"/>
                  <v:path arrowok="t" o:connecttype="custom" o:connectlocs="820507,0;0,1735877;6957,1750676;834546,0;820507,0" o:connectangles="0,0,0,0,0"/>
                </v:shape>
                <v:shape id="Freeform: Shape 1882196072"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QJxQAAAOMAAAAPAAAAZHJzL2Rvd25yZXYueG1sRE9fa8Iw&#10;EH8f+B3CDfY2Uyu42hlFCgOfZKuCr0dzNsXkUprM1m+/DAZ7vN//2+wmZ8WdhtB5VrCYZyCIG687&#10;bhWcTx+vBYgQkTVaz6TgQQF229nTBkvtR/6iex1bkUI4lKjAxNiXUobGkMMw9z1x4q5+cBjTObRS&#10;DzimcGdlnmUr6bDj1GCwp8pQc6u/nYJldbTX8Yafl9Mx1NKaWuKjUurledq/g4g0xX/xn/ug0/yi&#10;yBfrVfaWw+9PCQC5/QEAAP//AwBQSwECLQAUAAYACAAAACEA2+H2y+4AAACFAQAAEwAAAAAAAAAA&#10;AAAAAAAAAAAAW0NvbnRlbnRfVHlwZXNdLnhtbFBLAQItABQABgAIAAAAIQBa9CxbvwAAABUBAAAL&#10;AAAAAAAAAAAAAAAAAB8BAABfcmVscy8ucmVsc1BLAQItABQABgAIAAAAIQB9vrQJxQAAAOMAAAAP&#10;AAAAAAAAAAAAAAAAAAcCAABkcnMvZG93bnJldi54bWxQSwUGAAAAAAMAAwC3AAAA+QIAAAAA&#10;" path="m872239,l,1845286r6957,14799l886152,,872239,xe" filled="f" stroked="f" strokeweight="0">
                  <v:stroke joinstyle="miter"/>
                  <v:path arrowok="t" o:connecttype="custom" o:connectlocs="872239,0;0,1845286;6957,1860085;886152,0;872239,0" o:connectangles="0,0,0,0,0"/>
                </v:shape>
                <v:shape id="Freeform: Shape 1882196073"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JvxwAAAOMAAAAPAAAAZHJzL2Rvd25yZXYueG1sRE9fa8Iw&#10;EH8X/A7hBF9kpip0XWcUFUQRBtNt70dza4vNpTSx1m9vBMHH+/2/+bIzlWipcaVlBZNxBII4s7rk&#10;XMHvz/YtAeE8ssbKMim4kYPlot+bY6rtlY/UnnwuQgi7FBUU3teplC4ryKAb25o4cP+2MejD2eRS&#10;N3gN4aaS0yiKpcGSQ0OBNW0Kys6ni1HwdYzzdTb6a/f++3DZzSyOcHNQajjoVp8gPHX+JX669zrM&#10;T5Lp5COO3mfw+CkAIBd3AAAA//8DAFBLAQItABQABgAIAAAAIQDb4fbL7gAAAIUBAAATAAAAAAAA&#10;AAAAAAAAAAAAAABbQ29udGVudF9UeXBlc10ueG1sUEsBAi0AFAAGAAgAAAAhAFr0LFu/AAAAFQEA&#10;AAsAAAAAAAAAAAAAAAAAHwEAAF9yZWxzLy5yZWxzUEsBAi0AFAAGAAgAAAAhAIA/Am/HAAAA4wAA&#10;AA8AAAAAAAAAAAAAAAAABwIAAGRycy9kb3ducmV2LnhtbFBLBQYAAAAAAwADALcAAAD7AgAAAAA=&#10;" path="m923971,l,1954696r6957,14798l937884,,923971,xe" filled="f" stroked="f" strokeweight="0">
                  <v:stroke joinstyle="miter"/>
                  <v:path arrowok="t" o:connecttype="custom" o:connectlocs="923971,0;0,1954696;6957,1969494;937884,0;923971,0" o:connectangles="0,0,0,0,0"/>
                </v:shape>
                <v:shape id="Freeform: Shape 1882196074"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mVxgAAAOMAAAAPAAAAZHJzL2Rvd25yZXYueG1sRE9fa8Iw&#10;EH8f+B3CCb7NVJGu64wiipvDJ3X0+WhubbG5lCTW+u2XwWCP9/t/y/VgWtGT841lBbNpAoK4tLrh&#10;SsHXZf+cgfABWWNrmRQ8yMN6NXpaYq7tnU/Un0MlYgj7HBXUIXS5lL6syaCf2o44ct/WGQzxdJXU&#10;Du8x3LRyniSpNNhwbKixo21N5fV8Mwq0PH5Uvf1Md/2jOLhQFPrdFEpNxsPmDUSgIfyL/9wHHedn&#10;2Xz2miYvC/j9KQIgVz8AAAD//wMAUEsBAi0AFAAGAAgAAAAhANvh9svuAAAAhQEAABMAAAAAAAAA&#10;AAAAAAAAAAAAAFtDb250ZW50X1R5cGVzXS54bWxQSwECLQAUAAYACAAAACEAWvQsW78AAAAVAQAA&#10;CwAAAAAAAAAAAAAAAAAfAQAAX3JlbHMvLnJlbHNQSwECLQAUAAYACAAAACEAJFfJlcYAAADjAAAA&#10;DwAAAAAAAAAAAAAAAAAHAgAAZHJzL2Rvd25yZXYueG1sUEsFBgAAAAADAAMAtwAAAPoCAAAAAA==&#10;" path="m975703,l,2064105r7083,14799l989743,,975703,xe" filled="f" stroked="f" strokeweight="0">
                  <v:stroke joinstyle="miter"/>
                  <v:path arrowok="t" o:connecttype="custom" o:connectlocs="975703,0;0,2064105;7083,2078904;989743,0;975703,0" o:connectangles="0,0,0,0,0"/>
                </v:shape>
                <v:shape id="Freeform: Shape 1882196075"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uMyQAAAOMAAAAPAAAAZHJzL2Rvd25yZXYueG1sRE/dS8Mw&#10;EH8X/B/CCb65ZEW7WpeNMSbsQRj7gOnb0ZxtsbmUJHb1vzeCsMf7fd98OdpODORD61jDdKJAEFfO&#10;tFxrOB1fHwoQISIb7ByThh8KsFzc3syxNO7CexoOsRYphEOJGpoY+1LKUDVkMUxcT5y4T+ctxnT6&#10;WhqPlxRuO5kplUuLLaeGBntaN1R9Hb6tht3w5rvzmXO1yvKP/ePu9D5uN1rf342rFxCRxngV/7u3&#10;Js0vimz6nKvZE/z9lACQi18AAAD//wMAUEsBAi0AFAAGAAgAAAAhANvh9svuAAAAhQEAABMAAAAA&#10;AAAAAAAAAAAAAAAAAFtDb250ZW50X1R5cGVzXS54bWxQSwECLQAUAAYACAAAACEAWvQsW78AAAAV&#10;AQAACwAAAAAAAAAAAAAAAAAfAQAAX3JlbHMvLnJlbHNQSwECLQAUAAYACAAAACEAMjwrjMkAAADj&#10;AAAADwAAAAAAAAAAAAAAAAAHAgAAZHJzL2Rvd25yZXYueG1sUEsFBgAAAAADAAMAtwAAAP0CAAAA&#10;AA==&#10;" path="m1027436,l,2173514r7083,14799l1041475,r-14039,xe" filled="f" stroked="f" strokeweight="0">
                  <v:stroke joinstyle="miter"/>
                  <v:path arrowok="t" o:connecttype="custom" o:connectlocs="1027436,0;0,2173514;7083,2188313;1041475,0;1027436,0" o:connectangles="0,0,0,0,0"/>
                </v:shape>
                <v:shape id="Freeform: Shape 1882196076"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cyAAAAOMAAAAPAAAAZHJzL2Rvd25yZXYueG1sRE/NasJA&#10;EL4LfYdlhN50Y5AYo6tUoTQUeqgWvI7ZMQlmZ0N2NfHtu4WCx/n+Z70dTCPu1LnasoLZNAJBXFhd&#10;c6ng5/g+SUE4j6yxsUwKHuRgu3kZrTHTtudvuh98KUIIuwwVVN63mZSuqMigm9qWOHAX2xn04exK&#10;qTvsQ7hpZBxFiTRYc2iosKV9RcX1cDMK8vPu63E8zfP99SNepL3/HOZ5otTreHhbgfA0+Kf4353r&#10;MD9N49kyiRYJ/P0UAJCbXwAAAP//AwBQSwECLQAUAAYACAAAACEA2+H2y+4AAACFAQAAEwAAAAAA&#10;AAAAAAAAAAAAAAAAW0NvbnRlbnRfVHlwZXNdLnhtbFBLAQItABQABgAIAAAAIQBa9CxbvwAAABUB&#10;AAALAAAAAAAAAAAAAAAAAB8BAABfcmVscy8ucmVsc1BLAQItABQABgAIAAAAIQC+JEzcyAAAAOMA&#10;AAAPAAAAAAAAAAAAAAAAAAcCAABkcnMvZG93bnJldi54bWxQSwUGAAAAAAMAAwC3AAAA/AIAAAAA&#10;" path="m1079168,l,2282924r7083,14799l1093081,r-13913,xe" filled="f" stroked="f" strokeweight="0">
                  <v:stroke joinstyle="miter"/>
                  <v:path arrowok="t" o:connecttype="custom" o:connectlocs="1079168,0;0,2282924;7083,2297723;1093081,0;1079168,0" o:connectangles="0,0,0,0,0"/>
                </v:shape>
                <v:shape id="Freeform: Shape 1882196077"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t+ygAAAOMAAAAPAAAAZHJzL2Rvd25yZXYueG1sRE9La8JA&#10;EL4L/Q/LFHrTTXzEmLqKWBTxIFTF9jhkp0kwOxuyW03767uFQo/zvWe+7EwtbtS6yrKCeBCBIM6t&#10;rrhQcD5t+ikI55E11pZJwRc5WC4eenPMtL3zK92OvhAhhF2GCkrvm0xKl5dk0A1sQxy4D9sa9OFs&#10;C6lbvIdwU8thFCXSYMWhocSG1iXl1+OnUbC5Hl4Ol9mqeI+Tt9N4i8n3aLJX6umxWz2D8NT5f/Gf&#10;e6fD/DQdxrMkmk7h96cAgFz8AAAA//8DAFBLAQItABQABgAIAAAAIQDb4fbL7gAAAIUBAAATAAAA&#10;AAAAAAAAAAAAAAAAAABbQ29udGVudF9UeXBlc10ueG1sUEsBAi0AFAAGAAgAAAAhAFr0LFu/AAAA&#10;FQEAAAsAAAAAAAAAAAAAAAAAHwEAAF9yZWxzLy5yZWxzUEsBAi0AFAAGAAgAAAAhABppO37KAAAA&#10;4wAAAA8AAAAAAAAAAAAAAAAABwIAAGRycy9kb3ducmV2LnhtbFBLBQYAAAAAAwADALcAAAD+AgAA&#10;AAA=&#10;" path="m1130647,l,2391953r6830,14673l1144434,r-13787,xe" filled="f" stroked="f" strokeweight="0">
                  <v:stroke joinstyle="miter"/>
                  <v:path arrowok="t" o:connecttype="custom" o:connectlocs="1130647,0;0,2391953;6830,2406626;1144434,0;1130647,0" o:connectangles="0,0,0,0,0"/>
                </v:shape>
              </v:group>
              <v:shape id="Freeform: Shape 1882196078"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4sywAAAOMAAAAPAAAAZHJzL2Rvd25yZXYueG1sRI9BS8NA&#10;EIXvgv9hGcGb3U3BGmO3RURB8CCNIvQ23R2T0OxszK5t+u+dg9DjzHvz3jfL9RR6daAxdZEtFDMD&#10;ithF33Fj4fPj5aYElTKyxz4yWThRgvXq8mKJlY9H3tChzo2SEE4VWmhzHiqtk2spYJrFgVi07zgG&#10;zDKOjfYjHiU89HpuzEIH7FgaWhzoqSW3r3+DhZDyyW3Nbb35cW+7qSye37+KvbXXV9PjA6hMUz6b&#10;/69fveCX5by4X5g7gZafZAF69QcAAP//AwBQSwECLQAUAAYACAAAACEA2+H2y+4AAACFAQAAEwAA&#10;AAAAAAAAAAAAAAAAAAAAW0NvbnRlbnRfVHlwZXNdLnhtbFBLAQItABQABgAIAAAAIQBa9CxbvwAA&#10;ABUBAAALAAAAAAAAAAAAAAAAAB8BAABfcmVscy8ucmVsc1BLAQItABQABgAIAAAAIQDCJi4sywAA&#10;AOMAAAAPAAAAAAAAAAAAAAAAAAcCAABkcnMvZG93bnJldi54bWxQSwUGAAAAAAMAAwC3AAAA/wIA&#10;AAAA&#10;" path="m,2406499r1592190,l1592190,961664,1137604,,,2406499xe" fillcolor="#87189d [3204]" stroked="f" strokeweight="0">
                <v:stroke joinstyle="miter"/>
                <v:path arrowok="t" o:connecttype="custom" o:connectlocs="0,2406499;1592190,2406499;1592190,961664;1137604,0;0,2406499" o:connectangles="0,0,0,0,0"/>
              </v:shape>
              <v:shape id="Freeform: Shape 1882196079"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3BxwAAAOMAAAAPAAAAZHJzL2Rvd25yZXYueG1sRE9fa8Iw&#10;EH8X9h3CDfamqTJcraYyBIfMp7Vj4NvR3JpuzaU0ma3ffhEEH+/3/zbb0bbiTL1vHCuYzxIQxJXT&#10;DdcKPsv9NAXhA7LG1jEpuJCHbf4w2WCm3cAfdC5CLWII+wwVmBC6TEpfGbLoZ64jjty36y2GePa1&#10;1D0OMdy2cpEkS2mx4dhgsKOdoeq3+LMK9Jvelafn9n3/9XMgU16OwRVHpZ4ex9c1iEBjuItv7oOO&#10;89N0MV8tk5cVXH+KAMj8HwAA//8DAFBLAQItABQABgAIAAAAIQDb4fbL7gAAAIUBAAATAAAAAAAA&#10;AAAAAAAAAAAAAABbQ29udGVudF9UeXBlc10ueG1sUEsBAi0AFAAGAAgAAAAhAFr0LFu/AAAAFQEA&#10;AAsAAAAAAAAAAAAAAAAAHwEAAF9yZWxzLy5yZWxzUEsBAi0AFAAGAAgAAAAhANjt7cHHAAAA4wAA&#10;AA8AAAAAAAAAAAAAAAAABwIAAGRycy9kb3ducmV2LnhtbFBLBQYAAAAAAwADALcAAAD7AgAAAAA=&#10;" path="m1137604,2406499l,,2275208,,1137604,2406499xe" fillcolor="#87189d [3204]" stroked="f" strokeweight="0">
                <v:stroke joinstyle="miter"/>
                <v:path arrowok="t" o:connecttype="custom" o:connectlocs="1137604,2406499;0,0;2275208,0;1137604,2406499" o:connectangles="0,0,0,0"/>
              </v:shape>
              <v:group id="Group 1882196080"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5w+zAAAAOMAAAAPAAAAZHJzL2Rvd25yZXYueG1sRI9Ba8JA&#10;EIXvhf6HZQq91U2UShpdRURLD1KoFoq3ITsmwexsyK5J/PedQ6HHmXnz3vuW69E1qqcu1J4NpJME&#10;FHHhbc2lge/T/iUDFSKyxcYzGbhTgPXq8WGJufUDf1F/jKUSEw45GqhibHOtQ1GRwzDxLbHcLr5z&#10;GGXsSm07HMTcNXqaJHPtsGZJqLClbUXF9XhzBt4HHDazdNcfrpft/Xx6/fw5pGTM89O4WYCKNMZ/&#10;8d/3h5X6WTZN3+ZJJhTCJAvQq18AAAD//wMAUEsBAi0AFAAGAAgAAAAhANvh9svuAAAAhQEAABMA&#10;AAAAAAAAAAAAAAAAAAAAAFtDb250ZW50X1R5cGVzXS54bWxQSwECLQAUAAYACAAAACEAWvQsW78A&#10;AAAVAQAACwAAAAAAAAAAAAAAAAAfAQAAX3JlbHMvLnJlbHNQSwECLQAUAAYACAAAACEAke+cPswA&#10;AADjAAAADwAAAAAAAAAAAAAAAAAHAgAAZHJzL2Rvd25yZXYueG1sUEsFBgAAAAADAAMAtwAAAAAD&#10;AAAAAA==&#10;">
                <v:shape id="Freeform: Shape 1882196081"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IbyQAAAOMAAAAPAAAAZHJzL2Rvd25yZXYueG1sRE9La8JA&#10;EL4X+h+WKXgpupscNKauUgqFHkTxgfQ4ZKdJaHY2ZFeT9te7guBxvvcsVoNtxIU6XzvWkEwUCOLC&#10;mZpLDcfD5zgD4QOywcYxafgjD6vl89MCc+N63tFlH0oRQ9jnqKEKoc2l9EVFFv3EtcSR+3GdxRDP&#10;rpSmwz6G20amSk2lxZpjQ4UtfVRU/O7PVsO6Pp/mwzeFfvtv1OF1lm5Pm1Tr0cvw/gYi0BAe4rv7&#10;y8T5WZYm86nKErj9FAGQyysAAAD//wMAUEsBAi0AFAAGAAgAAAAhANvh9svuAAAAhQEAABMAAAAA&#10;AAAAAAAAAAAAAAAAAFtDb250ZW50X1R5cGVzXS54bWxQSwECLQAUAAYACAAAACEAWvQsW78AAAAV&#10;AQAACwAAAAAAAAAAAAAAAAAfAQAAX3JlbHMvLnJlbHNQSwECLQAUAAYACAAAACEAwFQCG8kAAADj&#10;AAAADwAAAAAAAAAAAAAAAAAHAgAAZHJzL2Rvd25yZXYueG1sUEsFBgAAAAADAAMAtwAAAP0CAAAA&#10;AA==&#10;" path="m251705,l,532375r7083,14798l265618,,251705,xe" filled="f" stroked="f" strokeweight="0">
                  <v:stroke joinstyle="miter"/>
                  <v:path arrowok="t" o:connecttype="custom" o:connectlocs="251705,0;0,532375;7083,547173;265618,0;251705,0" o:connectangles="0,0,0,0,0"/>
                </v:shape>
                <v:shape id="Freeform: Shape 1882196082"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LnxwAAAOMAAAAPAAAAZHJzL2Rvd25yZXYueG1sRE9fS8Mw&#10;EH8X9h3CDXxzyaIbXV02RBTUgeL0A5zNre1sLqWJXfz2RhB8vN//W2+T68RIQ2g9G5jPFAjiytuW&#10;awPvb/cXBYgQkS12nsnANwXYbiZnayytP/ErjftYixzCoUQDTYx9KWWoGnIYZr4nztzBDw5jPoda&#10;2gFPOdx1Uiu1lA5bzg0N9nTbUPW5/3IGqsuXO3/UH4vd6lFfqedFekpjMuZ8mm6uQURK8V/8536w&#10;eX5R6PlqqQoNvz9lAOTmBwAA//8DAFBLAQItABQABgAIAAAAIQDb4fbL7gAAAIUBAAATAAAAAAAA&#10;AAAAAAAAAAAAAABbQ29udGVudF9UeXBlc10ueG1sUEsBAi0AFAAGAAgAAAAhAFr0LFu/AAAAFQEA&#10;AAsAAAAAAAAAAAAAAAAAHwEAAF9yZWxzLy5yZWxzUEsBAi0AFAAGAAgAAAAhAG2SMufHAAAA4wAA&#10;AA8AAAAAAAAAAAAAAAAABwIAAGRycy9kb3ducmV2LnhtbFBLBQYAAAAAAwADALcAAAD7AgAAAAA=&#10;" path="m303437,l,641784r6957,14798l317350,,303437,xe" filled="f" stroked="f" strokeweight="0">
                  <v:stroke joinstyle="miter"/>
                  <v:path arrowok="t" o:connecttype="custom" o:connectlocs="303437,0;0,641784;6957,656582;317350,0;303437,0" o:connectangles="0,0,0,0,0"/>
                </v:shape>
                <v:shape id="Freeform: Shape 1882196083"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W3xgAAAOMAAAAPAAAAZHJzL2Rvd25yZXYueG1sRE9fa8Iw&#10;EH8f7DuEE/Y2Uy1I1xnFCbK97MHqBziaM602ly7JbPftF0Hw8X7/b7kebSeu5EPrWMFsmoEgrp1u&#10;2Sg4HnavBYgQkTV2jknBHwVYr56fllhqN/CerlU0IoVwKFFBE2NfShnqhiyGqeuJE3dy3mJMpzdS&#10;exxSuO3kPMsW0mLLqaHBnrYN1Zfq1yr4kChpZyqz7f33Jv/pzvnweVDqZTJu3kFEGuNDfHd/6TS/&#10;KOazt0VW5HD7KQEgV/8AAAD//wMAUEsBAi0AFAAGAAgAAAAhANvh9svuAAAAhQEAABMAAAAAAAAA&#10;AAAAAAAAAAAAAFtDb250ZW50X1R5cGVzXS54bWxQSwECLQAUAAYACAAAACEAWvQsW78AAAAVAQAA&#10;CwAAAAAAAAAAAAAAAAAfAQAAX3JlbHMvLnJlbHNQSwECLQAUAAYACAAAACEAAs31t8YAAADjAAAA&#10;DwAAAAAAAAAAAAAAAAAHAgAAZHJzL2Rvd25yZXYueG1sUEsFBgAAAAADAAMAtwAAAPoCAAAAAA==&#10;" path="m355043,l,751193r6957,14799l369083,,355043,xe" filled="f" stroked="f" strokeweight="0">
                  <v:stroke joinstyle="miter"/>
                  <v:path arrowok="t" o:connecttype="custom" o:connectlocs="355043,0;0,751193;6957,765992;369083,0;355043,0" o:connectangles="0,0,0,0,0"/>
                </v:shape>
                <v:shape id="Freeform: Shape 1882196084"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FCxgAAAOMAAAAPAAAAZHJzL2Rvd25yZXYueG1sRE/NTgIx&#10;EL6b+A7NmHgx0kKQLAuFoBHFGyIPMNmOuxu30007wvr21sSE43z/s1wPvlMniqkNbGE8MqCIq+Ba&#10;ri0cP7b3BagkyA67wGThhxKsV9dXSyxdOPM7nQ5SqxzCqUQLjUhfap2qhjymUeiJM/cZokfJZ6y1&#10;i3jO4b7TE2Nm2mPLuaHBnp4aqr4O394CGXl52DxP33Z3cf5IW96/Otlbe3szbBaghAa5iP/dO5fn&#10;F8VkPJ+ZYgp/P2UA9OoXAAD//wMAUEsBAi0AFAAGAAgAAAAhANvh9svuAAAAhQEAABMAAAAAAAAA&#10;AAAAAAAAAAAAAFtDb250ZW50X1R5cGVzXS54bWxQSwECLQAUAAYACAAAACEAWvQsW78AAAAVAQAA&#10;CwAAAAAAAAAAAAAAAAAfAQAAX3JlbHMvLnJlbHNQSwECLQAUAAYACAAAACEAMeJhQsYAAADjAAAA&#10;DwAAAAAAAAAAAAAAAAAHAgAAZHJzL2Rvd25yZXYueG1sUEsFBgAAAAADAAMAtwAAAPoCAAAAAA==&#10;" path="m406775,l,860602r6957,14799l420815,,406775,xe" filled="f" stroked="f" strokeweight="0">
                  <v:stroke joinstyle="miter"/>
                  <v:path arrowok="t" o:connecttype="custom" o:connectlocs="406775,0;0,860602;6957,875401;420815,0;406775,0" o:connectangles="0,0,0,0,0"/>
                </v:shape>
                <v:shape id="Freeform: Shape 1882196085"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9xQAAAOMAAAAPAAAAZHJzL2Rvd25yZXYueG1sRE9fa8Iw&#10;EH8X9h3CDfamqcJK2xlljA0GE4atsNejOdticilN1OzbL8LAx/v9v/U2WiMuNPnBsYLlIgNB3Do9&#10;cKfg0HzMCxA+IGs0jknBL3nYbh5ma6y0u/KeLnXoRAphX6GCPoSxktK3PVn0CzcSJ+7oJoshnVMn&#10;9YTXFG6NXGVZLi0OnBp6HOmtp/ZUn60CxF1sznmQ8t2b+PXjytp8l0o9PcbXFxCBYriL/92fOs0v&#10;itWyzLPiGW4/JQDk5g8AAP//AwBQSwECLQAUAAYACAAAACEA2+H2y+4AAACFAQAAEwAAAAAAAAAA&#10;AAAAAAAAAAAAW0NvbnRlbnRfVHlwZXNdLnhtbFBLAQItABQABgAIAAAAIQBa9CxbvwAAABUBAAAL&#10;AAAAAAAAAAAAAAAAAB8BAABfcmVscy8ucmVsc1BLAQItABQABgAIAAAAIQBts/x9xQAAAOMAAAAP&#10;AAAAAAAAAAAAAAAAAAcCAABkcnMvZG93bnJldi54bWxQSwUGAAAAAAMAAwC3AAAA+QIAAAAA&#10;" path="m458507,l,970012r6957,14798l472421,,458507,xe" filled="f" stroked="f" strokeweight="0">
                  <v:stroke joinstyle="miter"/>
                  <v:path arrowok="t" o:connecttype="custom" o:connectlocs="458507,0;0,970012;6957,984810;472421,0;458507,0" o:connectangles="0,0,0,0,0"/>
                </v:shape>
                <v:shape id="Freeform: Shape 1882196086"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GRxwAAAOMAAAAPAAAAZHJzL2Rvd25yZXYueG1sRE/NasJA&#10;EL4XfIdlhF6KblRIY3QV2yL2auLF25Adk2h2NmZXTd++KxR6nO9/luveNOJOnastK5iMIxDEhdU1&#10;lwoO+XaUgHAeWWNjmRT8kIP1avCyxFTbB+/pnvlShBB2KSqovG9TKV1RkUE3ti1x4E62M+jD2ZVS&#10;d/gI4aaR0yiKpcGaQ0OFLX1WVFyym1EwO83z/Hbd18ci+3h3/Jafd/Sl1Ouw3yxAeOr9v/jP/a3D&#10;/CSZTuZxlMTw/CkAIFe/AAAA//8DAFBLAQItABQABgAIAAAAIQDb4fbL7gAAAIUBAAATAAAAAAAA&#10;AAAAAAAAAAAAAABbQ29udGVudF9UeXBlc10ueG1sUEsBAi0AFAAGAAgAAAAhAFr0LFu/AAAAFQEA&#10;AAsAAAAAAAAAAAAAAAAAHwEAAF9yZWxzLy5yZWxzUEsBAi0AFAAGAAgAAAAhANQ6MZHHAAAA4wAA&#10;AA8AAAAAAAAAAAAAAAAABwIAAGRycy9kb3ducmV2LnhtbFBLBQYAAAAAAwADALcAAAD7AgAAAAA=&#10;" path="m510240,l,1079421r6957,14799l524153,,510240,xe" filled="f" stroked="f" strokeweight="0">
                  <v:stroke joinstyle="miter"/>
                  <v:path arrowok="t" o:connecttype="custom" o:connectlocs="510240,0;0,1079421;6957,1094220;524153,0;510240,0" o:connectangles="0,0,0,0,0"/>
                </v:shape>
                <v:shape id="Freeform: Shape 1882196087"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wlxwAAAOMAAAAPAAAAZHJzL2Rvd25yZXYueG1sRE9LawIx&#10;EL4X+h/CCN5qVkvXdWsUKwheCvVx8TZsppvFzWRJUk3/fVMo9Djfe5brZHtxIx86xwqmkwIEceN0&#10;x62C82n3VIEIEVlj75gUfFOA9erxYYm1dnc+0O0YW5FDONSowMQ41FKGxpDFMHEDceY+nbcY8+lb&#10;qT3ec7jt5awoSmmx49xgcKCtoeZ6/LIKhsP+/dnM05tfXFL/sjWbkvyHUuNR2ryCiJTiv/jPvdd5&#10;flXNpouyqObw+1MGQK5+AAAA//8DAFBLAQItABQABgAIAAAAIQDb4fbL7gAAAIUBAAATAAAAAAAA&#10;AAAAAAAAAAAAAABbQ29udGVudF9UeXBlc10ueG1sUEsBAi0AFAAGAAgAAAAhAFr0LFu/AAAAFQEA&#10;AAsAAAAAAAAAAAAAAAAAHwEAAF9yZWxzLy5yZWxzUEsBAi0AFAAGAAgAAAAhAFYrnCXHAAAA4wAA&#10;AA8AAAAAAAAAAAAAAAAABwIAAGRycy9kb3ducmV2LnhtbFBLBQYAAAAAAwADALcAAAD7AgAAAAA=&#10;" path="m561972,l,1188830r7083,14799l576012,,561972,xe" filled="f" stroked="f" strokeweight="0">
                  <v:stroke joinstyle="miter"/>
                  <v:path arrowok="t" o:connecttype="custom" o:connectlocs="561972,0;0,1188830;7083,1203629;576012,0;561972,0" o:connectangles="0,0,0,0,0"/>
                </v:shape>
                <v:shape id="Freeform: Shape 1882196088"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bszQAAAOMAAAAPAAAAZHJzL2Rvd25yZXYueG1sRI9Pa8JA&#10;EMXvhX6HZYReSt0oRWPqKv1DQSgoVel5zI7Z0OxsyG5N2k/fORR6nHlv3vvNcj34Rl2oi3VgA5Nx&#10;Boq4DLbmysDx8HqXg4oJ2WITmAx8U4T16vpqiYUNPb/TZZ8qJSEcCzTgUmoLrWPpyGMch5ZYtHPo&#10;PCYZu0rbDnsJ942eZtlMe6xZGhy29Oyo/Nx/eQOL+PTytpvf34btiX76jR5OH5Uz5mY0PD6ASjSk&#10;f/Pf9cYKfp5PJ4tZlgu0/CQL0KtfAAAA//8DAFBLAQItABQABgAIAAAAIQDb4fbL7gAAAIUBAAAT&#10;AAAAAAAAAAAAAAAAAAAAAABbQ29udGVudF9UeXBlc10ueG1sUEsBAi0AFAAGAAgAAAAhAFr0LFu/&#10;AAAAFQEAAAsAAAAAAAAAAAAAAAAAHwEAAF9yZWxzLy5yZWxzUEsBAi0AFAAGAAgAAAAhABJY9uzN&#10;AAAA4wAAAA8AAAAAAAAAAAAAAAAABwIAAGRycy9kb3ducmV2LnhtbFBLBQYAAAAAAwADALcAAAAB&#10;AwAAAAA=&#10;" path="m613704,l,1298240r7083,14799l627744,,613704,xe" filled="f" stroked="f" strokeweight="0">
                  <v:stroke joinstyle="miter"/>
                  <v:path arrowok="t" o:connecttype="custom" o:connectlocs="613704,0;0,1298240;7083,1313039;627744,0;613704,0" o:connectangles="0,0,0,0,0"/>
                </v:shape>
                <v:shape id="Freeform: Shape 1882196089"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vLyQAAAOMAAAAPAAAAZHJzL2Rvd25yZXYueG1sRE9fS8Mw&#10;EH8X9h3CDXxz6cqYbV02RBgMBMVOEd/O5myLzaVr4hr36ZeB4OP9/t9qE0wnjjS41rKC+SwBQVxZ&#10;3XKt4HW/vclAOI+ssbNMCn7JwWY9uVphoe3IL3QsfS1iCLsCFTTe94WUrmrIoJvZnjhyX3Yw6OM5&#10;1FIPOMZw08k0SZbSYMuxocGeHhqqvssfoyD/3J+e0sf3EvPn8fbtsAi6+ghKXU/D/R0IT8H/i//c&#10;Ox3nZ1k6z5dJlsPlpwiAXJ8BAAD//wMAUEsBAi0AFAAGAAgAAAAhANvh9svuAAAAhQEAABMAAAAA&#10;AAAAAAAAAAAAAAAAAFtDb250ZW50X1R5cGVzXS54bWxQSwECLQAUAAYACAAAACEAWvQsW78AAAAV&#10;AQAACwAAAAAAAAAAAAAAAAAfAQAAX3JlbHMvLnJlbHNQSwECLQAUAAYACAAAACEA2IFby8kAAADj&#10;AAAADwAAAAAAAAAAAAAAAAAHAgAAZHJzL2Rvd25yZXYueG1sUEsFBgAAAAADAAMAtwAAAP0CAAAA&#10;AA==&#10;" path="m44649,l,94611r6957,14798l58689,,44649,xe" filled="f" stroked="f" strokeweight="0">
                  <v:stroke joinstyle="miter"/>
                  <v:path arrowok="t" o:connecttype="custom" o:connectlocs="44649,0;0,94611;6957,109409;58689,0;44649,0" o:connectangles="0,0,0,0,0"/>
                </v:shape>
                <v:shape id="Freeform: Shape 1882196090"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YjyQAAAOMAAAAPAAAAZHJzL2Rvd25yZXYueG1sRI9BT8Mw&#10;DIXvSPyHyEjcWNoJTV1ZNhUkEFfGLrtZiWm6NU5pwtbt1+MDEkfbz++9b7WZQq9ONKYusoFyVoAi&#10;ttF13BrYfb4+VKBSRnbYRyYDF0qwWd/erLB28cwfdNrmVokJpxoN+JyHWutkPQVMszgQy+0rjgGz&#10;jGOr3YhnMQ+9nhfFQgfsWBI8DvTiyR63P8HAFZvL9bEpY7TP6fDm7X76LvfG3N9NzROoTFP+F/99&#10;vzupX1XzcrkolkIhTLIAvf4FAAD//wMAUEsBAi0AFAAGAAgAAAAhANvh9svuAAAAhQEAABMAAAAA&#10;AAAAAAAAAAAAAAAAAFtDb250ZW50X1R5cGVzXS54bWxQSwECLQAUAAYACAAAACEAWvQsW78AAAAV&#10;AQAACwAAAAAAAAAAAAAAAAAfAQAAX3JlbHMvLnJlbHNQSwECLQAUAAYACAAAACEA+S02I8kAAADj&#10;AAAADwAAAAAAAAAAAAAAAAAHAgAAZHJzL2Rvd25yZXYueG1sUEsFBgAAAAADAAMAtwAAAP0CAAAA&#10;AA==&#10;" path="m96381,l,204020r6957,14799l110421,,96381,xe" filled="f" stroked="f" strokeweight="0">
                  <v:stroke joinstyle="miter"/>
                  <v:path arrowok="t" o:connecttype="custom" o:connectlocs="96381,0;0,204020;6957,218819;110421,0;96381,0" o:connectangles="0,0,0,0,0"/>
                </v:shape>
                <v:shape id="Freeform: Shape 1882196091"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gWyQAAAOMAAAAPAAAAZHJzL2Rvd25yZXYueG1sRE9La8JA&#10;EL4L/Q/LCL3pJrbYGF2ltBSEHoov8Dhmx2xsdjZktzH9965Q6HG+9yxWva1FR62vHCtIxwkI4sLp&#10;iksF+93HKAPhA7LG2jEp+CUPq+XDYIG5dlfeULcNpYgh7HNUYEJocil9YciiH7uGOHJn11oM8WxL&#10;qVu8xnBby0mSTKXFimODwYbeDBXf2x+r4Pj01b10fX0x7+v95ZBWp135/KnU47B/nYMI1Id/8Z97&#10;reP8LJuks2kyS+H+UwRALm8AAAD//wMAUEsBAi0AFAAGAAgAAAAhANvh9svuAAAAhQEAABMAAAAA&#10;AAAAAAAAAAAAAAAAAFtDb250ZW50X1R5cGVzXS54bWxQSwECLQAUAAYACAAAACEAWvQsW78AAAAV&#10;AQAACwAAAAAAAAAAAAAAAAAfAQAAX3JlbHMvLnJlbHNQSwECLQAUAAYACAAAACEA41S4FskAAADj&#10;AAAADwAAAAAAAAAAAAAAAAAHAgAAZHJzL2Rvd25yZXYueG1sUEsFBgAAAAADAAMAtwAAAP0CAAAA&#10;AA==&#10;" path="m148114,l,313429r6957,14799l162027,,148114,xe" filled="f" stroked="f" strokeweight="0">
                  <v:stroke joinstyle="miter"/>
                  <v:path arrowok="t" o:connecttype="custom" o:connectlocs="148114,0;0,313429;6957,328228;162027,0;148114,0" o:connectangles="0,0,0,0,0"/>
                </v:shape>
                <v:shape id="Freeform: Shape 1882196093"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VRyAAAAOMAAAAPAAAAZHJzL2Rvd25yZXYueG1sRE/NSgMx&#10;EL4LvkMYoTebtErZrk2LtFgFD6VbDx6HzZhd3EyWTbqNb28Eocf5/me1Sa4TIw2h9axhNlUgiGtv&#10;WrYaPk4v9wWIEJENdp5Jww8F2Kxvb1ZYGn/hI41VtCKHcChRQxNjX0oZ6oYchqnviTP35QeHMZ+D&#10;lWbASw53nZwrtZAOW84NDfa0baj+rs5OA1n7uP80r8f33Tl1Ku3GKm0PWk/u0vMTiEgpXsX/7jeT&#10;5xfFfLZcqOUD/P2UAZDrXwAAAP//AwBQSwECLQAUAAYACAAAACEA2+H2y+4AAACFAQAAEwAAAAAA&#10;AAAAAAAAAAAAAAAAW0NvbnRlbnRfVHlwZXNdLnhtbFBLAQItABQABgAIAAAAIQBa9CxbvwAAABUB&#10;AAALAAAAAAAAAAAAAAAAAB8BAABfcmVscy8ucmVsc1BLAQItABQABgAIAAAAIQB2uEVRyAAAAOMA&#10;AAAPAAAAAAAAAAAAAAAAAAcCAABkcnMvZG93bnJldi54bWxQSwUGAAAAAAMAAwC3AAAA/AIAAAAA&#10;" path="m199846,l,422839r6957,14798l213759,,199846,xe" filled="f" stroked="f" strokeweight="0">
                  <v:stroke joinstyle="miter"/>
                  <v:path arrowok="t" o:connecttype="custom" o:connectlocs="199846,0;0,422839;6957,437637;213759,0;199846,0" o:connectangles="0,0,0,0,0"/>
                </v:shape>
                <v:shape id="Freeform: Shape 1882196094"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L8yQAAAOMAAAAPAAAAZHJzL2Rvd25yZXYueG1sRE/NSsNA&#10;EL4LfYdlCl6k3TRoSdNuiy0oXkTSCl6n2TGJZmdDdmyjT+8KQo/z/c9qM7hWnagPjWcDs2kCirj0&#10;tuHKwOvhYZKBCoJssfVMBr4pwGY9ulphbv2ZCzrtpVIxhEOOBmqRLtc6lDU5DFPfEUfu3fcOJZ59&#10;pW2P5xjuWp0myVw7bDg21NjRrqbyc//lDLwUW/+RHrftW3ojj3e74qd6loMx1+PhfglKaJCL+N/9&#10;ZOP8LEtni3myuIW/nyIAev0LAAD//wMAUEsBAi0AFAAGAAgAAAAhANvh9svuAAAAhQEAABMAAAAA&#10;AAAAAAAAAAAAAAAAAFtDb250ZW50X1R5cGVzXS54bWxQSwECLQAUAAYACAAAACEAWvQsW78AAAAV&#10;AQAACwAAAAAAAAAAAAAAAAAfAQAAX3JlbHMvLnJlbHNQSwECLQAUAAYACAAAACEALeGS/MkAAADj&#10;AAAADwAAAAAAAAAAAAAAAAAHAgAAZHJzL2Rvd25yZXYueG1sUEsFBgAAAAADAAMAtwAAAP0CAAAA&#10;AA==&#10;" path="m665436,l,1407649r6957,14799l679350,,665436,xe" filled="f" stroked="f" strokeweight="0">
                  <v:stroke joinstyle="miter"/>
                  <v:path arrowok="t" o:connecttype="custom" o:connectlocs="665436,0;0,1407649;6957,1422448;679350,0;665436,0" o:connectangles="0,0,0,0,0"/>
                </v:shape>
                <v:shape id="Freeform: Shape 1882196095"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cYxwAAAOMAAAAPAAAAZHJzL2Rvd25yZXYueG1sRE9La8JA&#10;EL4X/A/LCF6KbhSUmLqKtAj2Vo3odchOHjU7G7JrTP99VxA8zvee1aY3teiodZVlBdNJBII4s7ri&#10;QsEp3Y1jEM4ja6wtk4I/crBZD95WmGh75wN1R1+IEMIuQQWl900ipctKMugmtiEOXG5bgz6cbSF1&#10;i/cQbmo5i6KFNFhxaCixoc+SsuvxZhSc09z/7n4aV+WX9/ntYNLiu/tSajTstx8gPPX+JX669zrM&#10;j+PZdLmIlnN4/BQAkOt/AAAA//8DAFBLAQItABQABgAIAAAAIQDb4fbL7gAAAIUBAAATAAAAAAAA&#10;AAAAAAAAAAAAAABbQ29udGVudF9UeXBlc10ueG1sUEsBAi0AFAAGAAgAAAAhAFr0LFu/AAAAFQEA&#10;AAsAAAAAAAAAAAAAAAAAHwEAAF9yZWxzLy5yZWxzUEsBAi0AFAAGAAgAAAAhAHN3ZxjHAAAA4wAA&#10;AA8AAAAAAAAAAAAAAAAABwIAAGRycy9kb3ducmV2LnhtbFBLBQYAAAAAAwADALcAAAD7AgAAAAA=&#10;" path="m717042,l,1517059r6957,14798l731082,,717042,xe" filled="f" stroked="f" strokeweight="0">
                  <v:stroke joinstyle="miter"/>
                  <v:path arrowok="t" o:connecttype="custom" o:connectlocs="717042,0;0,1517059;6957,1531857;731082,0;717042,0" o:connectangles="0,0,0,0,0"/>
                </v:shape>
                <v:shape id="Freeform: Shape 230"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vewwAAANwAAAAPAAAAZHJzL2Rvd25yZXYueG1sRE9NSwMx&#10;EL0L/Q9hBC/SZq0gZdu0aKGioFC3hV7HzXSzdjNZNrGN/945CB4f73uxyr5TZxpiG9jA3aQARVwH&#10;23JjYL/bjGegYkK22AUmAz8UYbUcXS2wtOHCH3SuUqMkhGOJBlxKfal1rB15jJPQEwt3DIPHJHBo&#10;tB3wIuG+09OieNAeW5YGhz2tHdWn6ttLyetzNcvv281u/XSs3j5v3eFrm425uc6Pc1CJcvoX/7lf&#10;rIHpvcyXM3IE9PIXAAD//wMAUEsBAi0AFAAGAAgAAAAhANvh9svuAAAAhQEAABMAAAAAAAAAAAAA&#10;AAAAAAAAAFtDb250ZW50X1R5cGVzXS54bWxQSwECLQAUAAYACAAAACEAWvQsW78AAAAVAQAACwAA&#10;AAAAAAAAAAAAAAAfAQAAX3JlbHMvLnJlbHNQSwECLQAUAAYACAAAACEAGAXr3sMAAADc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35"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4TUwwAAANsAAAAPAAAAZHJzL2Rvd25yZXYueG1sRI/disIw&#10;FITvF3yHcARvFk1VVko1iiiKeCH48wCH5tgWm5PSRFt9eiMIeznMzDfMbNGaUjyodoVlBcNBBII4&#10;tbrgTMHlvOnHIJxH1lhaJgVPcrCYd35mmGjb8JEeJ5+JAGGXoILc+yqR0qU5GXQDWxEH72prgz7I&#10;OpO6xibATSlHUTSRBgsOCzlWtMopvZ3uRkG8nLzWcSqz9rY/Hprt5vc6Oh+U6nXb5RSEp9b/h7/t&#10;nVYw/oPPl/AD5PwNAAD//wMAUEsBAi0AFAAGAAgAAAAhANvh9svuAAAAhQEAABMAAAAAAAAAAAAA&#10;AAAAAAAAAFtDb250ZW50X1R5cGVzXS54bWxQSwECLQAUAAYACAAAACEAWvQsW78AAAAVAQAACwAA&#10;AAAAAAAAAAAAAAAfAQAAX3JlbHMvLnJlbHNQSwECLQAUAAYACAAAACEAfeOE1MMAAADbAAAADwAA&#10;AAAAAAAAAAAAAAAHAgAAZHJzL2Rvd25yZXYueG1sUEsFBgAAAAADAAMAtwAAAPcCAAAAAA==&#10;" path="m820507,l,1735877r6957,14799l834546,,820507,xe" filled="f" stroked="f" strokeweight="0">
                  <v:stroke joinstyle="miter"/>
                  <v:path arrowok="t" o:connecttype="custom" o:connectlocs="820507,0;0,1735877;6957,1750676;834546,0;820507,0" o:connectangles="0,0,0,0,0"/>
                </v:shape>
                <v:shape id="Freeform: Shape 36"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iBwAAAANsAAAAPAAAAZHJzL2Rvd25yZXYueG1sRI9Bi8Iw&#10;FITvgv8hPMGbTVWQpRpFCgueZLcueH00z6aYvJQma+u/3ywIHoeZb4bZHUZnxYP60HpWsMxyEMS1&#10;1y03Cn4un4sPECEia7SeScGTAhz208kOC+0H/qZHFRuRSjgUqMDE2BVShtqQw5D5jjh5N987jEn2&#10;jdQ9DqncWbnK84102HJaMNhRaai+V79Owbo829twx6/r5RwqaU0l8VkqNZ+Nxy2ISGN8h1/0SSdu&#10;A/9f0g+Q+z8AAAD//wMAUEsBAi0AFAAGAAgAAAAhANvh9svuAAAAhQEAABMAAAAAAAAAAAAAAAAA&#10;AAAAAFtDb250ZW50X1R5cGVzXS54bWxQSwECLQAUAAYACAAAACEAWvQsW78AAAAVAQAACwAAAAAA&#10;AAAAAAAAAAAfAQAAX3JlbHMvLnJlbHNQSwECLQAUAAYACAAAACEA+bJYgc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37"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k0wQAAANsAAAAPAAAAZHJzL2Rvd25yZXYueG1sRI/disIw&#10;FITvBd8hHMEb0XQVVKpRVFhWBMHf+0NzbIvNSWli7b69EQQvh5n5hpkvG1OImiqXW1bwM4hAECdW&#10;55wquJx/+1MQziNrLCyTgn9ysFy0W3OMtX3ykeqTT0WAsItRQeZ9GUvpkowMuoEtiYN3s5VBH2SV&#10;Sl3hM8BNIYdRNJYGcw4LGZa0ySi5nx5Gwf44TtdJ71pv/WH3+BtZ7OFmp1S306xmIDw1/hv+tLda&#10;wWgC7y/hB8jFCwAA//8DAFBLAQItABQABgAIAAAAIQDb4fbL7gAAAIUBAAATAAAAAAAAAAAAAAAA&#10;AAAAAABbQ29udGVudF9UeXBlc10ueG1sUEsBAi0AFAAGAAgAAAAhAFr0LFu/AAAAFQEAAAsAAAAA&#10;AAAAAAAAAAAAHwEAAF9yZWxzLy5yZWxzUEsBAi0AFAAGAAgAAAAhABjtmTTBAAAA2w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38"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eSvQAAANsAAAAPAAAAZHJzL2Rvd25yZXYueG1sRE/LisIw&#10;FN0P+A/hCu7GVAUZqlFE8YUrH3R9aa5tsbkpSaz1781CmOXhvOfLztSiJecrywpGwwQEcW51xYWC&#10;23X7+wfCB2SNtWVS8CYPy0XvZ46pti8+U3sJhYgh7FNUUIbQpFL6vCSDfmgb4sjdrTMYInSF1A5f&#10;MdzUcpwkU2mw4thQYkPrkvLH5WkUaHnaF609TjftOzu4kGV6ZzKlBv1uNQMRqAv/4q/7oBVM4tj4&#10;Jf4AufgAAAD//wMAUEsBAi0AFAAGAAgAAAAhANvh9svuAAAAhQEAABMAAAAAAAAAAAAAAAAAAAAA&#10;AFtDb250ZW50X1R5cGVzXS54bWxQSwECLQAUAAYACAAAACEAWvQsW78AAAAVAQAACwAAAAAAAAAA&#10;AAAAAAAfAQAAX3JlbHMvLnJlbHNQSwECLQAUAAYACAAAACEApYK3kr0AAADbAAAADwAAAAAAAAAA&#10;AAAAAAAHAgAAZHJzL2Rvd25yZXYueG1sUEsFBgAAAAADAAMAtwAAAPECAAAAAA==&#10;" path="m975703,l,2064105r7083,14799l989743,,975703,xe" filled="f" stroked="f" strokeweight="0">
                  <v:stroke joinstyle="miter"/>
                  <v:path arrowok="t" o:connecttype="custom" o:connectlocs="975703,0;0,2064105;7083,2078904;989743,0;975703,0" o:connectangles="0,0,0,0,0"/>
                </v:shape>
                <v:shape id="Freeform: Shape 39"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LFxQAAANsAAAAPAAAAZHJzL2Rvd25yZXYueG1sRI9Ba8JA&#10;FITvQv/D8gq96aa2hDa6hlBa8FAQNaDeHtlnEpp9G3a3Mf33XUHwOMzMN8wyH00nBnK+tazgeZaA&#10;IK6sbrlWUO6/pm8gfEDW2FkmBX/kIV89TJaYaXvhLQ27UIsIYZ+hgiaEPpPSVw0Z9DPbE0fvbJ3B&#10;EKWrpXZ4iXDTyXmSpNJgy3GhwZ4+Gqp+dr9GwWb4dt3hwGlSzNPT9nVTHsf1p1JPj2OxABFoDPfw&#10;rb3WCl7e4fol/gC5+gcAAP//AwBQSwECLQAUAAYACAAAACEA2+H2y+4AAACFAQAAEwAAAAAAAAAA&#10;AAAAAAAAAAAAW0NvbnRlbnRfVHlwZXNdLnhtbFBLAQItABQABgAIAAAAIQBa9CxbvwAAABUBAAAL&#10;AAAAAAAAAAAAAAAAAB8BAABfcmVscy8ucmVsc1BLAQItABQABgAIAAAAIQCZBILF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40"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5wAAAANsAAAAPAAAAZHJzL2Rvd25yZXYueG1sRE/LisIw&#10;FN0L/kO4gjtNlaJSjaKCTBFm4QPcXptrW2xuSpOx9e/NQpjl4bxXm85U4kWNKy0rmIwjEMSZ1SXn&#10;Cq6Xw2gBwnlkjZVlUvAmB5t1v7fCRNuWT/Q6+1yEEHYJKii8rxMpXVaQQTe2NXHgHrYx6ANscqkb&#10;bEO4qeQ0imbSYMmhocCa9gVlz/OfUZDed7/vyy1O98+f6XzR+mMXpzOlhoNuuwThqfP/4q871Qri&#10;sD58CT9Arj8AAAD//wMAUEsBAi0AFAAGAAgAAAAhANvh9svuAAAAhQEAABMAAAAAAAAAAAAAAAAA&#10;AAAAAFtDb250ZW50X1R5cGVzXS54bWxQSwECLQAUAAYACAAAACEAWvQsW78AAAAVAQAACwAAAAAA&#10;AAAAAAAAAAAfAQAAX3JlbHMvLnJlbHNQSwECLQAUAAYACAAAACEAP9Ry+cAAAADbAAAADwAAAAAA&#10;AAAAAAAAAAAHAgAAZHJzL2Rvd25yZXYueG1sUEsFBgAAAAADAAMAtwAAAPQCAAAAAA==&#10;" path="m1079168,l,2282924r7083,14799l1093081,r-13913,xe" filled="f" stroked="f" strokeweight="0">
                  <v:stroke joinstyle="miter"/>
                  <v:path arrowok="t" o:connecttype="custom" o:connectlocs="1079168,0;0,2282924;7083,2297723;1093081,0;1079168,0" o:connectangles="0,0,0,0,0"/>
                </v:shape>
                <v:shape id="Freeform: Shape 302"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5xwAAANwAAAAPAAAAZHJzL2Rvd25yZXYueG1sRI9Pa8JA&#10;FMTvBb/D8gRvdeOfhhpdRRSL9CA0lurxkX0mwezbkN1q9NN3hYLHYWZ+w8wWranEhRpXWlYw6Ecg&#10;iDOrS84VfO83r+8gnEfWWFkmBTdysJh3XmaYaHvlL7qkPhcBwi5BBYX3dSKlywoy6Pq2Jg7eyTYG&#10;fZBNLnWD1wA3lRxGUSwNlhwWCqxpVVB2Tn+Ngs15t979TJb5cRAf9uMPjO+jt0+let12OQXhqfXP&#10;8H97qxWMoiE8zoQjIOd/AAAA//8DAFBLAQItABQABgAIAAAAIQDb4fbL7gAAAIUBAAATAAAAAAAA&#10;AAAAAAAAAAAAAABbQ29udGVudF9UeXBlc10ueG1sUEsBAi0AFAAGAAgAAAAhAFr0LFu/AAAAFQEA&#10;AAsAAAAAAAAAAAAAAAAAHwEAAF9yZWxzLy5yZWxzUEsBAi0AFAAGAAgAAAAhAFYj4/n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44EF" w14:textId="60C50AAC" w:rsidR="001B4A85" w:rsidRDefault="00833BCE" w:rsidP="00A230FA">
    <w:pPr>
      <w:pStyle w:val="Header"/>
    </w:pPr>
    <w:r>
      <w:rPr>
        <w:noProof/>
      </w:rPr>
      <mc:AlternateContent>
        <mc:Choice Requires="wps">
          <w:drawing>
            <wp:anchor distT="0" distB="0" distL="114300" distR="114300" simplePos="0" relativeHeight="251640320" behindDoc="1" locked="0" layoutInCell="1" allowOverlap="1" wp14:anchorId="7E305414" wp14:editId="4A11BBC8">
              <wp:simplePos x="0" y="0"/>
              <wp:positionH relativeFrom="page">
                <wp:align>left</wp:align>
              </wp:positionH>
              <wp:positionV relativeFrom="page">
                <wp:posOffset>-12526</wp:posOffset>
              </wp:positionV>
              <wp:extent cx="7583631" cy="10699602"/>
              <wp:effectExtent l="0" t="0" r="0" b="698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3631" cy="10699602"/>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2E4D" id="Rectangle 1" o:spid="_x0000_s1026" alt="&quot;&quot;" style="position:absolute;margin-left:0;margin-top:-1pt;width:597.15pt;height:842.5pt;z-index:-2516761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j+kQIAAJsFAAAOAAAAZHJzL2Uyb0RvYy54bWysVN9P2zAQfp+0/8Hy+0haSikVKaqKmCYx&#10;QIOJZ9exm0iOz7Pdpt1fv7OdpMDYHqa9JPb9+O7u891dXu0bRXbCuhp0QUcnOSVCcyhrvSno96eb&#10;TzNKnGe6ZAq0KOhBOHq1+PjhsjVzMYYKVCksQRDt5q0paOW9mWeZ45VomDsBIzQqJdiGebzaTVZa&#10;1iJ6o7Jxnk+zFmxpLHDhHEqvk5IuIr6Ugvt7KZ3wRBUUc/Pxa+N3Hb7Z4pLNN5aZquZdGuwfsmhY&#10;rTHoAHXNPCNbW/8G1dTcggPpTzg0GUhZcxFrwGpG+ZtqHitmRKwFyXFmoMn9P1h+t3s0DxZpaI2b&#10;OzyGKvbSNuGP+ZF9JOswkCX2nnAUnp/NTqenI0o46kb59OJimo8Dn9nR31jnPwtoSDgU1OJzRJbY&#10;7tb5ZNqbhHAOVF3e1ErFS2gBsVKW7Bg+3nozjq5q23yFMsmwAfLuCVGMD53Es16MmcRGCigxr1cB&#10;lA5hNISAKZcgyY48xJM/KBHslP4mJKlLrDwlMiCnoIxzof0o5ugqVookPvtjLhEwIEuMP2B3AK9r&#10;77FTlp19cBWxwwfnPEX/m/PgESOD9oNzU2uw7wEorKqLnOx7khI1gaU1lIcHSyyk+XKG39T44rfM&#10;+QdmcaBw9HBJ+Hv8SAVtQaE7UVKB/fmePNhjn6OWkhYHtKDux5ZZQYn6onECLkaTSZjoeJmcnY/x&#10;Yl9q1i81etusANsI+xWzi8dg71V/lBaaZ9wlyxAVVUxzjF1Q7m1/Wfm0OHAbcbFcRjOcYsP8rX40&#10;PIAHVkNHP+2fmTVd23scmTvoh5nN33R/sg2eGpZbD7KOo3HkteMbN0Bs4m5bhRXz8h6tjjt18QsA&#10;AP//AwBQSwMEFAAGAAgAAAAhAP+Qw9zfAAAACQEAAA8AAABkcnMvZG93bnJldi54bWxMjzFPwzAQ&#10;hXck/oN1SGyt0wRKG+JUiIouLKV06ebGRxwan6PYbcK/5zrBdHd6T+++V6xG14oL9qHxpGA2TUAg&#10;Vd40VCvYf75NFiBC1GR06wkV/GCAVXl7U+jc+IE+8LKLteAQCrlWYGPscilDZdHpMPUdEmtfvnc6&#10;8tnX0vR64HDXyjRJ5tLphviD1R2+WqxOu7NT8P7tN49ru9wehhRP2ZrSZvOUKnV/N748g4g4xj8z&#10;XPEZHUpmOvozmSBaBVwkKpikPK/qbPmQgTjyNl9kCciykP8blL8AAAD//wMAUEsBAi0AFAAGAAgA&#10;AAAhALaDOJL+AAAA4QEAABMAAAAAAAAAAAAAAAAAAAAAAFtDb250ZW50X1R5cGVzXS54bWxQSwEC&#10;LQAUAAYACAAAACEAOP0h/9YAAACUAQAACwAAAAAAAAAAAAAAAAAvAQAAX3JlbHMvLnJlbHNQSwEC&#10;LQAUAAYACAAAACEAHfOI/pECAACbBQAADgAAAAAAAAAAAAAAAAAuAgAAZHJzL2Uyb0RvYy54bWxQ&#10;SwECLQAUAAYACAAAACEA/5DD3N8AAAAJAQAADwAAAAAAAAAAAAAAAADrBAAAZHJzL2Rvd25yZXYu&#10;eG1sUEsFBgAAAAAEAAQA8wAAAPcFAAAAAA==&#10;" fillcolor="#faf5fb [670]"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043B" w14:textId="77777777" w:rsidR="001B4A85" w:rsidRDefault="001B4A85" w:rsidP="00A230FA">
    <w:pPr>
      <w:pStyle w:val="Header"/>
    </w:pPr>
    <w:r>
      <w:rPr>
        <w:noProof/>
      </w:rPr>
      <mc:AlternateContent>
        <mc:Choice Requires="wpg">
          <w:drawing>
            <wp:anchor distT="0" distB="0" distL="114300" distR="114300" simplePos="0" relativeHeight="251664896" behindDoc="0" locked="0" layoutInCell="1" allowOverlap="1" wp14:anchorId="6367EA8A" wp14:editId="249D909B">
              <wp:simplePos x="0" y="0"/>
              <wp:positionH relativeFrom="page">
                <wp:posOffset>180340</wp:posOffset>
              </wp:positionH>
              <wp:positionV relativeFrom="page">
                <wp:posOffset>180340</wp:posOffset>
              </wp:positionV>
              <wp:extent cx="7214616" cy="612648"/>
              <wp:effectExtent l="0" t="0" r="571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9" name="Freeform: Shape 9"/>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4BE91" id="Group 4" o:spid="_x0000_s1026" alt="&quot;&quot;" style="position:absolute;margin-left:14.2pt;margin-top:14.2pt;width:568.1pt;height:48.25pt;z-index:251664896;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DfYwYAAJ0mAAAOAAAAZHJzL2Uyb0RvYy54bWzsWt9v2zYQfh+w/4HQ44DVlixZklGnCNql&#10;GFC0Adqh6yMjS5YASdQoJnb31+8jKTpUIkdq4r4MzoNFhfeDvDvedyT1+s2+KsldytuC1WvHfTV3&#10;SFonbFPU27Xz15er3yOHtILWG1qyOl0739PWeXPx6y+vd80q9VjOyk3KCYTU7WrXrJ1ciGY1m7VJ&#10;nla0fcWatEZnxnhFBV75drbhdAfpVTnz5vPlbMf4puEsSdsW/32nO50LJT/L0kR8yrI2FaRcOxib&#10;UL9c/d7I39nFa7ractrkRdINgz5jFBUtaig9iHpHBSW3vHgkqioSzlqWiVcJq2Ysy4okVXPAbNz5&#10;g9m85+y2UXPZrnbb5mAmmPaBnZ4tNvl49543n5trDkvsmi1sod7kXPYZr+QToyR7ZbLvB5Ole0ES&#10;/DP0XH/pLh2SoG/peks/0jZNchhesrmR6waBQ9DfNZXNk/wPS4S3AEUnwvWVW2ZmALPesHYNAqW9&#10;t0X7Mlt8zmmTKhO3K9jimpNis3Zih9S0Qrhe8TSVwbciipDEcnJyCKA9GK1dtbDfgMWOTN2y3dyP&#10;/KMTp6vkthXvU6a8QO8+tEKH6wYtFWybbpgJq+u2EOnfCPGsKhHBv83InOwI3KNUdHwPyL/1yXMC&#10;B3bWRyQ/Eu5awrXgYFyFzTQnYyq856iwmfQMRvUsLD0T7GSTD2hAqG6NT2hu3JTs685PaBEqE+Jc&#10;5YiGtXJh2E7D4jCvcAq8BZHgkk4eYYZ9bWb3h5hhOZvZ+yFmGMVmXtjMevjd9DmysMy/pcq/wiHI&#10;v9whyL83koeuGiqk1UyT7FRe0WsjV2lFRqXsrthd+oUpQvEgJ0HlfW9Z21RdsKrxGusaCvNslDyb&#10;8n4xQLQhM09NjvUDEwwSJiVrU+1IOT3l0cM8pXmspd2ysthcFWUpJ6agL31bcnJHYbSbrfFKj6qs&#10;pZVcz49l7qVAzqykQtmoZlKUNixvxTva5lqUEqAtXiFZcD26ElGGFGuSmGzdsM13ZELONFy2TXJV&#10;QNIH2oprypFdMG9gvviEn6xkGAjcoloOyRn/d+j/kh6pGr0O2QFv1077zy3lqUPKP2sk8dj14WMi&#10;1IsfhB5euN1zY/fUt9VbBusg+jE61ZT0ojTNjLPqK0qDS6kVXbROoBurTCDy9MtbgXd0Ib8n6eWl&#10;agOU4aQP9ecmkcJVoGHmX/ZfKW9Ig+baEcjfH5kBDroyiRlOlQSaVnLW7PJWsKyQWVtZWNu1ewGI&#10;aSj56WgmTTkMZ+jB2CbjWbCIF/4cFR2C3sZyA2goyNw4gk+OIHk/6o3drOT5GHOkfwygdeKBOUaR&#10;CvJHTC+ANTeOI2/hjqt4Pqx5URyEEnNGJmGj2jhw2gg1QbhNPgBoQ+iPOuXgCTcMvDAOxydhM03U&#10;g0LwoGeyx22mKFh4Qa8CwMo843MPn0fLCjjOBndf5gmJWpNqEnjDZg5sZi3kBZWBWTbk6crgQIaR&#10;GMw/Vh90q16N2tAaoDdPDfh68U4gRN6C4sHKoC+xW0pTye1pqUDvbGuEnqrsoEmS1uJceqii5Fx6&#10;jJ9VmHqoKya6jbQHnDxSeqidyuTSY+m5UbjQ+5Wh0sN1w+UyCH9W6aHFRwA8o+jkpQdSyzL2xzU8&#10;v/KQdcHI8O2iYyJe26XEZDPZTAN6zoAt0m89wH4xbBrHj8Bm58Eewh2DTR2xPVIDQ+Y5uk3uE9ra&#10;B7HztPBmDkvUxtjsv8876/PO+vFR/BF4Q5l8BN5UxTwd3oJ5vAwBXygah+AtioLQRXL+ORtrJX0B&#10;dOjUnBzbJPI8Lfv5qHbYTz+t4IXINtFEZ1yTx7kPzrdhFHs7eFpc67w+AmvafT2oOoZqeuc2eRs4&#10;CFN9VLOUD1KfCtTE/gxo5/3axLvlI4Dm4TrhCKKhC8AwGdICzw1CeaSPte+70SJWS4quzGGxi8Pi&#10;xRJHRRLTFqEfz80hk7l3tq9IfviwOPICnEXLHU+nZyKo3Y9k6BC0D1OjwvvkOXlauA1R2M66S3nA&#10;OjJ8m0dJlyefT6uxMUpLX47rsZkG9Jw3bKffsJn1gXPOzqHyUuketvTeSsf5yZBNx50Sp9384Hyx&#10;j2xd+BwnPxW03Wz1ZRwtm5zq20x/jr9udIc7U3VIfd7O4T61u0L9v1yUqo+A8A2UcnD3vZb8yMp+&#10;R9v+quziPwAAAP//AwBQSwMEFAAGAAgAAAAhABdQUS7fAAAACgEAAA8AAABkcnMvZG93bnJldi54&#10;bWxMj0Frg0AQhe+F/odlCr01q9ZKYlxDCG1PoZCkUHqb6EQl7qy4GzX/vhsotKeZ4T3efC9bTboV&#10;A/W2MawgnAUgiAtTNlwp+Dy8Pc1BWIdcYmuYFFzJwiq/v8swLc3IOxr2rhI+hG2KCmrnulRKW9Sk&#10;0c5MR+y1k+k1On/2lSx7HH24bmUUBInU2LD/UGNHm5qK8/6iFbyPOK6fw9dhez5trt+Hl4+vbUhK&#10;PT5M6yUIR5P7M8MN36ND7pmO5sKlFa2CaB575++86WESJyCOfoviBcg8k/8r5D8AAAD//wMAUEsB&#10;Ai0AFAAGAAgAAAAhALaDOJL+AAAA4QEAABMAAAAAAAAAAAAAAAAAAAAAAFtDb250ZW50X1R5cGVz&#10;XS54bWxQSwECLQAUAAYACAAAACEAOP0h/9YAAACUAQAACwAAAAAAAAAAAAAAAAAvAQAAX3JlbHMv&#10;LnJlbHNQSwECLQAUAAYACAAAACEArpaQ32MGAACdJgAADgAAAAAAAAAAAAAAAAAuAgAAZHJzL2Uy&#10;b0RvYy54bWxQSwECLQAUAAYACAAAACEAF1BRLt8AAAAKAQAADwAAAAAAAAAAAAAAAAC9CAAAZHJz&#10;L2Rvd25yZXYueG1sUEsFBgAAAAAEAAQA8wAAAMkJAAAAAA==&#10;">
              <v:shape id="Freeform: Shape 9"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EsxAAAANoAAAAPAAAAZHJzL2Rvd25yZXYueG1sRI9Pa8JA&#10;FMTvQr/D8gq9iG7swTbRVVTwD9JCjXp/zb4mwezbkF1j+u27BcHjMDO/YabzzlSipcaVlhWMhhEI&#10;4szqknMFp+N68A7CeWSNlWVS8EsO5rOn3hQTbW98oDb1uQgQdgkqKLyvEyldVpBBN7Q1cfB+bGPQ&#10;B9nkUjd4C3BTydcoGkuDJYeFAmtaFZRd0qtRsNim8Xn3vXzrb772H+1++elIx0q9PHeLCQhPnX+E&#10;7+2dVhDD/5VwA+TsDwAA//8DAFBLAQItABQABgAIAAAAIQDb4fbL7gAAAIUBAAATAAAAAAAAAAAA&#10;AAAAAAAAAABbQ29udGVudF9UeXBlc10ueG1sUEsBAi0AFAAGAAgAAAAhAFr0LFu/AAAAFQEAAAsA&#10;AAAAAAAAAAAAAAAAHwEAAF9yZWxzLy5yZWxzUEsBAi0AFAAGAAgAAAAhAI8QISzEAAAA2gAAAA8A&#10;AAAAAAAAAAAAAAAABwIAAGRycy9kb3ducmV2LnhtbFBLBQYAAAAAAwADALcAAAD4AgAAAAA=&#10;" path="m,l7210485,r,612140l,612140,,xe" fillcolor="#e7d1eb [3214]" stroked="f" strokeweight=".34711mm">
                <v:stroke joinstyle="miter"/>
                <v:path arrowok="t" o:connecttype="custom" o:connectlocs="0,0;7210485,0;7210485,612140;0,612140" o:connectangles="0,0,0,0"/>
              </v:shape>
              <v:shape id="Freeform: Shape 20"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ofwgAAANsAAAAPAAAAZHJzL2Rvd25yZXYueG1sRE/Pa4Mw&#10;FL4P9j+EN+hltLEehljT4gqFQRE252W3h3lTqXmRJKu2f/1yGOz48f0uDosZxZWcHywr2G4SEMSt&#10;1QN3CprP0zoD4QOyxtEyKbiRh8P+8aHAXNuZP+hah07EEPY5KuhDmHIpfduTQb+xE3Hkvq0zGCJ0&#10;ndQO5xhuRpkmyYs0OHBs6HGiY0/tpf4xCipf3dNan4+vQ3Nx2XNZvpdfs1Krp6XcgQi0hH/xn/tN&#10;K0jj+vgl/gC5/wUAAP//AwBQSwECLQAUAAYACAAAACEA2+H2y+4AAACFAQAAEwAAAAAAAAAAAAAA&#10;AAAAAAAAW0NvbnRlbnRfVHlwZXNdLnhtbFBLAQItABQABgAIAAAAIQBa9CxbvwAAABUBAAALAAAA&#10;AAAAAAAAAAAAAB8BAABfcmVscy8ucmVsc1BLAQItABQABgAIAAAAIQC3ykofwgAAANsAAAAPAAAA&#10;AAAAAAAAAAAAAAcCAABkcnMvZG93bnJldi54bWxQSwUGAAAAAAMAAwC3AAAA9gI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21"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21xAAAANsAAAAPAAAAZHJzL2Rvd25yZXYueG1sRI9Ba8JA&#10;FITvBf/D8gQvpW7MoUjqKqVU2oNQYkLA22P3mQSzb0N2q/Hfu4LgcZiZb5jVZrSdONPgW8cKFvME&#10;BLF2puVaQVls35YgfEA22DkmBVfysFlPXlaYGXfhnM77UIsIYZ+hgiaEPpPS64Ys+rnriaN3dIPF&#10;EOVQSzPgJcJtJ9MkeZcWW44LDfb01ZA+7f+tgurnT7fVd+7Kgw2FZ78bX7daqdl0/PwAEWgMz/Cj&#10;/WsUpAu4f4k/QK5vAAAA//8DAFBLAQItABQABgAIAAAAIQDb4fbL7gAAAIUBAAATAAAAAAAAAAAA&#10;AAAAAAAAAABbQ29udGVudF9UeXBlc10ueG1sUEsBAi0AFAAGAAgAAAAhAFr0LFu/AAAAFQEAAAsA&#10;AAAAAAAAAAAAAAAAHwEAAF9yZWxzLy5yZWxzUEsBAi0AFAAGAAgAAAAhAFzmfbXEAAAA2wAAAA8A&#10;AAAAAAAAAAAAAAAABwIAAGRycy9kb3ducmV2LnhtbFBLBQYAAAAAAwADALcAAAD4AgAAAAA=&#10;" path="m1176658,l289694,,,612140r1176658,l1176658,xe" fillcolor="#87189d [3204]" stroked="f" strokeweight=".34711mm">
                <v:stroke joinstyle="miter"/>
                <v:path arrowok="t" o:connecttype="custom" o:connectlocs="1176658,0;289694,0;0,612140;1176658,612140" o:connectangles="0,0,0,0"/>
              </v:shape>
              <v:shape id="Freeform: Shape 2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NyxAAAANsAAAAPAAAAZHJzL2Rvd25yZXYueG1sRI/RasJA&#10;FETfC/2H5Rb6VjeRIiV1E9pCjQhS1H7AJXubTc3eDdnVRL/eFQQfh5k5w8yL0bbiSL1vHCtIJwkI&#10;4srphmsFv7vvlzcQPiBrbB2TghN5KPLHhzlm2g28oeM21CJC2GeowITQZVL6ypBFP3EdcfT+XG8x&#10;RNnXUvc4RLht5TRJZtJiw3HBYEdfhqr99mAVlENqPpd2na5+OtqXi3Au5eZfqeen8eMdRKAx3MO3&#10;9lIrmL7C9Uv8ATK/AAAA//8DAFBLAQItABQABgAIAAAAIQDb4fbL7gAAAIUBAAATAAAAAAAAAAAA&#10;AAAAAAAAAABbQ29udGVudF9UeXBlc10ueG1sUEsBAi0AFAAGAAgAAAAhAFr0LFu/AAAAFQEAAAsA&#10;AAAAAAAAAAAAAAAAHwEAAF9yZWxzLy5yZWxzUEsBAi0AFAAGAAgAAAAhAGJ043L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226"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2exAAAANwAAAAPAAAAZHJzL2Rvd25yZXYueG1sRI9Bi8Iw&#10;FITvgv8hPMHbmtqDuNUoogh7WVy7W7w+m2dbbF5qE7X7740geBxm5htmvuxMLW7UusqygvEoAkGc&#10;W11xoeDvd/sxBeE8ssbaMin4JwfLRb83x0TbO+/plvpCBAi7BBWU3jeJlC4vyaAb2YY4eCfbGvRB&#10;toXULd4D3NQyjqKJNFhxWCixoXVJ+Tm9GgW7tDrk8WZr18dDsc9+PuvL9TtTajjoVjMQnjr/Dr/a&#10;X1pBHE/geSYcAbl4AAAA//8DAFBLAQItABQABgAIAAAAIQDb4fbL7gAAAIUBAAATAAAAAAAAAAAA&#10;AAAAAAAAAABbQ29udGVudF9UeXBlc10ueG1sUEsBAi0AFAAGAAgAAAAhAFr0LFu/AAAAFQEAAAsA&#10;AAAAAAAAAAAAAAAAHwEAAF9yZWxzLy5yZWxzUEsBAi0AFAAGAAgAAAAhAONjDZ7EAAAA3AAAAA8A&#10;AAAAAAAAAAAAAAAABwIAAGRycy9kb3ducmV2LnhtbFBLBQYAAAAAAwADALcAAAD4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7067" w14:textId="77777777" w:rsidR="001B4A85" w:rsidRDefault="001B4A85" w:rsidP="00A230FA">
    <w:pPr>
      <w:pStyle w:val="Header"/>
    </w:pPr>
    <w:r>
      <w:rPr>
        <w:noProof/>
      </w:rPr>
      <mc:AlternateContent>
        <mc:Choice Requires="wpg">
          <w:drawing>
            <wp:anchor distT="0" distB="0" distL="114300" distR="114300" simplePos="0" relativeHeight="251674112" behindDoc="0" locked="0" layoutInCell="1" allowOverlap="1" wp14:anchorId="4BC14BA5" wp14:editId="7033E647">
              <wp:simplePos x="0" y="0"/>
              <wp:positionH relativeFrom="page">
                <wp:align>right</wp:align>
              </wp:positionH>
              <wp:positionV relativeFrom="page">
                <wp:posOffset>-8890</wp:posOffset>
              </wp:positionV>
              <wp:extent cx="7562088" cy="859536"/>
              <wp:effectExtent l="0" t="0" r="1270" b="0"/>
              <wp:wrapNone/>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28"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Group 229"/>
                      <wpg:cNvGrpSpPr/>
                      <wpg:grpSpPr>
                        <a:xfrm>
                          <a:off x="6271745" y="-3009"/>
                          <a:ext cx="1130778" cy="796161"/>
                          <a:chOff x="-47574" y="-3009"/>
                          <a:chExt cx="1130778" cy="796161"/>
                        </a:xfrm>
                      </wpg:grpSpPr>
                      <wps:wsp>
                        <wps:cNvPr id="232" name="Freeform: Shape 232"/>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Graphic 23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35" name="Graphic 23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C0B97A3" id="Group 227" o:spid="_x0000_s1026" alt="&quot;&quot;" style="position:absolute;margin-left:544.25pt;margin-top:-.7pt;width:595.45pt;height:67.7pt;z-index:251674112;mso-position-horizontal:right;mso-position-horizontal-relative:page;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B0ZFlwYAAGocAAAOAAAAZHJzL2Uyb0RvYy54bWzsWVtv&#10;2zYUfh+w/yDocUBqXSzLFuoUQbIEBbI2WDq0faRlyhYqiRpJx8l+/T6Sok0ljp222YoCebBFiofn&#10;8Fx4PvLo9ZvbuvJuKBcla6Z++CrwPdrkbF42i6n/14fzo7HvCUmaOalYQ6f+HRX+m+Nff3m9bjMa&#10;sSWr5pR7YNKIbN1O/aWUbTYYiHxJayJesZY2GCwYr4lEly8Gc07W4F5XgygIRoM14/OWs5wKgbdn&#10;ZtA/1vyLgubyfVEIKr1q6mNtUv9z/T9T/4Pj1yRbcNIuy7xbBvmGVdSkbCB0w+qMSOKtePmAVV3m&#10;nAlWyFc5qwesKMqcah2gTRjc0+aCs1WrdVlk60W7MRNMe89O38w2f3dzwdvr9orDEut2AVvontLl&#10;tuC1emKV3q022d3GZPRWejlepskoCsZwco6xcTJJ4pGxab6E4bfTjpJoHHfmzpe/b2eHyRh+MbOT&#10;YDxUswdW9qC3onWLGBFbM4jvM8P1krRUW1dkMMMV98r51I8iKNOQGrGqCbxErUiJBs3GTiITMNmj&#10;RnK1dSy1V1eS5SshLyjTNic3l0Ka4JyjpUNr3q0rZ00jSkk/wXBFXSFefxt4gbf20iSZjFJtQkTi&#10;ffLPffKll46GiDnjrgfUn0KHuWGcHBbhTgq8QyKibxHRm6Q1OCgnduQ8wU4uubFRTwKic2F9QpbW&#10;Tflt0/kJLY+o9BfojNAyobaB6zRsFduFU0zAY5Zy8oHJsK87OfyqybCcOzn6qskwijs5difDIlv1&#10;OXKuyraVzrbS95Btue8h287UHJK1RCqr2aa3VlnEBK63RNtEpRqu2Q39wDSh3KYSa7HtaNW4VF2w&#10;6vVaWkthn63m51JuNwO0sWT2acixf2CCnYR5xQQ1jlTq6RS20VOZx9naglXl/LysKqWYBjp6WnHv&#10;hsBos0Wkg6Za1X+wuXkHmAu6XYrXKqtq0rF9DfYbLlpwT0DVKAOH0WiSIM0SQGxREamFNEytwviE&#10;C3lGxNKw1gyMs2rkGW4UqxCgSMg29anWjM3vkDc5M7gq2vy8BKdLIuQV4UhMMBkOB/I9/oqKYSHw&#10;qG753pLxf3a9V/RI7Bj1vTWAeeqLv1eEU9+r3jZI+ZNwOARbqTvDJI3Q4e7IzB1pVvUpg2GxcbA6&#10;3VT0srLNgrP6I84QJ0oqhkiTQzY2qETQms6pRB9DOIXk9OREt4He8O9lc93mirmOUWj+4fYj4a3X&#10;ojn1JVL/O2ZhhmQ2p8NhisDQqpkNO1lJVpQq4WsLG7t2HUCeA82m6eLVxOKVPi54UTRRrlPI+RXg&#10;PorSMB0iRBDhR3EQaB4ks+AVhnGQph3Mp5NRONKpB4FtYf5omCaAnnvzt1D/CAfYwhwzfgTUx8iI&#10;BurPOaXqkJl5BvQjDGkjPhH2k3AcjVKtfTwJxmF3CLLmi8fDYNhZbxhEsTkkbXTv5wcbJg7MPERn&#10;FY4u9MfJJE06pz2gfoD88ThIIp3Cd5wTesgfppNxHAH49wtwcV8zHwIy90uB7TcaGOYHpbhT1Oli&#10;vwAXxhXq79egT+3yhpte8P558b5zhYL7zocqDW4B3cVbC+Hb0T4qmwg1W0+Ftb1BWCr7NDytZKQ5&#10;y9gS2Ocu4XbsuXCe5DltpD2Baby1JwID2JMk+oF4/YK/6lzTx9//4+4ZIws9Bkh6Bz75HhrHwCNz&#10;W9gB53E6nAQAa3Xt/q/wCJCYmjPkE/AIZYSRvmgfxiOcv0OdzfcJ6OGRYj5ScLFXigsucaKYH5Ti&#10;TtF4tFdAH2EUHu3ToE/tLv4FjyT9/Nx4pF2h8cj48HvwSEWowSMdeWoTwGcWQuzT4pGR/IJHONE+&#10;en98waP7eNSWeYZfVxJG60Et9HDpHLPkSl2sTfm9fhKPmvAvq/bI3H/LWVmV8k5X4nEHVotqbq7K&#10;XGGn6jjX1BhwY6Dtoqu2R3iFrWHpzCxcjcv8kuVfhNew0yXqaPREtCgpqVu22kh9ct3tiZxVZWuP&#10;UqrdKYcb/L2S+Q77mHL8GctXNU5n5vsCpyiX4OOGWJatQOUgo/WMzlHSejvvrsBCcipz1HxIVqCe&#10;8icWa3b8ZkCvcrswpcIj5WPnFr3rHgkgG6p6h8HtcJJozHTukaquoErIXQVC1eJ0bcLeKUFqSTpb&#10;moXoFWJdxh1o/ESBhXPy/cDSZulHys8UWN3NfBM/zxBYqrozfFCe2dQnRkk66uIqnsSBOYs9a1xt&#10;6zv6WK0/aGlc7D6+qS9mbl9TbT8RHv8LAAD//wMAUEsDBAoAAAAAAAAAIQAhXGFhWwkAAFsJAAAU&#10;AAAAZHJzL21lZGlhL2ltYWdlMS5wbmeJUE5HDQoaCgAAAA1JSERSAAAA4AAAAKAIBgAAABV1YI0A&#10;AAABc1JHQgCuzhzpAAAABGdBTUEAALGPC/xhBQAAAAlwSFlzAAA7DgAAOw4BzLahgwAACPBJREFU&#10;eF7t3bGOU0cUxnEaqkgoBanSpKZKChqUgrxBWmIbkoYUNFGeYCu6CLqUSEEo63UkumXt3WiLSFQb&#10;8QQICaWJKCKUByDnmzk78rXHsffu3Jnm/0kr7T2He2c49/7WFlqLK6Rf9kfHN2eTxfuDyfzESylP&#10;R4fX1JuNF2+91Imd81r9Z3dOr3sp5WC8OIznHt3yUspsMn8c1hzPv/VSynQ8fxDOmyweeilF14rn&#10;LQ69lKI9hJ7tyUud2Jrv1D+7f3bVSyn293up3nR0csNLKbPx8SPb5z/746OvvZRyMDn6Qb3paL7n&#10;pRT9efXsuk+8lPLrvRefee+Vlzqx/bxR//m904+9lKJz1NM1vJSitdQrudeDb+afq2dzPfVSJ6Fn&#10;X35ILpqDyfGXNvgPs/H8Dy+lTL87/ES9g8niby91Yuf8pf707smnXkqx+u/q7d89+spLKb+N5z+H&#10;647m33spxR6QH9Wb3V385KUUXSv07NpeStEeQs/25KVODOC/6v8ynn/kpRSr/xmve/yFl1IEUD17&#10;yNZ+WOihjmseP/JSih7qeM3Fcy+lCE88b/HGS504hg+bAKonGF5KsfqT0Cu4V63jvfwPi9j74Ifk&#10;ogFg2CsA1QNg/QAw7BWA6gFw2MxGL277tykADHsFoHoAHC7hpmeGD8CwVwCq1xPgpn+gIUuxB3vP&#10;hrX+r1wA1F4BqF5PgDrfD0kuupF+UwEIwNIAs3WyFN0QHyIAAVgUYG4tshIAaj8AVK80wNweyUoA&#10;qP0AUL3SAMkOAaD2A0D1ANggANR+AKgeABsEgNoPANUDYIMAUPsBoHoAbBAAaj8AVA+ADQJA7QeA&#10;6gGwQQCo/QBQPQA2CAC1HwCqB8CBk7sxANR+AKgeAAeMPu+nQfthCgC1HwCqdwmAaz2yEg0JgAAc&#10;BGDmw9xkKec3FYAAHAAgr37bYg+uPnALQACWB8ir3/akBwWAACy4V7JjAAhAqwOwVQAIQKsDsFUA&#10;CECrA7BVAAhAqwOwVQAIQKsDsFUACECrA7BVAAhAqwOwVQAIQKsDsFUACECrA7BGsjcGgAAE4PDR&#10;sPTlhykABKDVLwcw0yMr0X8FBUAADgEwd02yFP1WugYFQAAOAJC3n9uiIWmIAARgcYB85Gh7bIAA&#10;VA+ARQHm1iGZ2AABqB4AiwIkO8YGCED1AAjAFrEBAlA9AAKwRWyAAFQPgABsERsgANUDIABbxAYI&#10;QPUACMAWsQECUD0AArBFbIAAVA+AAGwRGyAA1QMgAFvEBghA9QAIwCGjm6eb5IcpNkAAqgfA3gBt&#10;vnteIpuijxwBEIClAeq6ueeKLOX8xgEQgAO8Aq7df7ISvfppiAAEYPFXwMw5ZCW6KRoiAAFYEmDu&#10;eSKZABCAQwAkOwaAAARgwwAQgABsGAACEIANA0AAArBhAAhAADYMAAEIwIYBIAAB2DAABCAAKyQ3&#10;XAWAAARgheSgKAAEIAArRL907d92AkAAXgagzt307op4dHM0KD/sBIAAvAxAmx8fuN0WvfoBEIDF&#10;Ado+ePXbIWGAAARgYYC5Z4ZkEgYIQAAWBkh2TBggAAEIwDYJAwQgAAHYJmGAAAQgANskDBCAAARg&#10;m4QBAhCAAGyTMEAAAhCAbRIGCEAAArBNwgABCEAAtkkYIAABCMBhk4OihAECEIAAHC4a3saPHGmA&#10;AARgX4B2Xq5HlmIP0p6G5YedaLgABGBfgHq2/JDkosE5JAACsChAvavi1W9L9P7chw9AABYFmLv3&#10;ZCUADHsFYLhmWYBkhwAw7BWA4ZoArB4Ahr0CMFwTgNUDwLBXAIZrArB6ABj2CsBwTQBWDwDDXgEY&#10;rgnA6gFg2CsAwzUBWD0ADHsFYLgmAKsHgGGvAAzXBGD1ADDsFYDhmgAcNMLm36YAMOwVgOGaABws&#10;GpANav2hBiAALw8w++yQpdjDoo8crQ0YgGGvAAzX7Acwtx5Zil79NKjcgAEY9grAcM2LA7TeK95+&#10;bsn/DRiAYa8ADNfs8QqYuYdkJQDUmgCMa5YFyKvfDgGg1gRgXLMsQLJDAKg1ARjXBGD1AFBrAjCu&#10;CcDqAaDWBGBcE4DVA0CtCcC4JgCrB4BaE4BxTQBWDwC1JgDjmgCsHgBqTQDGNQFYPQDUmgCMawJw&#10;0AiUf5sCQK0JwLgmAAeLhpV7qAGoNQEY1+wHcNP/nkWWYg/Enr78MAWAWhOAcc1+AHP3kSzl/CNH&#10;AATgAACzzwZZyvmAAQjA0gBz1yMrETwNEYAALAlQ76z4yNEOASAAhwBIdgwAAQjAhgEgAAHYMAAE&#10;IAAbBoAABGDDABCAAGwYAAIQgA0DQAACsGEACEAAVkruNxMACEAAVshs9OJ27qEGIAALAFybOVmJ&#10;Dek5AAE4CED74e4lkss5FgACcACAvP3cFhvSEw0RgAAsDpBXv+2xAW58qAEIwL4Ac/ePZGIDBKB6&#10;ACwKkOwYGyAA1QMgAFvEBghA9QAIwBaxAQJQPQACsEVsgABUD4AAbBEbIADVAyAAW8QGCED1AAjA&#10;FrEBAlA9AAKwRWyAAFQPgAAcOrmPHNkAAageAAE4ZPTQCoYfptgAAageAAE4ZPRfQQEQgEMAzD1X&#10;ZCn6rfRNg7I6ANUDYF+Aa/efrERDCkMEIABLA+QjR9tjA3wVhghAABYEmLtHJBMbIADjfgBYECDZ&#10;MTZAAMb9ABCA9WMDBGDcDwABWD82QADG/QAQgPVjAwRg3A8AAVg/NkAAxv0AEID1YwMEYNwPAAFY&#10;PzZAAMb9ABCA9WMDBGDcDwABWD82QADG/QAQgMMl92AqNkAAxv0AEIDDRR858m87sQECMO4HgD0A&#10;6l7l7gdZyjkIP+zE6gCM+wFgn1dA+/JDsil69dMQ/bATq/cCqIdZUEoD1DUFzQ870TmbfuJqLV33&#10;ogD158OaGYD7o+ObVn9v8zvxUsrT0eE19Wyvb73UiZ3zWv1nd06veynlYLw4jOce3fJSimF4HNbM&#10;vK2bjucPwnmTxUMvpeha8bzFoZdStIfQsz15qRNb8536Z/fPrnopxf5+L9Wbjk5ueClF9z733JDl&#10;XLnyH8/9JKyh8ZfTAAAAAElFTkSuQmCCUEsDBAoAAAAAAAAAIQBIXHrHXA8AAFwPAAAUAAAAZHJz&#10;L21lZGlhL2ltYWdlMi5zdmc8c3ZnIHZpZXdCb3g9IjAgMCA1Ni4wOCA0MC4wMyIgeG1sbnM9Imh0&#10;dHA6Ly93d3cudzMub3JnLzIwMDAvc3ZnIiB4bWxuczp4bGluaz0iaHR0cDovL3d3dy53My5vcmcv&#10;MTk5OS94bGluayIgaWQ9IkxheWVyXzEiIG92ZXJmbG93PSJoaWRkZW4iPjxzdHlsZT4NCi5Nc2Z0&#10;T2ZjVGhtX0FjY2VudDJfRmlsbF92MiB7DQogZmlsbDojQUI1REJBOyANCn0NCjwvc3R5bGU+DQo8&#10;ZGVmcz48L2RlZnM+PHBhdGggZD0iTTAgNDAuMDMgMC41IDQwLjAzIDAuNSAzOC45NyAwIDQwLjAz&#10;WiIgY2xhc3M9ImNscy0xIE1zZnRPZmNUaG1fQWNjZW50Ml9GaWxsX3YyIiBmaWxsPSIjQUI1REJB&#10;Ii8+PHBhdGggZD0iTTEuNzkgMzYuMjMgMS43OSA0MC4wMyAyLjI5IDQwLjAzIDIuMjkgMzUuMTcg&#10;MS43OSAzNi4yM1oiIGNsYXNzPSJjbHMtMSBNc2Z0T2ZjVGhtX0FjY2VudDJfRmlsbF92MiIgZmls&#10;bD0iI0FCNURCQSIvPjxwYXRoIGQ9Ik0zLjU4IDMyLjQzIDMuNTggNDAuMDMgNC4wOCA0MC4wMyA0&#10;LjA4IDMxLjM3IDMuNTggMzIuNDNaIiBjbGFzcz0iY2xzLTEgTXNmdE9mY1RobV9BY2NlbnQyX0Zp&#10;bGxfdjIiIGZpbGw9IiNBQjVEQkEiLz48cGF0aCBkPSJNNS4zOCAyOC42MyA1LjM4IDQwLjAyIDUu&#10;ODggNDAuMDIgNS44OCAyNy41NyA1LjM4IDI4LjYzWiIgY2xhc3M9ImNscy0xIE1zZnRPZmNUaG1f&#10;QWNjZW50Ml9GaWxsX3YyIiBmaWxsPSIjQUI1REJBIi8+PHBhdGggZD0iTTcuMTcgMjQuODMgNy4x&#10;NyA0MC4wMyA3LjY3IDQwLjAzIDcuNjcgMjMuNzcgNy4xNyAyNC44M1oiIGNsYXNzPSJjbHMtMSBN&#10;c2Z0T2ZjVGhtX0FjY2VudDJfRmlsbF92MiIgZmlsbD0iI0FCNURCQSIvPjxwYXRoIGQ9Ik04Ljk2&#10;IDIxLjAzIDguOTYgNDAuMDMgOS40NiA0MC4wMyA5LjQ2IDE5Ljk3IDguOTYgMjEuMDNaIiBjbGFz&#10;cz0iY2xzLTEgTXNmdE9mY1RobV9BY2NlbnQyX0ZpbGxfdjIiIGZpbGw9IiNBQjVEQkEiLz48cGF0&#10;aCBkPSJNMTAuNzYgMTcuMjMgMTAuNzYgNDAuMDIgMTEuMjUgNDAuMDIgMTEuMjUgMTYuMTcgMTAu&#10;NzYgMTcuMjNaIiBjbGFzcz0iY2xzLTEgTXNmdE9mY1RobV9BY2NlbnQyX0ZpbGxfdjIiIGZpbGw9&#10;IiNBQjVEQkEiLz48cGF0aCBkPSJNMTIuNTUgMTMuNDMgMTIuNTUgNDAuMDIgMTMuMDUgNDAuMDIg&#10;MTMuMDUgMTIuMzcgMTIuNTUgMTMuNDNaIiBjbGFzcz0iY2xzLTEgTXNmdE9mY1RobV9BY2NlbnQy&#10;X0ZpbGxfdjIiIGZpbGw9IiNBQjVEQkEiLz48cGF0aCBkPSJNMTQuMzQgOS42MyAxNC4zNCA0MC4w&#10;MyAxNC44NCA0MC4wMyAxNC44NCA4LjU3IDE0LjM0IDkuNjNaIiBjbGFzcz0iY2xzLTEgTXNmdE9m&#10;Y1RobV9BY2NlbnQyX0ZpbGxfdjIiIGZpbGw9IiNBQjVEQkEiLz48cGF0aCBkPSJNMTYuMTMgNS44&#10;MyAxNi4xMyA0MC4wMyAxNi42MyA0MC4wMyAxNi42MyA0Ljc3IDE2LjEzIDUuODNaIiBjbGFzcz0i&#10;Y2xzLTEgTXNmdE9mY1RobV9BY2NlbnQyX0ZpbGxfdjIiIGZpbGw9IiNBQjVEQkEiLz48cGF0aCBk&#10;PSJNMTcuOTMgMi4wMyAxNy45MyA0MC4wMiAxOC40MyA0MC4wMiAxOC40MyAwLjk3IDE3LjkzIDIu&#10;MDNaIiBjbGFzcz0iY2xzLTEgTXNmdE9mY1RobV9BY2NlbnQyX0ZpbGxfdjIiIGZpbGw9IiNBQjVE&#10;QkEiLz48cmVjdCB4PSIxOS43MiIgeT0iMCIgd2lkdGg9IjAuNSIgaGVpZ2h0PSI0MC4wMyIgY2xh&#10;c3M9ImNscy0xIE1zZnRPZmNUaG1fQWNjZW50Ml9GaWxsX3YyIiBmaWxsPSIjQUI1REJBIi8+PHJl&#10;Y3QgeD0iMjEuNTEiIHk9IjAiIHdpZHRoPSIwLjUiIGhlaWdodD0iNDAuMDMiIGNsYXNzPSJjbHMt&#10;MSBNc2Z0T2ZjVGhtX0FjY2VudDJfRmlsbF92MiIgZmlsbD0iI0FCNURCQSIvPjxyZWN0IHg9IjIz&#10;LjMxIiB5PSIwIiB3aWR0aD0iMC41IiBoZWlnaHQ9IjQwLjAzIiBjbGFzcz0iY2xzLTEgTXNmdE9m&#10;Y1RobV9BY2NlbnQyX0ZpbGxfdjIiIGZpbGw9IiNBQjVEQkEiLz48cmVjdCB4PSIyNS4xIiB5PSIw&#10;IiB3aWR0aD0iMC41IiBoZWlnaHQ9IjQwLjAzIiBjbGFzcz0iY2xzLTEgTXNmdE9mY1RobV9BY2Nl&#10;bnQyX0ZpbGxfdjIiIGZpbGw9IiNBQjVEQkEiLz48cmVjdCB4PSIyNi44OSIgeT0iMCIgd2lkdGg9&#10;IjAuNSIgaGVpZ2h0PSI0MC4wMyIgY2xhc3M9ImNscy0xIE1zZnRPZmNUaG1fQWNjZW50Ml9GaWxs&#10;X3YyIiBmaWxsPSIjQUI1REJBIi8+PHJlY3QgeD0iMjguNjgiIHk9IjAiIHdpZHRoPSIwLjUiIGhl&#10;aWdodD0iNDAuMDMiIGNsYXNzPSJjbHMtMSBNc2Z0T2ZjVGhtX0FjY2VudDJfRmlsbF92MiIgZmls&#10;bD0iI0FCNURCQSIvPjxyZWN0IHg9IjMwLjQ4IiB5PSIwIiB3aWR0aD0iMC41IiBoZWlnaHQ9IjQw&#10;LjAzIiBjbGFzcz0iY2xzLTEgTXNmdE9mY1RobV9BY2NlbnQyX0ZpbGxfdjIiIGZpbGw9IiNBQjVE&#10;QkEiLz48cmVjdCB4PSIzMi4yNyIgeT0iMCIgd2lkdGg9IjAuNSIgaGVpZ2h0PSI0MC4wMyIgY2xh&#10;c3M9ImNscy0xIE1zZnRPZmNUaG1fQWNjZW50Ml9GaWxsX3YyIiBmaWxsPSIjQUI1REJBIi8+PHJl&#10;Y3QgeD0iMzQuMDYiIHk9IjAiIHdpZHRoPSIwLjUiIGhlaWdodD0iNDAuMDMiIGNsYXNzPSJjbHMt&#10;MSBNc2Z0T2ZjVGhtX0FjY2VudDJfRmlsbF92MiIgZmlsbD0iI0FCNURCQSIvPjxyZWN0IHg9IjM1&#10;Ljg1IiB5PSIwIiB3aWR0aD0iMC41IiBoZWlnaHQ9IjQwLjAzIiBjbGFzcz0iY2xzLTEgTXNmdE9m&#10;Y1RobV9BY2NlbnQyX0ZpbGxfdjIiIGZpbGw9IiNBQjVEQkEiLz48cGF0aCBkPSJNMzcuNjUgMCAz&#10;Ny42NSA0MC4wMyAzNy43NyA0MC4wMyAzOC4xNSAzOS4yMyAzOC4xNSAwIDM3LjY1IDBaIiBjbGFz&#10;cz0iY2xzLTEgTXNmdE9mY1RobV9BY2NlbnQyX0ZpbGxfdjIiIGZpbGw9IiNBQjVEQkEiLz48cGF0&#10;aCBkPSJNMzkuNDQgMCAzOS40NCAzNi40OSAzOS45NCAzNS40MyAzOS45NCAwIDM5LjQ0IDBaIiBj&#10;bGFzcz0iY2xzLTEgTXNmdE9mY1RobV9BY2NlbnQyX0ZpbGxfdjIiIGZpbGw9IiNBQjVEQkEiLz48&#10;cGF0aCBkPSJNNDEuMjMgMCA0MS4yMyAzMi42OSA0MS43MyAzMS42MyA0MS43MyAwIDQxLjIzIDBa&#10;IiBjbGFzcz0iY2xzLTEgTXNmdE9mY1RobV9BY2NlbnQyX0ZpbGxfdjIiIGZpbGw9IiNBQjVEQkEi&#10;Lz48cGF0aCBkPSJNNDMuMDMgMCA0My4wMyAyOC44OSA0My41MyAyNy44MyA0My41MyAwIDQzLjAz&#10;IDBaIiBjbGFzcz0iY2xzLTEgTXNmdE9mY1RobV9BY2NlbnQyX0ZpbGxfdjIiIGZpbGw9IiNBQjVE&#10;QkEiLz48cGF0aCBkPSJNNDQuODIgMCA0NC44MiAyNS4wOSA0NS4zMiAyNC4wMyA0NS4zMiAwIDQ0&#10;LjgyIDBaIiBjbGFzcz0iY2xzLTEgTXNmdE9mY1RobV9BY2NlbnQyX0ZpbGxfdjIiIGZpbGw9IiNB&#10;QjVEQkEiLz48cGF0aCBkPSJNNDYuNjEgMCA0Ni42MSAyMS4yOSA0Ny4xMSAyMC4yMyA0Ny4xMSAw&#10;IDQ2LjYxIDBaIiBjbGFzcz0iY2xzLTEgTXNmdE9mY1RobV9BY2NlbnQyX0ZpbGxfdjIiIGZpbGw9&#10;IiNBQjVEQkEiLz48cGF0aCBkPSJNNDguNCAwIDQ4LjQgMTcuNDkgNDguOSAxNi40MyA0OC45IDAg&#10;NDguNCAwWiIgY2xhc3M9ImNscy0xIE1zZnRPZmNUaG1fQWNjZW50Ml9GaWxsX3YyIiBmaWxsPSIj&#10;QUI1REJBIi8+PHBhdGggZD0iTTUwLjIgMCA1MC4yIDEzLjY5IDUwLjcgMTIuNjMgNTAuNyAwIDUw&#10;LjIgMFoiIGNsYXNzPSJjbHMtMSBNc2Z0T2ZjVGhtX0FjY2VudDJfRmlsbF92MiIgZmlsbD0iI0FC&#10;NURCQSIvPjxwYXRoIGQ9Ik01MS45OSAwIDUxLjk5IDkuODkgNTIuNDkgOC44MyA1Mi40OSAwIDUx&#10;Ljk5IDBaIiBjbGFzcz0iY2xzLTEgTXNmdE9mY1RobV9BY2NlbnQyX0ZpbGxfdjIiIGZpbGw9IiNB&#10;QjVEQkEiLz48cGF0aCBkPSJNNTMuNzggMCA1My43OCA2LjA5IDU0LjI4IDUuMDMgNTQuMjggMCA1&#10;My43OCAwWiIgY2xhc3M9ImNscy0xIE1zZnRPZmNUaG1fQWNjZW50Ml9GaWxsX3YyIiBmaWxsPSIj&#10;QUI1REJBIi8+PHBhdGggZD0iTTU1LjU4IDAgNTUuNTggMi4yOSA1Ni4wOCAxLjIzIDU2LjA4IDAg&#10;NTUuNTggMFoiIGNsYXNzPSJjbHMtMSBNc2Z0T2ZjVGhtX0FjY2VudDJfRmlsbF92MiIgZmlsbD0i&#10;I0FCNURCQSIvPjwvc3ZnPlBLAwQKAAAAAAAAACEA6cXOXYYFAACGBQAAFAAAAGRycy9tZWRpYS9p&#10;bWFnZTMucG5niVBORw0KGgoAAAANSUhEUgAAAJAAAACcCAYAAACQhCLDAAAAAXNSR0IArs4c6QAA&#10;AARnQU1BAACxjwv8YQUAAAAJcEhZcwAAOw4AADsOAcy2oYMAAAUbSURBVHhe7d3LcdxGFIVhhqAQ&#10;HIJCUAhem8OSQnAIzkAhcGmbXHBJDbVgCAxBITgE+R7wAkVM94gYnHng8X9VqiK6NT2Nxq/RgrR8&#10;dbfZ/nd/8/Tz4fPzh6sdMf6iub8/P/6WQ527m+2z5u6vHz/lUCfGbzUXa3/Joc795vvXZu7m2585&#10;1NGY5v693v6VQ51/Nt9+b94v1s6hjvbwuub2OYc6d39sP+brXnKoo3tuXhdnkEM97dnkZc/95umH&#10;5mpno/dq1o33zqFOjD9oTveTQ53ubCrnpjPRXO1s2nPT63Oo8+bcHnKo055N7dx0X69rPv3IoZ7m&#10;dTq39pAIqNSeTV72EFCeW3tIBFRqzyYvewgoz609JAIqtWeTlz0ElOfWHhIBldqzycseAso5Amr2&#10;SUA7BgWkNQmo2ScB7RgSUHN/8UXzsAmoREBac29Ar+u1v5GASgSkNfcE9Pa5a3ECKhGQ1qwH1KOF&#10;CKhEQFpzQED7xAIEFPN52UNAA8QCBBTzedlDQAPEAgQU83nZQ0ADxAIEFPN52UNAA8QCBBTzedlD&#10;QAPEAgQU83nZQ0ADxAIEFPN52UNAA8QCBBTzedlDQAPEAgQU83nZs5qAKuc2mF6sRQiotJaAau83&#10;WCxAQDGflz1rCEj3rzPKocO1GyOg0hoCqr3XQZoDjoMioNLSA9LZWJ8+LW2YgEpLD+hodMgEVCIg&#10;EwERkIWACMhCQARkISACshAQAVkIiIAsBERAFgIiIAsBLSeg2tzJEdCCAqo8w5PThva9eYwTkNad&#10;QUC1MzuLbmMENOuAavs4m+YQCWi2AV2cbpSACMiy5wAJSOsS0DixWQLSugQ0TmyWgLQuAY0TmyUg&#10;rUtA48RmCUjrEtA4sVkC0roENE5sloC0LgGNE5slIK1LQOPEZglI6xLQOLFZAtK6Ewqo9rrJig0T&#10;kNadSEC6j9o+J+tXB0FAF/kEKs5s0t48GALaEeNnDUhnU9vH5MUN3RLQ5QPSPeaX86KNE9DlA5q1&#10;Wv0EREAWAiIgCwERkIWACMhCQARkISACshAQAVkIiIAsBERAFgI6XUC11y0OAZ0ooNiP7ieHlkuH&#10;0xwSAR01oNprFkuHT0DHC0hrreLTp6UDIqDjBbQ6enC1AyQgArIQEAFZCIiALAREQBYCIiALARGQ&#10;hYAIyEJABGQhIAKyEBABWQjo/YB0rzmEXQT0bkDz+Td+LkEPQwdIQHsC4tPnfTpgAioDqq2FCh0U&#10;AZUB4QC1wyUgWAgIFgKChYBgISBYCAgWAoKFgGAhIFgICJa1BKT31L5yCMeyloBq3wfEETQP+/Wh&#10;LTYgxcOnzwk1PxOz4IBqa+GI8oEvNiCcQfWhEBAcBAQLAcFCQLAQECwEBAsBwUJAsBAQLAQEywwD&#10;KvaCC2ojmUtAsS4/MDY1eqCzCGjz/aveNy8xFfpTPYeAiGfC4qEVP+oxtYAwYbWHSUCwEBAsBAQL&#10;AcFCQLAQECwEBAsBwUJAsFwqIL22NoeZueAnUPFtFcxQG4keag51ThWQvqnLX18LEg/69pwB8U+0&#10;LIwe8jkD0rr5JZZC/y+y/LJzqoCwQLVPBQKChYBgISBYCAgWAoKFgGAhIFgICBYCgsUOKH5pjRzC&#10;2rgB8U1TNCGMCujm6YVPHyiSL2MC0uvyS6xZ/jVW/KiH/CogoLPv04SAYCEgWAgIFgKChYBgISBY&#10;CAgWAoKFgGAhIFgyoIe8BA7TBHT9+CkvgcPU/nNovHV19T+fvsc2tio+WQAAAABJRU5ErkJgglBL&#10;AwQKAAAAAAAAACEAnrT1eU0KAABNCgAAFAAAAGRycy9tZWRpYS9pbWFnZTQuc3ZnPHN2ZyB2aWV3&#10;Qm94PSIwIDAgMzYuMzYgMzkuNDIiIHhtbG5zPSJodHRwOi8vd3d3LnczLm9yZy8yMDAwL3N2ZyIg&#10;eG1sbnM6eGxpbms9Imh0dHA6Ly93d3cudzMub3JnLzE5OTkveGxpbmsiIGlkPSJMYXllcl8xIiBv&#10;dmVyZmxvdz0iaGlkZGVuIj48c3R5bGU+DQouTXNmdE9mY1RobV9BY2NlbnQyX0ZpbGxfdjIgew0K&#10;IGZpbGw6I0FCNURCQTsgDQp9DQo8L3N0eWxlPg0KPGRlZnM+PC9kZWZzPjxwYXRoIGQ9Ik0wIDAg&#10;MCAxLjc0IDAuNSAyLjc5IDAuNSAwIDAgMFoiIGNsYXNzPSJjbHMtMSBNc2Z0T2ZjVGhtX0FjY2Vu&#10;dDJfRmlsbF92MiIgZmlsbD0iI0FCNURCQSIvPjxwYXRoIGQ9Ik0xLjc5IDAgMS43OSA1LjQ4IDIu&#10;MjkgNi41MyAyLjI5IDAgMS43OSAwWiIgY2xhc3M9ImNscy0xIE1zZnRPZmNUaG1fQWNjZW50Ml9G&#10;aWxsX3YyIiBmaWxsPSIjQUI1REJBIi8+PHBhdGggZD0iTTMuNTggMCAzLjU4IDkuMjIgNC4wOCAx&#10;MC4yNyA0LjA4IDAgMy41OCAwWiIgY2xhc3M9ImNscy0xIE1zZnRPZmNUaG1fQWNjZW50Ml9GaWxs&#10;X3YyIiBmaWxsPSIjQUI1REJBIi8+PHBhdGggZD0iTTUuMzggMCA1LjM4IDEyLjk3IDUuODggMTQu&#10;MDEgNS44OCAwIDUuMzggMFoiIGNsYXNzPSJjbHMtMSBNc2Z0T2ZjVGhtX0FjY2VudDJfRmlsbF92&#10;MiIgZmlsbD0iI0FCNURCQSIvPjxwYXRoIGQ9Ik03LjE3IDAgNy4xNyAxNi43MSA3LjY3IDE3Ljc1&#10;IDcuNjcgMCA3LjE3IDBaIiBjbGFzcz0iY2xzLTEgTXNmdE9mY1RobV9BY2NlbnQyX0ZpbGxfdjIi&#10;IGZpbGw9IiNBQjVEQkEiLz48cGF0aCBkPSJNOC45NiAwIDguOTYgMjAuNDUgOS40NiAyMS40OSA5&#10;LjQ2IDAgOC45NiAwWiIgY2xhc3M9ImNscy0xIE1zZnRPZmNUaG1fQWNjZW50Ml9GaWxsX3YyIiBm&#10;aWxsPSIjQUI1REJBIi8+PHBhdGggZD0iTTEwLjc2IDAgMTAuNzYgMjQuMTkgMTEuMjYgMjUuMjMg&#10;MTEuMjYgMCAxMC43NiAwWiIgY2xhc3M9ImNscy0xIE1zZnRPZmNUaG1fQWNjZW50Ml9GaWxsX3Yy&#10;IiBmaWxsPSIjQUI1REJBIi8+PHBhdGggZD0iTTEyLjU1IDAgMTIuNTUgMjcuOTMgMTMuMDUgMjgu&#10;OTggMTMuMDUgMCAxMi41NSAwWiIgY2xhc3M9ImNscy0xIE1zZnRPZmNUaG1fQWNjZW50Ml9GaWxs&#10;X3YyIiBmaWxsPSIjQUI1REJBIi8+PHBhdGggZD0iTTE0LjM0IDAgMTQuMzQgMzEuNjcgMTQuODQg&#10;MzIuNzIgMTQuODQgMCAxNC4zNCAwWiIgY2xhc3M9ImNscy0xIE1zZnRPZmNUaG1fQWNjZW50Ml9G&#10;aWxsX3YyIiBmaWxsPSIjQUI1REJBIi8+PHBhdGggZD0iTTE2LjE0IDAgMTYuMTQgMzUuNDIgMTYu&#10;NjQgMzYuNDYgMTYuNjQgMCAxNi4xNCAwWiIgY2xhc3M9ImNscy0xIE1zZnRPZmNUaG1fQWNjZW50&#10;Ml9GaWxsX3YyIiBmaWxsPSIjQUI1REJBIi8+PHBhdGggZD0iTTE3LjkzIDAgMTcuOTMgMzkuMTYg&#10;MTguMDUgMzkuNDIgMTguNDMgMzguNjMgMTguNDMgMCAxNy45MyAwWiIgY2xhc3M9ImNscy0xIE1z&#10;ZnRPZmNUaG1fQWNjZW50Ml9GaWxsX3YyIiBmaWxsPSIjQUI1REJBIi8+PHBhdGggZD0iTTE5Ljcy&#10;IDAgMTkuNzIgMzUuOTMgMjAuMjIgMzQuODkgMjAuMjIgMCAxOS43MiAwWiIgY2xhc3M9ImNscy0x&#10;IE1zZnRPZmNUaG1fQWNjZW50Ml9GaWxsX3YyIiBmaWxsPSIjQUI1REJBIi8+PHBhdGggZD0iTTIx&#10;LjUxIDAgMjEuNTEgMzIuMTkgMjIuMDEgMzEuMTUgMjIuMDEgMCAyMS41MSAwWiIgY2xhc3M9ImNs&#10;cy0xIE1zZnRPZmNUaG1fQWNjZW50Ml9GaWxsX3YyIiBmaWxsPSIjQUI1REJBIi8+PHBhdGggZD0i&#10;TTIzLjMxIDAgMjMuMzEgMjguNDUgMjMuODEgMjcuNDEgMjMuODEgMCAyMy4zMSAwWiIgY2xhc3M9&#10;ImNscy0xIE1zZnRPZmNUaG1fQWNjZW50Ml9GaWxsX3YyIiBmaWxsPSIjQUI1REJBIi8+PHBhdGgg&#10;ZD0iTTI1LjEgMCAyNS4xIDI0LjcxIDI1LjYgMjMuNjYgMjUuNiAwIDI1LjEgMFoiIGNsYXNzPSJj&#10;bHMtMSBNc2Z0T2ZjVGhtX0FjY2VudDJfRmlsbF92MiIgZmlsbD0iI0FCNURCQSIvPjxwYXRoIGQ9&#10;Ik0yNi44OSAwIDI2Ljg5IDIwLjk3IDI3LjM5IDE5LjkyIDI3LjM5IDAgMjYuODkgMFoiIGNsYXNz&#10;PSJjbHMtMSBNc2Z0T2ZjVGhtX0FjY2VudDJfRmlsbF92MiIgZmlsbD0iI0FCNURCQSIvPjxwYXRo&#10;IGQ9Ik0yOC42OCAwIDI4LjY4IDE3LjIyIDI5LjE4IDE2LjE4IDI5LjE4IDAgMjguNjggMFoiIGNs&#10;YXNzPSJjbHMtMSBNc2Z0T2ZjVGhtX0FjY2VudDJfRmlsbF92MiIgZmlsbD0iI0FCNURCQSIvPjxw&#10;YXRoIGQ9Ik0zMC40OCAwIDMwLjQ4IDEzLjQ4IDMwLjk4IDEyLjQ0IDMwLjk4IDAgMzAuNDggMFoi&#10;IGNsYXNzPSJjbHMtMSBNc2Z0T2ZjVGhtX0FjY2VudDJfRmlsbF92MiIgZmlsbD0iI0FCNURCQSIv&#10;PjxwYXRoIGQ9Ik0zMi4yNyAwIDMyLjI3IDkuNzQgMzIuNzcgOC43IDMyLjc3IDAgMzIuMjcgMFoi&#10;IGNsYXNzPSJjbHMtMSBNc2Z0T2ZjVGhtX0FjY2VudDJfRmlsbF92MiIgZmlsbD0iI0FCNURCQSIv&#10;PjxwYXRoIGQ9Ik0zNC4wNiAwIDM0LjA2IDYgMzQuNTYgNC45NiAzNC41NiAwIDM0LjA2IDBaIiBj&#10;bGFzcz0iY2xzLTEgTXNmdE9mY1RobV9BY2NlbnQyX0ZpbGxfdjIiIGZpbGw9IiNBQjVEQkEiLz48&#10;cGF0aCBkPSJNMzUuODYgMCAzNS44NiAyLjI2IDM2LjM2IDEuMjEgMzYuMzYgMCAzNS44NiAwWiIg&#10;Y2xhc3M9ImNscy0xIE1zZnRPZmNUaG1fQWNjZW50Ml9GaWxsX3YyIiBmaWxsPSIjQUI1REJBIi8+&#10;PC9zdmc+UEsDBBQABgAIAAAAIQBDb4CH3wAAAAgBAAAPAAAAZHJzL2Rvd25yZXYueG1sTI9Ba8JA&#10;EIXvhf6HZQq96WarLTXNRkTanqRQLYi3MTsmwexsyK5J/PddT+3tDW9473vZcrSN6KnztWMNapqA&#10;IC6cqbnU8LP7mLyC8AHZYOOYNFzJwzK/v8swNW7gb+q3oRQxhH2KGqoQ2lRKX1Rk0U9dSxy9k+ss&#10;hnh2pTQdDjHcNvIpSV6kxZpjQ4UtrSsqztuL1fA54LCaqfd+cz6tr4fd89d+o0jrx4dx9QYi0Bj+&#10;nuGGH9Ehj0xHd2HjRaMhDgkaJmoO4uaqRbIAcYxqNk9A5pn8PyD/B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F8H&#10;RkWXBgAAahwAAA4AAAAAAAAAAAAAAAAAQwIAAGRycy9lMm9Eb2MueG1sUEsBAi0ACgAAAAAAAAAh&#10;ACFcYWFbCQAAWwkAABQAAAAAAAAAAAAAAAAABgkAAGRycy9tZWRpYS9pbWFnZTEucG5nUEsBAi0A&#10;CgAAAAAAAAAhAEhcesdcDwAAXA8AABQAAAAAAAAAAAAAAAAAkxIAAGRycy9tZWRpYS9pbWFnZTIu&#10;c3ZnUEsBAi0ACgAAAAAAAAAhAOnFzl2GBQAAhgUAABQAAAAAAAAAAAAAAAAAISIAAGRycy9tZWRp&#10;YS9pbWFnZTMucG5nUEsBAi0ACgAAAAAAAAAhAJ609XlNCgAATQoAABQAAAAAAAAAAAAAAAAA2ScA&#10;AGRycy9tZWRpYS9pbWFnZTQuc3ZnUEsBAi0AFAAGAAgAAAAhAENvgIffAAAACAEAAA8AAAAAAAAA&#10;AAAAAAAAWDIAAGRycy9kb3ducmV2LnhtbFBLAQItABQABgAIAAAAIQCu1JvL1wAAAK0CAAAZAAAA&#10;AAAAAAAAAAAAAGQzAABkcnMvX3JlbHMvZTJvRG9jLnhtbC5yZWxzUEsFBgAAAAAJAAkAQgIAAHI0&#10;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SnwQAAANwAAAAPAAAAZHJzL2Rvd25yZXYueG1sRE/Pa8Iw&#10;FL4L+x/CG3jTdAXnqKZlGwx31Ulht2fzbIPNS2mytP73y2Gw48f3e1/NtheRRm8cK3haZyCIG6cN&#10;twrOXx+rFxA+IGvsHZOCO3moyofFHgvtJj5SPIVWpBD2BSroQhgKKX3TkUW/dgNx4q5utBgSHFup&#10;R5xSuO1lnmXP0qLh1NDhQO8dNbfTj1VwiPb7YsJ2s22m2sS3eopH3Sq1fJxfdyACzeFf/Of+1Ary&#10;PK1NZ9IRkOUvAAAA//8DAFBLAQItABQABgAIAAAAIQDb4fbL7gAAAIUBAAATAAAAAAAAAAAAAAAA&#10;AAAAAABbQ29udGVudF9UeXBlc10ueG1sUEsBAi0AFAAGAAgAAAAhAFr0LFu/AAAAFQEAAAsAAAAA&#10;AAAAAAAAAAAAHwEAAF9yZWxzLy5yZWxzUEsBAi0AFAAGAAgAAAAhACvcNKfBAAAA3AAAAA8AAAAA&#10;AAAAAAAAAAAABwIAAGRycy9kb3ducmV2LnhtbFBLBQYAAAAAAwADALcAAAD1AgAAAAA=&#10;" path="m,l7559675,r,764010l,764010,,xe" fillcolor="#faf5fb [670]" stroked="f" strokeweight=".35264mm">
                <v:stroke joinstyle="miter"/>
                <v:path arrowok="t" o:connecttype="custom" o:connectlocs="0,0;7561581,0;7561581,855084;0,855084" o:connectangles="0,0,0,0"/>
              </v:shape>
              <v:group id="Group 229"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Shape 232"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lYwwAAANwAAAAPAAAAZHJzL2Rvd25yZXYueG1sRI/RisIw&#10;FETfhf2HcBd809SIunSNIoK44IvW/YBLc7ctNje1iVr3640g+DjMzBlmvuxsLa7U+sqxhtEwAUGc&#10;O1NxoeH3uBl8gfAB2WDtmDTcycNy8dGbY2rcjQ90zUIhIoR9ihrKEJpUSp+XZNEPXUMcvT/XWgxR&#10;toU0Ld4i3NZSJclUWqw4LpTY0Lqk/JRdrIbz9pIot6N/c5rsla/2s9Exn2nd/+xW3yACdeEdfrV/&#10;jAY1VvA8E4+AXDwAAAD//wMAUEsBAi0AFAAGAAgAAAAhANvh9svuAAAAhQEAABMAAAAAAAAAAAAA&#10;AAAAAAAAAFtDb250ZW50X1R5cGVzXS54bWxQSwECLQAUAAYACAAAACEAWvQsW78AAAAVAQAACwAA&#10;AAAAAAAAAAAAAAAfAQAAX3JlbHMvLnJlbHNQSwECLQAUAAYACAAAACEAFvBJWMMAAADc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33"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NFwgAAANwAAAAPAAAAZHJzL2Rvd25yZXYueG1sRI9Ba8JA&#10;FITvhf6H5RW8lPrSSEuJriIFwavRg95es88kmH0bsmsS/70rCD0OM/MNs1iNtlE9d752ouFzmoBi&#10;KZyppdRw2G8+fkD5QGKoccIabuxhtXx9WVBm3CA77vNQqggRn5GGKoQ2Q/RFxZb81LUs0Tu7zlKI&#10;sivRdDREuG0wTZJvtFRLXKio5d+Ki0t+tRqumGI/HP1Xbsz6ZNHj3/kdtZ68jes5qMBj+A8/21uj&#10;IZ3N4HEmHgFc3gEAAP//AwBQSwECLQAUAAYACAAAACEA2+H2y+4AAACFAQAAEwAAAAAAAAAAAAAA&#10;AAAAAAAAW0NvbnRlbnRfVHlwZXNdLnhtbFBLAQItABQABgAIAAAAIQBa9CxbvwAAABUBAAALAAAA&#10;AAAAAAAAAAAAAB8BAABfcmVscy8ucmVsc1BLAQItABQABgAIAAAAIQBx1DNF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4"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1vwAAANwAAAAPAAAAZHJzL2Rvd25yZXYueG1sRI/NCsIw&#10;EITvgu8QVvAimvqDSjWKCoJXteJ1ada22GxKE7W+vREEj8PMfMMs140pxZNqV1hWMBxEIIhTqwvO&#10;FCTnfX8OwnlkjaVlUvAmB+tVu7XEWNsXH+l58pkIEHYxKsi9r2IpXZqTQTewFXHwbrY26IOsM6lr&#10;fAW4KeUoiqbSYMFhIceKdjml99PDKKjc5V3ctxfN11kvo/KQJrZxSnU7zWYBwlPj/+Ff+6AVjMYT&#10;+J4JR0CuPgAAAP//AwBQSwECLQAUAAYACAAAACEA2+H2y+4AAACFAQAAEwAAAAAAAAAAAAAAAAAA&#10;AAAAW0NvbnRlbnRfVHlwZXNdLnhtbFBLAQItABQABgAIAAAAIQBa9CxbvwAAABUBAAALAAAAAAAA&#10;AAAAAAAAAB8BAABfcmVscy8ucmVsc1BLAQItABQABgAIAAAAIQD+2CC1vwAAANwAAAAPAAAAAAAA&#10;AAAAAAAAAAcCAABkcnMvZG93bnJldi54bWxQSwUGAAAAAAMAAwC3AAAA8wIAAAAA&#10;">
                  <v:imagedata r:id="rId5" o:title=""/>
                </v:shape>
                <v:shape id="Graphic 235"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FxQAAANwAAAAPAAAAZHJzL2Rvd25yZXYueG1sRI9Lb8Iw&#10;EITvlfgP1lbiVpyCGiBgEK0ECjdeF26rePNo43VkG0j/fV2pUo+jmflGs1z3phV3cr6xrOB1lIAg&#10;LqxuuFJwOW9fZiB8QNbYWiYF3+RhvRo8LTHT9sFHup9CJSKEfYYK6hC6TEpf1GTQj2xHHL3SOoMh&#10;SldJ7fAR4aaV4yRJpcGG40KNHX3UVHydbkZBmZr9gfMqT95Tv/+8zqflbuuUGj73mwWIQH34D/+1&#10;c61gPHmD3zPxCMjVDwAAAP//AwBQSwECLQAUAAYACAAAACEA2+H2y+4AAACFAQAAEwAAAAAAAAAA&#10;AAAAAAAAAAAAW0NvbnRlbnRfVHlwZXNdLnhtbFBLAQItABQABgAIAAAAIQBa9CxbvwAAABUBAAAL&#10;AAAAAAAAAAAAAAAAAB8BAABfcmVscy8ucmVsc1BLAQItABQABgAIAAAAIQB/ElDFxQAAANwAAAAP&#10;AAAAAAAAAAAAAAAAAAcCAABkcnMvZG93bnJldi54bWxQSwUGAAAAAAMAAwC3AAAA+QIAAAAA&#10;">
                  <v:imagedata r:id="rId6" o:title=""/>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0655" w14:textId="4E8E9460" w:rsidR="00854FD6" w:rsidRDefault="00854FD6" w:rsidP="00854FD6">
    <w:pPr>
      <w:pStyle w:val="Header"/>
    </w:pPr>
  </w:p>
  <w:p w14:paraId="13BB6E40" w14:textId="4EDF0CB4" w:rsidR="008606E4" w:rsidRDefault="00114BD4" w:rsidP="00A230FA">
    <w:pPr>
      <w:pStyle w:val="Header"/>
    </w:pPr>
    <w:r>
      <w:rPr>
        <w:noProof/>
      </w:rPr>
      <mc:AlternateContent>
        <mc:Choice Requires="wpg">
          <w:drawing>
            <wp:anchor distT="0" distB="0" distL="114300" distR="114300" simplePos="0" relativeHeight="251673600" behindDoc="1" locked="0" layoutInCell="1" allowOverlap="1" wp14:anchorId="680F3971" wp14:editId="405A579C">
              <wp:simplePos x="0" y="0"/>
              <wp:positionH relativeFrom="column">
                <wp:posOffset>552363</wp:posOffset>
              </wp:positionH>
              <wp:positionV relativeFrom="paragraph">
                <wp:posOffset>329565</wp:posOffset>
              </wp:positionV>
              <wp:extent cx="6092473" cy="9607662"/>
              <wp:effectExtent l="38100" t="0" r="3810" b="0"/>
              <wp:wrapNone/>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44" name="Freeform: Shape 244"/>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0" y="2407023"/>
                          <a:ext cx="2228515" cy="2406625"/>
                          <a:chOff x="0" y="0"/>
                          <a:chExt cx="2228515" cy="2406625"/>
                        </a:xfrm>
                        <a:solidFill>
                          <a:schemeClr val="accent1"/>
                        </a:solidFill>
                      </wpg:grpSpPr>
                      <wps:wsp>
                        <wps:cNvPr id="272" name="Freeform: Shape 27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Freeform: Shape 51"/>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3402106" y="4807323"/>
                          <a:ext cx="2228515" cy="2406625"/>
                          <a:chOff x="0" y="0"/>
                          <a:chExt cx="2228515" cy="2406625"/>
                        </a:xfrm>
                        <a:solidFill>
                          <a:schemeClr val="accent1"/>
                        </a:solidFill>
                      </wpg:grpSpPr>
                      <wps:wsp>
                        <wps:cNvPr id="54" name="Freeform: Shape 54"/>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00"/>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E0E24F0" id="Group 243" o:spid="_x0000_s1026" alt="&quot;&quot;" style="position:absolute;margin-left:43.5pt;margin-top:25.95pt;width:479.7pt;height:756.5pt;z-index:-251642880"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4CIAAI5fAQAOAAAAZHJzL2Uyb0RvYy54bWzsnd+P4zaSx98PuP/B8OMCl5Zk/WxsZxEk&#10;m2CBIBsgOST76HG7pxvotr22Z3qyf/19q8gyS26JpGa9e8aGL9F0zKqiyCp+WBRF/fFPn16eZx/X&#10;+8PTdnM3z7/I5rP1ZrW9f9q8v5v/78/f/k87nx2Oy8398nm7Wd/Nf1sf5n/68r//64+vu9t1sX3c&#10;Pt+v9zMo2RxuX3d388fjcXd7c3NYPa5flocvtrv1Bj8+bPcvyyP+3L+/ud8vX6H95fmmyLL65nW7&#10;v9/tt6v14YD/+435cf4l6394WK+Of314OKyPs+e7Oep25P/u+b/v6L83X/5xeft+v9w9Pq1sNZaf&#10;UYuX5dMGRk+qvlkel7MP+6c3ql6eVvvtYftw/GK1fbnZPjw8rdZ8D7ibPDu7m+/22w87vpf3t6/v&#10;d6dmQtOetdNnq1398PG7/e6n3Y97tMTr7j3agv+ie/n0sH+hK2o5+8RN9tupydafjrMV/meddUXZ&#10;LOazFX7r6qyp68I06uoRLf9GbvX454DkjRi+6VXndQcHObg2OPxzbfDT43K35qY93KINftzPnu7v&#10;5kVZzmeb5Qsc9dv9ek1udzvjojP6iZuIy58a7HB7QNsNtNZiUZfwz/kM7VKUWZMVC9Mu0nJF0VRZ&#10;m5uWQwk0XEUlTve/vF19OBy/W2+5E5Yfvz8cjbfe41/sa/e2rqvtZnN4Oq5/hYc/vDzDgf9wM8vz&#10;RVNn5ex1Jpas9JnQ37RQNnvEnZ7qAn9+YwM1PtnIwtp1caO5DtsolA1b+7ClnhDfQ4QleO7pbqJb&#10;TAudtRh67730z/JRumz1aWP7DP+aLWlszHi42G0PFCK6A+Ev8ie6xjgEpKjDA8Joai2cTxJG62lh&#10;DmLcTJxlNIgWZk8XYXO1t7/HgExD8TMPxcf5DEPxfj7DUPzORMdueaRWo7ulf85eET0SKI8cSRwn&#10;9PvL9uP65y2XPFIj2u7jqkjDuTLPG10WPo8KW3+07SQl5LpjrSfrkeWHaiEaV8/bw9r0KN0cx/rp&#10;hqmdVLwfts9P998+PT/TDTIO118/72cfl2i95Wq13hyli3olnzfUZLi91RI0fXheHtnPNltSxQPA&#10;bn84frM8PBpVLGya/gUjyN7U7hnuhuFXBjf617vt/W8YJfdbg9DDbvXtEzR9vzwcf1zuMeTAJuYB&#10;+PVxu//HfPYKpt7ND3//sNyv57Pnv2wwYHd5WaLYkf8oq6bAH3v9yzv9y+bDy9db3C3cGtb4n1T+&#10;+Cz/fNhvX34B/r8iq/hpuVnBNsLnCJcyf3x9xN/4CSP5av3VV6Zlti9o9O83P+1WpJwdCHfy86df&#10;lvvdjJrnbn7EKP3DViCxvJXRF51EBUxZktxsv/pw3D480dDMLWbayf4BYBFV/y3kqsbJxVyhaoB0&#10;YXIVcPlmgUaDxzdFXi7KxjiIIhc6DwWI+cWiWyzyi5IrgirUpQI6HoFRi7aS6ZyXWQjQvFoswjzp&#10;kYv150QuvyUNoRxtV5Vd2JIWMvojLGkIRTNSC0W0G2ZDqpmDM4l+8V5bIXASF3tcDOIcrYn4Os0F&#10;ePppYMrgAJkvBVXr0jSeOWAa/JlhIIRTG1MGqiZUvFC1kRFdXkNY6iJQletQfeW3BN7fJ3htOmsy&#10;W53mIS8zaR6n2Eh5avJXSjgnJ8SYRA4ld0VbgYoGkTqhCqXFoO+gJCJf8nGes3mnhjL1VyX/P7Lp&#10;BmAbyabxEzd47JwkaxZtx+OFhfxpMlJXdd6Yhq7KJsdahJnDSmvpSbVM4xSM3ia4em5RVHmTVURw&#10;YwaqB3LiNym0q8hA6V/1xILnOl7dunS1KBZNhVmI34CeTzRZy3Mdrw0tYFQHbeiZBDdOG2wlLUKT&#10;D/9N6MlEZDdokb6BNP04rv8mkRGX0/9rpx82apHSWy8YmnyYbndRj1508xNhu+a+iQ/v1IPigTU6&#10;74NaUSZXm/tTLbGAjWmYf9YxUFHRNGXqgbXXU5qeEvnfaSLfgj8j0MRPk6BZdcCFc9/lrUBzAUwi&#10;W+bZCXy8amUt6SLQXGSLctEAB9ZMJDRdRWKg6detoVmXedOW4I3fgGZg3VXh+vcEuBGDNjQBzQ0E&#10;W0mLENP8N6EJGNkNWqRvIEHzuqApUQtoWi8Ygqbpdhf1QWia+PBCk+KBNTrvG4Wm1DIIzYGKJmje&#10;ze26eFr9vh96JC5L8nY1W57b0nPUMWhyMhy9+r3I86w1c9+zTHNRdxlAydBs6qrrJMu+DDSrKisp&#10;U7NmIqHpKhIFTXMLI7o1NJsqz7sFeOM30GOghabXhhZg1UXQhiYgN064lbQIMc1/E5qAi7hu0CJ9&#10;AwmaVwZNG7WApvWCQWhyt0+ApomPOGgaP/eWNX7dsy8slKtJSY1/DhZMmeYsQXMSNDEYj0Fz2vLs&#10;oi66BbTJnM9lmmWBPU4YLelRcdtUZXZRaGJhvcF66OvMmhkBm17RpdHaVSQGmn7dGpptndUZAc1v&#10;QDPQZpp+G1rAqA7a0ARk5eFW0iLhVtIEjOwGLdI3kKB5XdC07jgDNK0rD0HTdLuL+mCmaeLDC8JT&#10;pulCaDTTNH7dsy+wlKuB5kBFpUCCZoLmfhI0MUyOQZMfsERnmmVeNs3gM82yKeDbBppdW7a5PH24&#10;SKZZVtgpRcub1kwkNF1FoqBpbmFEt4Zm12RZTtD0G9AMFGh6bWgBozpoQxOQGycPtpIWIab5b0IT&#10;MLIbtEjfQILmlUHTRi2gab1gEJocfT1o+Z9pmviIg6bzvnFoUi0RfzJVHy/4tqIJmml51v/G0tjy&#10;LEaxMWhOe62mrLH/37xVc7Y8WxVlXmHQp0wzzzo4eWeD5iLUrPIMO73AA2tnhGznqaaqSQw2/co1&#10;NvOsoXsEcgImNActOP1WtADrLog7ASuag6yeFmn9drRIhAUNwsjO0CJnFhI8rwue1lUo4xRPG6Kn&#10;6fgevfz0tGESh0/r7d7Cxrl7NRAsytUknQNVlQIp6UxJ57Skc/zlnnbayz1V3pYNxkWZ/rmV2gpv&#10;i+YgDPOzyGhJ96L8rPOuKQgKxk4sP11NovjpVd7jZ9627YKp4DehcWg30/pvQQvkRjfx029Fw5DV&#10;h5tKi0Tch4YhtjXGdIYWObOQ+Hll/LTRS/y0njbIT+54F/7oxgA/TZh4kXjaUiuWEdujaaVx7l4N&#10;BItytfx8W1UpkPiZ+DmNn6f3fd4c69DaN38iX0TBPs86U1vCHT9rvDVbYkxmfi5y7G5rL8nPGsc5&#10;8GkO1k4sP11NYvjpV97jZ9G1lBCDbH4TGoeWn34rWsDo7sJWNAxZPR184bejRSLuQ8MwsjO0yJmF&#10;xM/r4qd1Fc4/rT8P8dN0fI9eAX6aMInkJ1uWabfQTq4Gi8a5ezWQAnK1BXnAGCyY+Jn4OY2f2P09&#10;tn7Lh0NEP/TE+uhA6tnWLZgqK7eZRMBFFm7LsuYzGCo2EotNLCCbasRQ06taQ7Mr61yWbMfVawDK&#10;iq2v8ro8LWFlzEvvHWj2Ue3pkArvXWgBRplXvQZfVPtrgb76BMrrAqXxElmnhRMPYZL73EV6MMvk&#10;uPAy8rQvyDi4tyw7dM+6kFGuhpBvaym/J0AmQE4BJO19HeYjfgFyovHIy7POdV12ibdS+LE9MbLA&#10;mgxeSzarLBdhZFcvWtrrYq1EQtLVIwaSft2akkVWZvzM0W9AY89i0m9DC7Bq4qTfhsaeUR5sJS1C&#10;KPMb0OCL6wUt0defUHldqLTeSKy0TjDESu51F/JBVpro8ALwBEvj5d6yUkmZlcO+UFCuhpZv6ym/&#10;J1omWk6iJYbIEVpO20Gb4yllh/FQfFfhsi4y2iZEuFwULc5UuiQuc2zJzWmBMTdmInnpKhLFS69u&#10;zUusGpUFscxvQONPeOm1oQWM6qANDT9uHNpn7G8lLUI889+Epl9kN2iRvoEEzCsDpo1aANN6wRAw&#10;Tbe7qA8S08SHl4InYjrvGwWh8euefSGhXA0xByoqBRIyEzInIROD2Agyp+2fzauqKjGwv0VmgecF&#10;FV5HIWTi+J4aJwddMMPMO+xNrwEDayYSma4iMcj069bILDEjWBAy/QY0AS0y/Ta0gFEdtKH5Z5QH&#10;W0mLENH8N6H5F9kNWqRvICHzupBp3ZFyTOsFg8jk6HNRH0SmiY84ZDrvG0Wm1FJGndGCxj97FU3I&#10;TC+dfM5LJyXG+2Fk4hfgJ3pNFsfLlhU24IrzuiyzbrpFaZGZI2RKc1I+vPsiq7J1XZULYqa1E8lM&#10;VZMYaPqVa2jmOOmYnqViy4+72SETmoIWm34rWsDobsNWNAVJfUVv5/jtaBHiWuA+NAYjO0OLnFmA&#10;W6Qj8K/oDFrrKvwo0/rzEDtNx7vwRzcGtvyYMImDp/V2f2F27l4NBIpytVt+eMAYLJgSzpRwTkk4&#10;KUccoee0J5p13WErrPNJR89mgZP2wBfe9lMt8rbirbiXoieOgscjUyDB2omlp6vJENo0D4k3fuW6&#10;dM5HyTM9/SY0DC09/Va0AD5tg4ZsiG1+KxqFrD7cVFqE2ea3oFEY2Rla5MxCoud1JZ7WJZme1g+G&#10;6Gk63oV/mJ4mTPxAlONorbd7Cxvn7tVAqClXQ8+BqkqBRM9Ez0n0xFA5Qs9pTzjx/bWcDmp/m3s2&#10;bXE6WC/HEc5FfVl61i1eZyHAGTux9HQ1iaKnV3mPnjj1oaw5K/Sb0DAUenqtaAHbkERPvxWNQtNC&#10;wabSIsw2vwWNwiauM7TImYVEzyujp41eel3T+sEgPbnjXfiH6WnCxAtEigpWKZYR21AsrJOrhaKt&#10;qAxA4wXfVlU0JXomek6iJwayEXpOe9jZNAUefLjwcblnuygrfPPN5J74DnfdXPQLpm2RmSP2rJ1Y&#10;erqaxNDTr7xHT3zuBTwnrvlNaBhaevqtaAGjmz66HbCiUWjUg55+O1qE2ea/D43CyM7QImcWEj2v&#10;i57WVTj3tH4wRE/T8S78w/Q0YRJJT7Ysk25hnVwNPaWiQXoOVFU0JXomek6i5+hZQeW0o4Lwen8L&#10;kYHcs21rd9QeDnXOzCFEiK+LPPdsmwJfwSYkGDux9HQ1iaKnV3mPnmiGomWu+U1oGAo9vVa0QG50&#10;Ez39VjQKTQsFm0qLMNv8FjQKIztDi5xZSPS8Mnra6KXc0/rBID05Cl34h+lpwiSSns4DoVhYJ1dL&#10;T1vRMD3fVlU0JXomek6i5+hJQfKJ8MiDgtoGTz4xvovzutyzWzQtfWGMn3t2eIEFr7CYJZiL0BPf&#10;/OwaepnT2omlp6tJDD39ynv07JBpd0xPvwkNQ0tPvxUtkBvdRE+/FY1Coz7YVFqE2ea3oFEY2Rla&#10;5MxCoud10dO6JOee1g+G6Gk63oV/mJ4mTCLp6TxwlJ5SURmAxgvygNGraqJn2nP7WXtuR88JMjtj&#10;o/fcdkWLb4U5n1T0bLvTMXtF1rQdNhddkp5N1WR0dnln7ETSU9Ukip5e5ZqeRYbHQ1kFrgVMaBja&#10;Y/b8t6AFjG76RnbAikahUR9sKi1CbAtY0Cjs4jpDi5xZSPS8Mnra6EXuKX4wSE/ueBf+QXraMPHS&#10;83RMrfV2b2EbO6fp+zg931Y10TPR87PoiUeVI889+fiCeHq2OHzWPOM/+0gKThHCV8ewqEvJJ50O&#10;ssh5Oy/c+yLJJz6SAjrTOytiKRagri4xAA1o7xE0x1MdnNZgTuKx9ztkQwPREjRgRkuYxqQvZqtm&#10;HTKjeWj1h5tLCzHi/M2liRjdJVrozEbC6HVhVPySslBxtyGO2r6fAlITLV42OpCyF8r8W7AnV7OI&#10;e6pqMA8dqqzoSsu4aRl30jIu3socQSkfLhuNUhwxhIeRg09BcRLl4vQCS1F02G10YZY2XY4tr8RS&#10;YymWpa4uQwDScKRXWALadXGcmlB0BbPUb0OT8cRS701oCdOYzFK/GY1FexvhG9JCzDm/DY1F+ppU&#10;VJdooTMbiaXXxlIbxsRS6wrDLOW+n8JSEy2RLGXTIZbaqkaw9G1lE0tTWvo5aSm9fzLMUvwCJE1g&#10;aVtmLQZ6cV+3qovj9MpygZGZ81J8r70uLrohN8f3WOqSD6OzlmJZ6uoSxVK/9h5LF13eVQw5vw1N&#10;xpo+WQZk+81oCXyjhb6YSnmp34zGotHPJxz6LWkh5pzfhsZidJdooTMbiaVXxlLrLZyXWlcYZKkJ&#10;RzcSoCP9hyrgGSVFi5elFBys0vq8t7B18V4VhJBytRnsQGWlRMpL/2Py0pvX3fvb9/vdTzuDtNfD&#10;bvbp5XlzuAXg7uaPx+Pu9ubmsHpcvywPX7w8rfbbw/bh+MVq+3Kz/SyuggYjXJ12QFFZZRmOs3Ou&#10;rLhadfgONqJCuFp2F/24CsPI2oggKgUmamBhZOsS4mpu9BP2/JZ6dI21pFkZbUkLdXVe15wSG5M0&#10;6gzdkkYl2IfvNTJf/bekhYR9nmbrozLYYLr4YNckvl4ZX623CF/JFYb46jBoncXDVwkqmpVbJ/CD&#10;U+qA8sb3/cWNq7vBCVUResrVcHao0lJiCmcP2+en+2+fnp+pZXi8Xn/9vJ99XD7fzZer1Xpz5OEV&#10;9eiVfN7MXu/mNFQud3fzh+flkZt2syVVHNO7/eH4zfLwaFSxsAn2l6fjeo8ifGu4UEZ02P24NyB5&#10;t73/7cf9bL89svrDbvXtEzR9vzwcf1zul/w/P673+PVxu//HfPa6pwoc/v5huV/PZ89/2YA+HSZW&#10;qNqR/yirpsAfe/3LO/3L5sPL11vcLQZEWON/Uvnjs/zzYb99+WW7v/+KrOKn5WYF23fz1XEvf3x9&#10;xN/46WG7X62/+or/DdTtlsfvNz/tVqSc2pfa5OdPvyz3uxn9825+XH86/rD96XG5W3OB5cfvD0fT&#10;Nq4sSW62X304bh+e+EdqMdNOtvlA338XhjGYj2B42klHWIDMS0xRKZDKNmsWBU9XHYyLoqmw90DD&#10;+LLH0p+oIpaGUfQ36taXZ3jeH244K8QgcUIy12iIX5quhP2AjX5xk32WeBl3uEq/aqIazbTwHbCh&#10;hRwdR21omDoCB2xooXNGSu+lY/0kMVt92vAwiCvCnsJ8v14dZxiLnjF6YXTAMHQ3xyDz7m7+zvgC&#10;RpRHW5b+SYOwdInDXMtjiUsRT5kZTaM44vrociWFIJoxvGw1yiHrfhHEsk40YF+sJm79PrmlMsn3&#10;t6sfPoL/T/d3c6KDYc13++2H3cwsaFDiiTLfUe75I80jTpkoTSHczhxkmbNP+DQCvo6VZ3hPZZwz&#10;2D2byyYfuwzD4+7q8a9GBwgAabs5aPX450/H2QqqCzzgG5JErMj2IJ72TJ1dudxaJkX/+uwaw8II&#10;1qcdIgFiL1o8TnbthRmOaS18Czy3OK9KHB8mo6C01erD4fjdevtCnSjzIEKrHe7e39sarrabzQFz&#10;yF97YOaD0AiCxswwOHssJwa6ikRB3KtbM7zCdKahfch+AxrJ9sGvv/5awKgO2ughmW6ApwreO9Ei&#10;4Vbq5cVx3aBF+gYQO6ceXxLpTCSeAAlUYv79nqKR/GS3PVCQa5eA58mf6G6IQyWDli8+YXSgFpa8&#10;J04YPaOFZW9DnDAaXAtLZMQJG6Kf7llej2Nhc+//zOTCOArNLawrU7O7CYOZKBTc7S7qYdYVEbrr&#10;OYWJD9s7UkCupuBp35QLIaiVMnK19tmve/algFxHKyoFpkw+sPB5ynNTJvw7zYQxZRhB5rSTIwos&#10;EeHzMQPIXND2QlCOlqPh4RWeBpvx7CLIxEHD+BgFkGnNRCLTVSQGmX7dGpl4c6dpaWXYb0AT0L73&#10;6rfRE+BGDNrQ/DPKg62kRYho/pvQ/IvsBi3SN4BRMSHzipBp3ZGQab1gCJmm213UB5Fp4sOLTIoH&#10;1ui8bxSZUksMLTJLEhLK1SBzoKJSICHzP+Z5Li0p/+uzzNHjIsxh9lQJpPanvF6eC7h8WpJ6fIeX&#10;DoUQ53WrxvjEKW+aImQ2ddV1Mou/DDKrKivpfVdrJhKZriJRyDS3MKJbI7Op8ryjPVF+Az0CYogI&#10;1l8LsOoiaEPzjxsn3EpahIjmvwnNv0VcN2iRvoGEzOt6UitRC2RaLxhEJne7i/ogMk18xCHT+Lm3&#10;rPHrnn0hoVwtMt9WVAokZCZkTnk1hyZ0I1kmf3E0Hpl10S0wsL9FZlngvRyMlYTMtsFBEhdFJhbU&#10;G6yEvs6smRGs6bVcGqtdRWKQ6detkYmD1OqMcOY3oAlos0y/DS1gVAdtaP6x8nAraZFwK2n+RXaD&#10;FukbSMi8LmRad6Qs07ryEDJNt7uoDyLTxIcXg6cs04UQ1Arg5GpIaPy6Z18KyNUW5GFisGBCZkLm&#10;JGSOHgxR8RaUaGTS4Q/N4LPMsing2QaZ+FJ3m8sSykWyzLJqzXn41kwkMl1FopBpbmFEt0Zm12RZ&#10;Tsj0G9AEFGR6bWgBozpoQ/OPG4dObvS3khYhovlvQvMvshu0SN9AQuaVIdNGLZBpvWAQmRx9PRL5&#10;n2Wa+IhDpvO+cWRSLRF/MlEfL/i2osLUhMyEzEnIHD0Aopp2AERZ0+uTznndwmxVlO4U/KyDi1/0&#10;1ZoK56GUtNHW2hnh2nmaiV3IUpMYaPqVa2jS2QfQDOAETGgKWmz6rWgB1l0QdQJWNAVZPS3P+u1o&#10;kQgLGoORnaFFziwkdF4XOq2rULYpnjbETtPxLvzRjX522jCJg6f1dm9h49y9GggU5WoSzoGqSoFE&#10;z0TPKfSsQZXhNVr8AhBFJ5xV3pYNRkWZ+il6Yud+Dr7QGm1eZAss5towuEjGiV2hXUOftK6MnVh6&#10;uppE0dOrvEdPHJVGZzeAa34TGoZ2A63/FrSA1R22olHI6sNNpUUi7kOjMLIztMiZhUTPK6OnjV6i&#10;p/XnQXpyFLrwD9PThIkXiKdttGIZsQ3Fwjq5WihSRREiMgCNF3xbVdGU6JnoOYmeGPhH6MkPIuPp&#10;iV1v2eD3S+sCX+fGiMz0XOCAkoW8i3gRetZ4k5SPJ7B2YunpahJDT7/yHj2LDl+jYyb4TWgYWnr6&#10;rWiBnHXTq7DmX1EvkrJ6OsnBb+cNPf33oVEY2Rla5KylEj2vi57WVTj3tH4wRE/T8T12BXJPEyaR&#10;9DTe7i1snLtXA4GiXA1mB6oqBRI9Ez0n0RND8gg9p53HgBxWZn0q7WzrFkRlbmKlNLto0lmWON2I&#10;ck42EgvNUzVimOlVrZHZlXUui7XmLofUa/zJWq2v8ro8LV5lTEvvHWjyUe2DDaQFGGRe9Rp7Ue2v&#10;BfrqEyavC5PG12WFFk48BEnucxfp6EM/Izku/NCTd06Mg3vLskP3rAv25Go3A9HIMFgu4THhcRIe&#10;MTyO4JHfGItPLmlp1rmkQyTeROHH9cRI+rhEftHUsqsXLe1xsVYiIenqMUQxzT1zPC7fwYhuXbrI&#10;cJgGUcBvQGPPYtJffy3AqvmApVNjDt2Exp5RHmwlLRK+CQ2+uF7QEn39CZXXhUqJWazHWk8eYiX3&#10;ugv5ICtNdHgBSNHAGo2Xe8tKJWVWDvtCSbkaWr6tp/yeaJloOYWWBSV7w7ikn0CIaF7iSzD4VreL&#10;HgXMushoixABc4FvPhQXBWaOzbj4fBmIacyMUO18H5CryBBsNAOZmF7dujRWjcqCaOY3oAEoxPTa&#10;0AJGddCGxh83Dp/v77WiRYho/pvQ/IvsBi3SN5CQeWXINI5C6aX1giFkmm53UR9kpokPLwdPzHTe&#10;N4pC49c9+8JCuRpmDlRUCiRoJmhOg+bo5tkCJ+FNgmZVVSWGdpnyOWgWeMSIrbgMTRzaU+O8IChG&#10;HFzkAWbeYV86fYbUmomEpqtIDDT9ujU0S8wJFgRNvwHNQAtNvw0tYFQHbWgCGuXBVtIixDT/TWgC&#10;RnaDFukbSNC8LmhadyRoWi8YhCZHn4v6IDRNfMRB03nfKDSlljLqjBY0/tmraIJm+kra53zNpaCv&#10;rIxkmvhpCjRxqGxZDX5ytG66BT1H4MeXCJoSK7gXpGZdV+bj3dZOJDVzV5MYbPqVa2zmZdbQE1Vs&#10;yPGb0By04PRb0QJGdxu2ojlI6ivKnP12tAiRLXAfGoSRnaFFziwkeF4XPK2r8ANN689D9DQd34OS&#10;/5GmDZM4fFpv9xdm5+7VQLAoV7vthweMwYIp6UxJ56SkE+fajfJz2rbZusZncjHyyvTPJZ3NAqfs&#10;wQ7zs1rkrTmlDwPlRbJOHAGPB4+AgrUTy09Xkxh++pX3+MmHWDM//SY0Di0//Va0QM66G6Kb34qG&#10;IasPN5UWYbr5LWgYRnaGFjmzkPh5Xfy0Lsn8tH4wxE/T8S780Y0Bfpow8SNRnnNab/cWNs7dq4Fw&#10;U66GnwNVlQKJn4mf0/iJMXks/5y2cbYp8pwOaR/gZ1ucDtbLcXxzUdc2EC7Dz7rFay3ET2Mnlp+u&#10;JlH89Crv8RMnP5Q1Z4Z+ExqHwk+vFS1gG5L46beiYWhaKNhUWoTp5regYdjEdYYWObOQ+Hll/LTR&#10;Sy9tWj8Y5Cd3vAv/MD9NmHiRSFHBKsWyWbYS2snVYtFWVAYg1EAKyNUWfFtVKZD4mfg5jZ8YK8f4&#10;OW1nbdMUeADiAsjln+2irEq7UyhvKpwQyR9WgX9fhJ9tkZlj9qydWH66msTw06+8x0987AVEJ7L5&#10;TWgcWn76rWgBo7sOW9EwNOrBT78dLcJ089+HhmFkZ2iRMwuJn9fFT+sqnH9aPxjip+l4F/5hfpow&#10;ieQnW5Zpt9BOrgaLUtEgPweqKpoSPxM/p/ETI9kYP6d9cROv+rfl4PPPtq3dkXs42DlrL8vPpiiw&#10;TQdQMHZi+elqEsVPr/IeP9EMRctk85vQOBR+eq1ogdzoJn76rWgYmhYKNpUWYbr5LWgYtnGdoUXO&#10;LCR+Xhk/bfRS/mn9YJCf3PFT+GnCJJKfzgPhH0I7uVp+2oqG+fm2qqIp8TPxcxo/R7++WXTTPr/Z&#10;NngCihFe3Nfln92iaekrY/z8s8PrLHihxSzEXCT/xFc/u4Ze7rR2YvnpahLDT7/yHj87ZNsd89Nv&#10;QuPQ8tNvRQvkRjfx029Fw9CoDzaVFmG6+S1oGEZ2hhY5s5D4eV38tC7J+af1gyF+mo534R/OP02Y&#10;RPLTeeAoP6WiMgCNF+QBo1fVxM+0//bz9t+Ofoqz6Hi5JPpNz65o8c0w55WKn213OnavyJq2wzaj&#10;S/KzqZqMzjHvjJ1IfqqaRPHTq1zzs8jwmCirQLaACY1De+ye/xa0gNFN38kOWNEwNOqDTaVFiG4B&#10;CxqGXVxnaJEzC4mfV8ZPG73IP8UPBvnJHe/CP8hPGyZefp4OrbXe7i1sY+c0gR/n59uqJn4mfn4e&#10;P8df+uymvfTZtTiOdvhooYy+QIZElxJQOjFkgbOZLwhQfDIFfKb3PnGGEVuKRairSwxCA9p7DM3x&#10;dAfnN5gjhuz9DtnQSLQMDZjREqYx6cvZqlmHzGgiWv3h5tJCDDl/c2kmRneJFjqzkUB6XSAVv6RM&#10;VNxtiKS276eg1ESLl44OpeyFMgMX8MnVLOWeqhrMRYcqK7rSYm5azJ2ymLvIRl8GpZ8ApehkFMcO&#10;4aHk4NNQnE+5OL3OUhQd9h1dmKZNl2P7K9HUWIqlqavLEII0HvnwIb92XRznKBRdwTT129BsPNHU&#10;exNawjQm09RvRoPRNlK4ubQQk85vQ4ORvi4V1SVa6MxGoum10dSGMdHUusIwTbnvp9DUREskTdl0&#10;iKa2qhE0fVvZRNOUmn5OarrIgIDhrUX00zSatmXWYqgXB3ZruzhkrywXGJs5N8Vn5uviopuLcnyl&#10;pS75iDprKZamri5RNPVr79F00eVdxZjz29BsrOkzZnR+r2mukZvQEvhyC31DlXJTvxkNRqOfzz30&#10;W9JCTDq/DQ3G6C7RQmc2Ek2vjKbWWzg3ta4wSFMTjm4kQEf6XxPFs0qKFi9NKThYpfV5b2Hr4r0q&#10;CCPlarPYgcpKiZSb/sfkpjevu/e37/e7n3Y4CY/+/fqe/oVRf7/cPT6tvlkel/pvLnW7LraP2+f7&#10;9f7L/wMAAP//AwBQSwMEFAAGAAgAAAAhAMpE6yriAAAACwEAAA8AAABkcnMvZG93bnJldi54bWxM&#10;j0Frg0AQhe+F/odlCr01q63axLiGENqeQqFJoeQ20YlK3FlxN2r+fTen9vaGN7z3vWw16VYM1NvG&#10;sIJwFoAgLkzZcKXge//+NAdhHXKJrWFScCULq/z+LsO0NCN/0bBzlfAhbFNUUDvXpVLaoiaNdmY6&#10;Yu+dTK/R+bOvZNnj6MN1K5+DIJEaG/YNNXa0qak47y5awceI4/olfBu259PmetjHnz/bkJR6fJjW&#10;SxCOJvf3DDd8jw65ZzqaC5dWtArmr36KUxCHCxA3P4iSCMTRqziJFiDzTP7fkP8CAAD//wMAUEsB&#10;Ai0AFAAGAAgAAAAhALaDOJL+AAAA4QEAABMAAAAAAAAAAAAAAAAAAAAAAFtDb250ZW50X1R5cGVz&#10;XS54bWxQSwECLQAUAAYACAAAACEAOP0h/9YAAACUAQAACwAAAAAAAAAAAAAAAAAvAQAAX3JlbHMv&#10;LnJlbHNQSwECLQAUAAYACAAAACEAT/u+oeAiAACOXwEADgAAAAAAAAAAAAAAAAAuAgAAZHJzL2Uy&#10;b0RvYy54bWxQSwECLQAUAAYACAAAACEAykTrKuIAAAALAQAADwAAAAAAAAAAAAAAAAA6JQAAZHJz&#10;L2Rvd25yZXYueG1sUEsFBgAAAAAEAAQA8wAAAEkmAAAAAA==&#10;">
              <v:shape id="Freeform: Shape 244"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9NxgAAANwAAAAPAAAAZHJzL2Rvd25yZXYueG1sRI9Pa8JA&#10;FMTvQr/D8gredFORVqKbUGyLgqf67/zMPpO02bfp7qqpn74rFDwOM/MbZpZ3phFncr62rOBpmIAg&#10;LqyuuVSw3XwMJiB8QNbYWCYFv+Qhzx56M0y1vfAnndehFBHCPkUFVQhtKqUvKjLoh7Yljt7ROoMh&#10;SldK7fAS4aaRoyR5lgZrjgsVtjSvqPhen4yC3XE5f9mf3tzVLbbvXz9mNSnNQan+Y/c6BRGoC/fw&#10;f3upFYzGY7idiUdAZn8AAAD//wMAUEsBAi0AFAAGAAgAAAAhANvh9svuAAAAhQEAABMAAAAAAAAA&#10;AAAAAAAAAAAAAFtDb250ZW50X1R5cGVzXS54bWxQSwECLQAUAAYACAAAACEAWvQsW78AAAAVAQAA&#10;CwAAAAAAAAAAAAAAAAAfAQAAX3JlbHMvLnJlbHNQSwECLQAUAAYACAAAACEAyvafTc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245"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VKxAAAANwAAAAPAAAAZHJzL2Rvd25yZXYueG1sRI/BasMw&#10;EETvgfyD2EBuiRwnDcaNElKDob6laaHXxdraptZKWKrt/n1VKPQ4zMwb5nSZTS9GGnxnWcFum4Ag&#10;rq3uuFHw9lpuMhA+IGvsLZOCb/JwOS8XJ8y1nfiFxntoRISwz1FBG4LLpfR1Swb91jri6H3YwWCI&#10;cmikHnCKcNPLNEmO0mDHcaFFR0VL9ef9yyh4omN9G5vCHLLs3Y23qSr3rlJqvZqvjyACzeE//Nd+&#10;1grSwwP8nolHQJ5/AAAA//8DAFBLAQItABQABgAIAAAAIQDb4fbL7gAAAIUBAAATAAAAAAAAAAAA&#10;AAAAAAAAAABbQ29udGVudF9UeXBlc10ueG1sUEsBAi0AFAAGAAgAAAAhAFr0LFu/AAAAFQEAAAsA&#10;AAAAAAAAAAAAAAAAHwEAAF9yZWxzLy5yZWxzUEsBAi0AFAAGAAgAAAAhAHWqRUrEAAAA3AAAAA8A&#10;AAAAAAAAAAAAAAAABwIAAGRycy9kb3ducmV2LnhtbFBLBQYAAAAAAwADALcAAAD4AgAAAAA=&#10;" path="m,l1131533,2393851r12016,l2275081,,,xe" fillcolor="#ab5dba [3205]" stroked="f" strokeweight="0">
                <v:stroke joinstyle="miter"/>
                <v:path arrowok="t" o:connecttype="custom" o:connectlocs="0,0;1131279,2393316;1143292,2393316;2274570,0;0,0" o:connectangles="0,0,0,0,0"/>
              </v:shape>
              <v:group id="Group 246"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Shape 272"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VxQAAANwAAAAPAAAAZHJzL2Rvd25yZXYueG1sRI9Ba8JA&#10;FITvBf/D8gpeim66h6qpq0hB8CAVjYjHR/Y1Cc2+DdnVRH99tyB4HGbmG2a+7G0trtT6yrGG93EC&#10;gjh3puJCwzFbj6YgfEA2WDsmDTfysFwMXuaYGtfxnq6HUIgIYZ+ihjKEJpXS5yVZ9GPXEEfvx7UW&#10;Q5RtIU2LXYTbWqok+ZAWK44LJTb0VVL+e7hYDdvqcpr1Zwrd7m6S7G2idqdvpfXwtV99ggjUh2f4&#10;0d4YDWqi4P9MPAJy8QcAAP//AwBQSwECLQAUAAYACAAAACEA2+H2y+4AAACFAQAAEwAAAAAAAAAA&#10;AAAAAAAAAAAAW0NvbnRlbnRfVHlwZXNdLnhtbFBLAQItABQABgAIAAAAIQBa9CxbvwAAABUBAAAL&#10;AAAAAAAAAAAAAAAAAB8BAABfcmVscy8ucmVsc1BLAQItABQABgAIAAAAIQA+ZFcV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28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BwwAAANwAAAAPAAAAZHJzL2Rvd25yZXYueG1sRE9ba8Iw&#10;FH4X/A/hDPY203Uq2hlljA28gOLlBxybs7auOSlNVuO/Nw8DHz+++2wRTC06al1lWcHrIAFBnFtd&#10;caHgdPx+mYBwHlljbZkU3MjBYt7vzTDT9sp76g6+EDGEXYYKSu+bTEqXl2TQDWxDHLkf2xr0EbaF&#10;1C1eY7ipZZokY2mw4thQYkOfJeW/hz+jIH/bfdlLeh5tpqt0mGxHYR26oNTzU/h4B+Ep+If4373U&#10;CtJJnB/PxCMg53cAAAD//wMAUEsBAi0AFAAGAAgAAAAhANvh9svuAAAAhQEAABMAAAAAAAAAAAAA&#10;AAAAAAAAAFtDb250ZW50X1R5cGVzXS54bWxQSwECLQAUAAYACAAAACEAWvQsW78AAAAVAQAACwAA&#10;AAAAAAAAAAAAAAAfAQAAX3JlbHMvLnJlbHNQSwECLQAUAAYACAAAACEAv4LKQcMAAADc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281"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RVwgAAANwAAAAPAAAAZHJzL2Rvd25yZXYueG1sRI9Bi8Iw&#10;FITvC/6H8ARva6rCItUoKsh62cNWf8CjeabV5qUmWVv/vVkQPA4z8w2zXPe2EXfyoXasYDLOQBCX&#10;TtdsFJyO+885iBCRNTaOScGDAqxXg48l5tp1/Ev3IhqRIBxyVFDF2OZShrIii2HsWuLknZ23GJP0&#10;RmqPXYLbRk6z7EtarDktVNjSrqLyWvxZBVuJkvamMLvW/2xmt+Yy676PSo2G/WYBIlIf3+FX+6AV&#10;TOcT+D+TjoBcPQEAAP//AwBQSwECLQAUAAYACAAAACEA2+H2y+4AAACFAQAAEwAAAAAAAAAAAAAA&#10;AAAAAAAAW0NvbnRlbnRfVHlwZXNdLnhtbFBLAQItABQABgAIAAAAIQBa9CxbvwAAABUBAAALAAAA&#10;AAAAAAAAAAAAAB8BAABfcmVscy8ucmVsc1BLAQItABQABgAIAAAAIQBmwMRVwgAAANw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282"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IxAAAANwAAAAPAAAAZHJzL2Rvd25yZXYueG1sRI/dasJA&#10;FITvC32H5RR6U3TTUItGV7FFW3vn3wMcsqdJaPZs2D1q+vbdguDlMDPfMLNF71p1phAbzwaehxko&#10;4tLbhisDx8N6MAYVBdli65kM/FKExfz+boaF9Rfe0XkvlUoQjgUaqEW6QutY1uQwDn1HnLxvHxxK&#10;kqHSNuAlwV2r8yx71Q4bTgs1dvReU/mzPzkDlMnHaLl6+do8hckbrXn7aWVrzONDv5yCEurlFr62&#10;N9ZAPs7h/0w6Anr+BwAA//8DAFBLAQItABQABgAIAAAAIQDb4fbL7gAAAIUBAAATAAAAAAAAAAAA&#10;AAAAAAAAAABbQ29udGVudF9UeXBlc10ueG1sUEsBAi0AFAAGAAgAAAAhAFr0LFu/AAAAFQEAAAsA&#10;AAAAAAAAAAAAAAAAHwEAAF9yZWxzLy5yZWxzUEsBAi0AFAAGAAgAAAAhAN4it4j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83"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ZEwgAAANwAAAAPAAAAZHJzL2Rvd25yZXYueG1sRI9Bi8Iw&#10;FITvC/6H8ARva6qCaDWKyC4ICrJ1Ya+P5tkWk5fSRI3/3gjCHoeZ+YZZrqM14kadbxwrGA0zEMSl&#10;0w1XCn5P358zED4gazSOScGDPKxXvY8l5trd+YduRahEgrDPUUEdQptL6cuaLPqha4mTd3adxZBk&#10;V0nd4T3BrZHjLJtKiw2nhRpb2tZUXoqrVYB4iKfrNEj55U3c/7l5YY5zpQb9uFmACBTDf/jd3mkF&#10;49kEXmfSEZCrJwAAAP//AwBQSwECLQAUAAYACAAAACEA2+H2y+4AAACFAQAAEwAAAAAAAAAAAAAA&#10;AAAAAAAAW0NvbnRlbnRfVHlwZXNdLnhtbFBLAQItABQABgAIAAAAIQBa9CxbvwAAABUBAAALAAAA&#10;AAAAAAAAAAAAAB8BAABfcmVscy8ucmVsc1BLAQItABQABgAIAAAAIQDHrnZE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84"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lfxQAAANwAAAAPAAAAZHJzL2Rvd25yZXYueG1sRI9Ba8JA&#10;FITvBf/D8gq9FN1opdU0G7EtolcTL94e2WeSNvs2ZldN/70rCB6HmfmGSRa9acSZOldbVjAeRSCI&#10;C6trLhXs8tVwBsJ5ZI2NZVLwTw4W6eApwVjbC2/pnPlSBAi7GBVU3rexlK6oyKAb2ZY4eAfbGfRB&#10;dqXUHV4C3DRyEkXv0mDNYaHClr4rKv6yk1Hwdpjn+em4rfdF9vXh+DX/XdOPUi/P/fIThKfeP8L3&#10;9kYrmMymcDsTjoBMrwAAAP//AwBQSwECLQAUAAYACAAAACEA2+H2y+4AAACFAQAAEwAAAAAAAAAA&#10;AAAAAAAAAAAAW0NvbnRlbnRfVHlwZXNdLnhtbFBLAQItABQABgAIAAAAIQBa9CxbvwAAABUBAAAL&#10;AAAAAAAAAAAAAAAAAB8BAABfcmVscy8ucmVsc1BLAQItABQABgAIAAAAIQA74alf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8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08xAAAANwAAAAPAAAAZHJzL2Rvd25yZXYueG1sRI/NawIx&#10;FMTvBf+H8ITearYWP7o1igoFL4Jfl94em9fN0s3LkkRN/3sjCB6HmfkNM1sk24oL+dA4VvA+KEAQ&#10;V043XCs4Hb/fpiBCRNbYOiYF/xRgMe+9zLDU7sp7uhxiLTKEQ4kKTIxdKWWoDFkMA9cRZ+/XeYsx&#10;S19L7fGa4baVw6IYS4sN5wWDHa0NVX+Hs1XQ7TfbDzNJK//5k9rR2izH5HdKvfbT8gtEpBSf4Ud7&#10;oxUMpyO4n8lHQM5vAAAA//8DAFBLAQItABQABgAIAAAAIQDb4fbL7gAAAIUBAAATAAAAAAAAAAAA&#10;AAAAAAAAAABbQ29udGVudF9UeXBlc10ueG1sUEsBAi0AFAAGAAgAAAAhAFr0LFu/AAAAFQEAAAsA&#10;AAAAAAAAAAAAAAAAHwEAAF9yZWxzLy5yZWxzUEsBAi0AFAAGAAgAAAAhAFiCHTz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8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WVxgAAANwAAAAPAAAAZHJzL2Rvd25yZXYueG1sRI9Ba8JA&#10;FITvBf/D8gq9SN0oRWN0FdtSEIQWrXh+Zl+zwezbkN2a1F/vCkKPw8x8w8yXna3EmRpfOlYwHCQg&#10;iHOnSy4U7L8/nlMQPiBrrByTgj/ysFz0HuaYadfyls67UIgIYZ+hAhNCnUnpc0MW/cDVxNH7cY3F&#10;EGVTSN1gG+G2kqMkGUuLJccFgzW9GcpPu1+rYOpf3zdfk5e++zzSpV3L7ngojFJPj91qBiJQF/7D&#10;9/ZaKxilY7idiUdALq4AAAD//wMAUEsBAi0AFAAGAAgAAAAhANvh9svuAAAAhQEAABMAAAAAAAAA&#10;AAAAAAAAAAAAAFtDb250ZW50X1R5cGVzXS54bWxQSwECLQAUAAYACAAAACEAWvQsW78AAAAVAQAA&#10;CwAAAAAAAAAAAAAAAAAfAQAAX3JlbHMvLnJlbHNQSwECLQAUAAYACAAAACEAgjWllc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8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dxwAAANwAAAAPAAAAZHJzL2Rvd25yZXYueG1sRI9Ba8JA&#10;FITvhf6H5RW81Y1BqkZXKYWCUGhpVMTbM/tMgtm3aXY12/76bqHgcZiZb5jFKphGXKlztWUFo2EC&#10;griwuuZSwXbz+jgF4TyyxsYyKfgmB6vl/d0CM217/qRr7ksRIewyVFB532ZSuqIig25oW+LonWxn&#10;0EfZlVJ32Ee4aWSaJE/SYM1xocKWXioqzvnFKJgdNz/v6ds+x9lHP9l9jYMuDkGpwUN4noPwFPwt&#10;/N9eawXpdAJ/Z+IRkMtfAAAA//8DAFBLAQItABQABgAIAAAAIQDb4fbL7gAAAIUBAAATAAAAAAAA&#10;AAAAAAAAAAAAAABbQ29udGVudF9UeXBlc10ueG1sUEsBAi0AFAAGAAgAAAAhAFr0LFu/AAAAFQEA&#10;AAsAAAAAAAAAAAAAAAAAHwEAAF9yZWxzLy5yZWxzUEsBAi0AFAAGAAgAAAAhAIt1913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2"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lgwgAAANsAAAAPAAAAZHJzL2Rvd25yZXYueG1sRI9BawIx&#10;FITvBf9DeEJvNbtaiqxG2RaUXmu9eHskz83q5mXdRF399U1B8DjMzDfMfNm7RlyoC7VnBfkoA0Gs&#10;vam5UrD9Xb1NQYSIbLDxTApuFGC5GLzMsTD+yj902cRKJAiHAhXYGNtCyqAtOQwj3xInb+87hzHJ&#10;rpKmw2uCu0aOs+xDOqw5LVhs6cuSPm7OTsEdy9v9vcy915/hsLZ615/ynVKvw76cgYjUx2f40f42&#10;CiZj+P+SfoBc/AEAAP//AwBQSwECLQAUAAYACAAAACEA2+H2y+4AAACFAQAAEwAAAAAAAAAAAAAA&#10;AAAAAAAAW0NvbnRlbnRfVHlwZXNdLnhtbFBLAQItABQABgAIAAAAIQBa9CxbvwAAABUBAAALAAAA&#10;AAAAAAAAAAAAAB8BAABfcmVscy8ucmVsc1BLAQItABQABgAIAAAAIQCZv8lg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33"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GcxQAAANsAAAAPAAAAZHJzL2Rvd25yZXYueG1sRI9Pa8JA&#10;FMTvgt9heYI33dgULamriEUQepD6B3p8zT6z0ezbkN3G9Nu7BcHjMDO/YebLzlaipcaXjhVMxgkI&#10;4tzpkgsFx8Nm9AbCB2SNlWNS8Ecelot+b46Zdjf+onYfChEh7DNUYEKoMyl9bsiiH7uaOHpn11gM&#10;UTaF1A3eItxW8iVJptJiyXHBYE1rQ/l1/2sVfKe7dtZ21cV8bI+X06T8ORSvn0oNB93qHUSgLjzD&#10;j/ZWK0hT+P8Sf4Bc3AEAAP//AwBQSwECLQAUAAYACAAAACEA2+H2y+4AAACFAQAAEwAAAAAAAAAA&#10;AAAAAAAAAAAAW0NvbnRlbnRfVHlwZXNdLnhtbFBLAQItABQABgAIAAAAIQBa9CxbvwAAABUBAAAL&#10;AAAAAAAAAAAAAAAAAB8BAABfcmVscy8ucmVsc1BLAQItABQABgAIAAAAIQD0MqGc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34"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TUxAAAANsAAAAPAAAAZHJzL2Rvd25yZXYueG1sRI9PawIx&#10;FMTvQr9DeIXeNNtWRLZGKYp/wIO49tDjY/OaXbp5WTZxjd/eCILHYWZ+w8wW0Taip87XjhW8jzIQ&#10;xKXTNRsFP6f1cArCB2SNjWNScCUPi/nLYIa5dhc+Ul8EIxKEfY4KqhDaXEpfVmTRj1xLnLw/11kM&#10;SXZG6g4vCW4b+ZFlE2mx5rRQYUvLisr/4mwVkDHjza/eHverc2yyuOqLuDwo9fYav79ABIrhGX60&#10;d1rB5xjuX9IPkPMbAAAA//8DAFBLAQItABQABgAIAAAAIQDb4fbL7gAAAIUBAAATAAAAAAAAAAAA&#10;AAAAAAAAAABbQ29udGVudF9UeXBlc10ueG1sUEsBAi0AFAAGAAgAAAAhAFr0LFu/AAAAFQEAAAsA&#10;AAAAAAAAAAAAAAAAHwEAAF9yZWxzLy5yZWxzUEsBAi0AFAAGAAgAAAAhAMxY1NT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41"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2xgAAANsAAAAPAAAAZHJzL2Rvd25yZXYueG1sRI9BS8NA&#10;FITvhf6H5RW8FLtpqEVit8UWFC8iaQpen9lnEs2+Ddlnm/rrXaHQ4zAz3zCrzeBadaQ+NJ4NzGcJ&#10;KOLS24YrA4fi6fYeVBBki61nMnCmAJv1eLTCzPoT53TcS6UihEOGBmqRLtM6lDU5DDPfEUfv0/cO&#10;Jcq+0rbHU4S7VqdJstQOG44LNXa0q6n83v84A2/51n+lH9v2PZ3K890u/61epTDmZjI8PoASGuQa&#10;vrRfrIHFHP6/xB+g138AAAD//wMAUEsBAi0AFAAGAAgAAAAhANvh9svuAAAAhQEAABMAAAAAAAAA&#10;AAAAAAAAAAAAAFtDb250ZW50X1R5cGVzXS54bWxQSwECLQAUAAYACAAAACEAWvQsW78AAAAVAQAA&#10;CwAAAAAAAAAAAAAAAAAfAQAAX3JlbHMvLnJlbHNQSwECLQAUAAYACAAAACEAXCvi9sYAAADb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42"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mjxAAAANsAAAAPAAAAZHJzL2Rvd25yZXYueG1sRI9Pa8JA&#10;FMTvQr/D8gq9iG4qtUjqKmIJtLcmEXt9ZF/+aPZtyK5J+u27BaHHYWZ+w2z3k2nFQL1rLCt4XkYg&#10;iAurG64UnPJksQHhPLLG1jIp+CEH+93DbIuxtiOnNGS+EgHCLkYFtfddLKUrajLolrYjDl5pe4M+&#10;yL6SuscxwE0rV1H0Kg02HBZq7OhYU3HNbkbBOS/9JfnqXFN+z9e31OTV5/Cu1NPjdHgD4Wny/+F7&#10;+0MreFnB35fwA+TuFwAA//8DAFBLAQItABQABgAIAAAAIQDb4fbL7gAAAIUBAAATAAAAAAAAAAAA&#10;AAAAAAAAAABbQ29udGVudF9UeXBlc10ueG1sUEsBAi0AFAAGAAgAAAAhAFr0LFu/AAAAFQEAAAsA&#10;AAAAAAAAAAAAAAAAHwEAAF9yZWxzLy5yZWxzUEsBAi0AFAAGAAgAAAAhANxU+aP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43"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LDxQAAANsAAAAPAAAAZHJzL2Rvd25yZXYueG1sRI9fa8Iw&#10;FMXfhX2HcAe+yEw3RaQzyiYoEya4OtjrXXNtqs1NaTLNvv0yEHw8nD8/zmwRbSPO1PnasYLHYQaC&#10;uHS65krB5371MAXhA7LGxjEp+CUPi/ldb4a5dhf+oHMRKpFG2OeowITQ5lL60pBFP3QtcfIOrrMY&#10;kuwqqTu8pHHbyKcsm0iLNSeCwZaWhspT8WMTZLMupnG7W+2Xr4fi/Xtgvo67qFT/Pr48gwgUwy18&#10;bb9pBeMR/H9JP0DO/wAAAP//AwBQSwECLQAUAAYACAAAACEA2+H2y+4AAACFAQAAEwAAAAAAAAAA&#10;AAAAAAAAAAAAW0NvbnRlbnRfVHlwZXNdLnhtbFBLAQItABQABgAIAAAAIQBa9CxbvwAAABUBAAAL&#10;AAAAAAAAAAAAAAAAAB8BAABfcmVscy8ucmVsc1BLAQItABQABgAIAAAAIQBmcBLD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44"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IywgAAANsAAAAPAAAAZHJzL2Rvd25yZXYueG1sRI/dqsIw&#10;EITvD/gOYQVvDpoqIqUaRRRFvBD8eYClWdtisylNtNWnN4Lg5TAz3zCzRWtK8aDaFZYVDAcRCOLU&#10;6oIzBZfzph+DcB5ZY2mZFDzJwWLe+Zthom3DR3qcfCYChF2CCnLvq0RKl+Zk0A1sRRy8q60N+iDr&#10;TOoamwA3pRxF0UQaLDgs5FjRKqf0drobBfFy8lrHqcza2/54aLab/+vofFCq122XUxCeWv8Lf9s7&#10;rWA8hs+X8APk/A0AAP//AwBQSwECLQAUAAYACAAAACEA2+H2y+4AAACFAQAAEwAAAAAAAAAAAAAA&#10;AAAAAAAAW0NvbnRlbnRfVHlwZXNdLnhtbFBLAQItABQABgAIAAAAIQBa9CxbvwAAABUBAAALAAAA&#10;AAAAAAAAAAAAAB8BAABfcmVscy8ucmVsc1BLAQItABQABgAIAAAAIQBKqVIywgAAANs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45"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WLwQAAANsAAAAPAAAAZHJzL2Rvd25yZXYueG1sRI9Bi8Iw&#10;FITvC/6H8ARva+q6K1KNIgXBk+xWweujeTbF5KU0WVv/vREW9jjMzDfMejs4K+7Uhcazgtk0A0Fc&#10;ed1wreB82r8vQYSIrNF6JgUPCrDdjN7WmGvf8w/dy1iLBOGQowITY5tLGSpDDsPUt8TJu/rOYUyy&#10;q6XusE9wZ+VHli2kw4bTgsGWCkPVrfx1CubF0V77G35fTsdQSmtKiY9Cqcl42K1ARBrif/ivfdAK&#10;Pr/g9SX9ALl5AgAA//8DAFBLAQItABQABgAIAAAAIQDb4fbL7gAAAIUBAAATAAAAAAAAAAAAAAAA&#10;AAAAAABbQ29udGVudF9UeXBlc10ueG1sUEsBAi0AFAAGAAgAAAAhAFr0LFu/AAAAFQEAAAsAAAAA&#10;AAAAAAAAAAAAHwEAAF9yZWxzLy5yZWxzUEsBAi0AFAAGAAgAAAAhAFFmtYvBAAAA2w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46"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SwwAAANsAAAAPAAAAZHJzL2Rvd25yZXYueG1sRI9bi8Iw&#10;FITfBf9DOAv7ImvqhbJUo6ggK8KC9fJ+aI5t2eakNLHWf2+EBR+HmfmGmS87U4mWGldaVjAaRiCI&#10;M6tLzhWcT9uvbxDOI2usLJOCBzlYLvq9OSba3jml9uhzESDsElRQeF8nUrqsIINuaGvi4F1tY9AH&#10;2eRSN3gPcFPJcRTF0mDJYaHAmjYFZX/Hm1Hwm8b5Ohtc2p0/7G8/E4sD3OyV+vzoVjMQnjr/Dv+3&#10;d1rBNIbXl/AD5OIJAAD//wMAUEsBAi0AFAAGAAgAAAAhANvh9svuAAAAhQEAABMAAAAAAAAAAAAA&#10;AAAAAAAAAFtDb250ZW50X1R5cGVzXS54bWxQSwECLQAUAAYACAAAACEAWvQsW78AAAAVAQAACwAA&#10;AAAAAAAAAAAAAAAfAQAAX3JlbHMvLnJlbHNQSwECLQAUAAYACAAAACEAL6dP0sMAAADbAAAADwAA&#10;AAAAAAAAAAAAAAAHAgAAZHJzL2Rvd25yZXYueG1sUEsFBgAAAAADAAMAtwAAAPcCAAAAAA==&#10;" path="m923971,l,1954696r6957,14798l937884,,923971,xe" filled="f" stroked="f" strokeweight="0">
                  <v:stroke joinstyle="miter"/>
                  <v:path arrowok="t" o:connecttype="custom" o:connectlocs="923971,0;0,1954696;6957,1969494;937884,0;923971,0" o:connectangles="0,0,0,0,0"/>
                </v:shape>
                <v:shape id="Freeform: Shape 4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CdwQAAANsAAAAPAAAAZHJzL2Rvd25yZXYueG1sRI9Pi8Iw&#10;FMTvgt8hPGFvmrosKtUooqzr4sk/9Pxonm2xeSlJrPXbbxYEj8PM/IZZrDpTi5acrywrGI8SEMS5&#10;1RUXCi7n7+EMhA/IGmvLpOBJHlbLfm+BqbYPPlJ7CoWIEPYpKihDaFIpfV6SQT+yDXH0rtYZDFG6&#10;QmqHjwg3tfxMkok0WHFcKLGhTUn57XQ3CrQ8/BSt/Z1s22e2dyHL9M5kSn0MuvUcRKAuvMOv9l4r&#10;+JrC/5f4A+TyDwAA//8DAFBLAQItABQABgAIAAAAIQDb4fbL7gAAAIUBAAATAAAAAAAAAAAAAAAA&#10;AAAAAABbQ29udGVudF9UeXBlc10ueG1sUEsBAi0AFAAGAAgAAAAhAFr0LFu/AAAAFQEAAAsAAAAA&#10;AAAAAAAAAAAAHwEAAF9yZWxzLy5yZWxzUEsBAi0AFAAGAAgAAAAhAIwbUJ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48"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jwQAAANsAAAAPAAAAZHJzL2Rvd25yZXYueG1sRE/Pa8Iw&#10;FL4P/B/CE3abqVKKVKOIOPAwKK2C2+3RPNti81KSrHb//XIY7Pjx/d7uJ9OLkZzvLCtYLhIQxLXV&#10;HTcKrpf3tzUIH5A19pZJwQ952O9mL1vMtX1ySWMVGhFD2OeooA1hyKX0dUsG/cIOxJG7W2cwROga&#10;qR0+Y7jp5SpJMmmw49jQ4kDHlupH9W0UFOOH6283zpLDKvsq0+L6OZ1PSr3Op8MGRKAp/Iv/3Get&#10;II1j45f4A+TuFwAA//8DAFBLAQItABQABgAIAAAAIQDb4fbL7gAAAIUBAAATAAAAAAAAAAAAAAAA&#10;AAAAAABbQ29udGVudF9UeXBlc10ueG1sUEsBAi0AFAAGAAgAAAAhAFr0LFu/AAAAFQEAAAsAAAAA&#10;AAAAAAAAAAAAHwEAAF9yZWxzLy5yZWxzUEsBAi0AFAAGAAgAAAAhAK5OVCPBAAAA2wAAAA8AAAAA&#10;AAAAAAAAAAAABwIAAGRycy9kb3ducmV2LnhtbFBLBQYAAAAAAwADALcAAAD1AgAAAAA=&#10;" path="m1027436,l,2173514r7083,14799l1041475,r-14039,xe" filled="f" stroked="f" strokeweight="0">
                  <v:stroke joinstyle="miter"/>
                  <v:path arrowok="t" o:connecttype="custom" o:connectlocs="1027436,0;0,2173514;7083,2188313;1041475,0;1027436,0" o:connectangles="0,0,0,0,0"/>
                </v:shape>
                <v:shape id="Freeform: Shape 49"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tkxAAAANsAAAAPAAAAZHJzL2Rvd25yZXYueG1sRI9Pi8Iw&#10;FMTvC36H8ARva6oU1+0aRQWxCHvwD+z1bfNsi81LaaKt394IgsdhZn7DzBadqcSNGldaVjAaRiCI&#10;M6tLzhWcjpvPKQjnkTVWlknBnRws5r2PGSbatryn28HnIkDYJaig8L5OpHRZQQbd0NbEwTvbxqAP&#10;ssmlbrANcFPJcRRNpMGSw0KBNa0Lyi6Hq1GQ/q9+78e/OF1ftuOvaet3XZxOlBr0u+UPCE+df4df&#10;7VQriL/h+SX8ADl/AAAA//8DAFBLAQItABQABgAIAAAAIQDb4fbL7gAAAIUBAAATAAAAAAAAAAAA&#10;AAAAAAAAAABbQ29udGVudF9UeXBlc10ueG1sUEsBAi0AFAAGAAgAAAAhAFr0LFu/AAAAFQEAAAsA&#10;AAAAAAAAAAAAAAAAHwEAAF9yZWxzLy5yZWxzUEsBAi0AFAAGAAgAAAAhAK7u22T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50"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mRxAAAANsAAAAPAAAAZHJzL2Rvd25yZXYueG1sRE9Na8JA&#10;EL0X/A/LCN7qRq3BRtcQWlKkB0EtrcchOyYh2dmQ3Wrqr+8eCj0+3vcmHUwrrtS72rKC2TQCQVxY&#10;XXOp4OOUP65AOI+ssbVMCn7IQbodPWww0fbGB7oefSlCCLsEFVTed4mUrqjIoJvajjhwF9sb9AH2&#10;pdQ93kK4aeU8imJpsObQUGFHLxUVzfHbKMib/ev+8zkrz7P46/T0hvF9sXxXajIesjUIT4P/F/+5&#10;d1rBMqwPX8IPkNtfAAAA//8DAFBLAQItABQABgAIAAAAIQDb4fbL7gAAAIUBAAATAAAAAAAAAAAA&#10;AAAAAAAAAABbQ29udGVudF9UeXBlc10ueG1sUEsBAi0AFAAGAAgAAAAhAFr0LFu/AAAAFQEAAAsA&#10;AAAAAAAAAAAAAAAAHwEAAF9yZWxzLy5yZWxzUEsBAi0AFAAGAAgAAAAhANYtGZHEAAAA2w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v:shape id="Freeform: Shape 51"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8bwwAAANsAAAAPAAAAZHJzL2Rvd25yZXYueG1sRI9Bi8Iw&#10;FITvC/6H8ARva9oFRapRRFxY8CB2RfD2TJ5tsXnpNlHrvzeCsMdhZr5hZovO1uJGra8cK0iHCQhi&#10;7UzFhYL97/fnBIQPyAZrx6TgQR4W897HDDPj7ryjWx4KESHsM1RQhtBkUnpdkkU/dA1x9M6utRii&#10;bAtpWrxHuK3lV5KMpcWK40KJDa1K0pf8ahVYHx76mIzy3Z/enLpJut4e0otSg363nIII1IX/8Lv9&#10;YxSMUnh9iT9Azp8AAAD//wMAUEsBAi0AFAAGAAgAAAAhANvh9svuAAAAhQEAABMAAAAAAAAAAAAA&#10;AAAAAAAAAFtDb250ZW50X1R5cGVzXS54bWxQSwECLQAUAAYACAAAACEAWvQsW78AAAAVAQAACwAA&#10;AAAAAAAAAAAAAAAfAQAAX3JlbHMvLnJlbHNQSwECLQAUAAYACAAAACEAO3MPG8MAAADbAAAADwAA&#10;AAAAAAAAAAAAAAAHAgAAZHJzL2Rvd25yZXYueG1sUEsFBgAAAAADAAMAtwAAAPcCAAAAAA==&#10;" path="m,2406499r1592190,l1592190,961664,1137604,,,2406499xe" fillcolor="#87189d [3204]" stroked="f" strokeweight="0">
                <v:stroke joinstyle="miter"/>
                <v:path arrowok="t" o:connecttype="custom" o:connectlocs="0,2406499;1592190,2406499;1592190,961664;1137604,0;0,2406499" o:connectangles="0,0,0,0,0"/>
              </v:shape>
              <v:shape id="Freeform: Shape 52"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znwgAAANsAAAAPAAAAZHJzL2Rvd25yZXYueG1sRI9Bi8Iw&#10;FITvwv6H8Ba8abqiItUoi6CInmxlYW+P5tl0t3kpTdT6740geBxm5htmsepsLa7U+sqxgq9hAoK4&#10;cLriUsEp3wxmIHxA1lg7JgV38rBafvQWmGp34yNds1CKCGGfogITQpNK6QtDFv3QNcTRO7vWYoiy&#10;LaVu8RbhtpajJJlKixXHBYMNrQ0V/9nFKtBbvc5/x/V+8/O3I5PfD8FlB6X6n933HESgLrzDr/ZO&#10;K5iM4Pkl/gC5fAAAAP//AwBQSwECLQAUAAYACAAAACEA2+H2y+4AAACFAQAAEwAAAAAAAAAAAAAA&#10;AAAAAAAAW0NvbnRlbnRfVHlwZXNdLnhtbFBLAQItABQABgAIAAAAIQBa9CxbvwAAABUBAAALAAAA&#10;AAAAAAAAAAAAAB8BAABfcmVscy8ucmVsc1BLAQItABQABgAIAAAAIQB20Ozn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53"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4"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TsxgAAANsAAAAPAAAAZHJzL2Rvd25yZXYueG1sRI9ba8JA&#10;FITfC/6H5Qh9KboxtF6iq5RCoQ+ieEF8PGSPSTB7NmRXE/31riD0cZiZb5jZojWluFLtCssKBv0I&#10;BHFqdcGZgv3utzcG4TyyxtIyKbiRg8W88zbDRNuGN3Td+kwECLsEFeTeV4mULs3JoOvbijh4J1sb&#10;9EHWmdQ1NgFuShlH0VAaLDgs5FjRT07peXsxCpbF5TBpj+Sb9V1Hu49RvD6sYqXeu+33FISn1v+H&#10;X+0/reDrE55fwg+Q8wcAAAD//wMAUEsBAi0AFAAGAAgAAAAhANvh9svuAAAAhQEAABMAAAAAAAAA&#10;AAAAAAAAAAAAAFtDb250ZW50X1R5cGVzXS54bWxQSwECLQAUAAYACAAAACEAWvQsW78AAAAVAQAA&#10;CwAAAAAAAAAAAAAAAAAfAQAAX3JlbHMvLnJlbHNQSwECLQAUAAYACAAAACEAYmik7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55"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gexQAAANsAAAAPAAAAZHJzL2Rvd25yZXYueG1sRI/RasJA&#10;FETfC/2H5RZ8q5umjbTRVUQq2AqKth9wzd4m0ezdkF3j+vduodDHYWbOMJNZMI3oqXO1ZQVPwwQE&#10;cWF1zaWC76/l4ysI55E1NpZJwZUczKb3dxPMtb3wjvq9L0WEsMtRQeV9m0vpiooMuqFtiaP3YzuD&#10;PsqulLrDS4SbRqZJMpIGa44LFba0qKg47c9GQfG8fbfH9JCt3z7Sl2SThc/QB6UGD2E+BuEp+P/w&#10;X3ulFWQZ/H6JP0BObwAAAP//AwBQSwECLQAUAAYACAAAACEA2+H2y+4AAACFAQAAEwAAAAAAAAAA&#10;AAAAAAAAAAAAW0NvbnRlbnRfVHlwZXNdLnhtbFBLAQItABQABgAIAAAAIQBa9CxbvwAAABUBAAAL&#10;AAAAAAAAAAAAAAAAAB8BAABfcmVscy8ucmVsc1BLAQItABQABgAIAAAAIQBLqkge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56"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anwgAAANsAAAAPAAAAZHJzL2Rvd25yZXYueG1sRI9BawIx&#10;FITvBf9DeIK3mrVSKatRrCD10oNrf8Bj88yubl7WJHXXf28EweMwM98wi1VvG3ElH2rHCibjDARx&#10;6XTNRsHfYfv+BSJEZI2NY1JwowCr5eBtgbl2He/pWkQjEoRDjgqqGNtcylBWZDGMXUucvKPzFmOS&#10;3kjtsUtw28iPLJtJizWnhQpb2lRUnot/q+BboqStKcym9b/r6aU5Tbufg1KjYb+eg4jUx1f42d5p&#10;BZ8zeHxJP0Au7wAAAP//AwBQSwECLQAUAAYACAAAACEA2+H2y+4AAACFAQAAEwAAAAAAAAAAAAAA&#10;AAAAAAAAW0NvbnRlbnRfVHlwZXNdLnhtbFBLAQItABQABgAIAAAAIQBa9CxbvwAAABUBAAALAAAA&#10;AAAAAAAAAAAAAB8BAABfcmVscy8ucmVsc1BLAQItABQABgAIAAAAIQBnMUanwgAAANs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57"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bwwAAANsAAAAPAAAAZHJzL2Rvd25yZXYueG1sRI9RawIx&#10;EITfC/0PYQu+lJqrqK1Xo6hotW/W+gOWy/bu6GVzJKue/74pFHwcZuYbZjrvXKPOFGLt2cBzPwNF&#10;XHhbc2ng+LV5egUVBdli45kMXCnCfHZ/N8Xc+gt/0vkgpUoQjjkaqETaXOtYVOQw9n1LnLxvHxxK&#10;kqHUNuAlwV2jB1k21g5rTgsVtrSqqPg5nJwByuR9tFgPP3aPYbKkDe+3VvbG9B66xRsooU5u4f/2&#10;zhoYvcDfl/QD9OwXAAD//wMAUEsBAi0AFAAGAAgAAAAhANvh9svuAAAAhQEAABMAAAAAAAAAAAAA&#10;AAAAAAAAAFtDb250ZW50X1R5cGVzXS54bWxQSwECLQAUAAYACAAAACEAWvQsW78AAAAVAQAACwAA&#10;AAAAAAAAAAAAAAAfAQAAX3JlbHMvLnJlbHNQSwECLQAUAAYACAAAACEAZmqf2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58"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lvwAAANsAAAAPAAAAZHJzL2Rvd25yZXYueG1sRE9da8Iw&#10;FH0X/A/hCr6t6QaTtTPKEAcDhbEq7PXS3LVlyU1pYhv/vXkQfDyc7/U2WiNGGnznWMFzloMgrp3u&#10;uFFwPn0+vYHwAVmjcUwKruRhu5nP1lhqN/EPjVVoRAphX6KCNoS+lNLXLVn0meuJE/fnBoshwaGR&#10;esAphVsjX/J8JS12nBpa7GnXUv1fXawCxGM8XVZByr038fDrisp8F0otF/HjHUSgGB7iu/tLK3hN&#10;Y9OX9APk5gYAAP//AwBQSwECLQAUAAYACAAAACEA2+H2y+4AAACFAQAAEwAAAAAAAAAAAAAAAAAA&#10;AAAAW0NvbnRlbnRfVHlwZXNdLnhtbFBLAQItABQABgAIAAAAIQBa9CxbvwAAABUBAAALAAAAAAAA&#10;AAAAAAAAAB8BAABfcmVscy8ucmVsc1BLAQItABQABgAIAAAAIQBjpn6l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59"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rJxAAAANsAAAAPAAAAZHJzL2Rvd25yZXYueG1sRI/NbsIw&#10;EITvlXgHa5F6qRqnRVAIcVB/VMGVhAu3VbwkaeN1GhsIb18jIXEczcw3mnQ1mFacqHeNZQUvUQyC&#10;uLS64UrBrvh+noNwHllja5kUXMjBKhs9pJhoe+YtnXJfiQBhl6CC2vsukdKVNRl0ke2Ig3ewvUEf&#10;ZF9J3eM5wE0rX+N4Jg02HBZq7OizpvI3PxoFk8OiKI5/22Zf5h9vjp+KnzV9KfU4Ht6XIDwN/h6+&#10;tTdawXQB1y/hB8jsHwAA//8DAFBLAQItABQABgAIAAAAIQDb4fbL7gAAAIUBAAATAAAAAAAAAAAA&#10;AAAAAAAAAABbQ29udGVudF9UeXBlc10ueG1sUEsBAi0AFAAGAAgAAAAhAFr0LFu/AAAAFQEAAAsA&#10;AAAAAAAAAAAAAAAAHwEAAF9yZWxzLy5yZWxzUEsBAi0AFAAGAAgAAAAhANp4Csn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60"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awAAAANsAAAAPAAAAZHJzL2Rvd25yZXYueG1sRE/LagIx&#10;FN0X/IdwBXc1o9JRR6NYoeCmUB8bd5fJdTI4uRmSVNO/bxaFLg/nvd4m24kH+dA6VjAZFyCIa6db&#10;bhRczh+vCxAhImvsHJOCHwqw3Qxe1lhp9+QjPU6xETmEQ4UKTIx9JWWoDVkMY9cTZ+7mvMWYoW+k&#10;9vjM4baT06IopcWWc4PBnvaG6vvp2yroj4fPmZmnd7+8pu5tb3Yl+S+lRsO0W4GIlOK/+M990ArK&#10;vD5/yT9Abn4BAAD//wMAUEsBAi0AFAAGAAgAAAAhANvh9svuAAAAhQEAABMAAAAAAAAAAAAAAAAA&#10;AAAAAFtDb250ZW50X1R5cGVzXS54bWxQSwECLQAUAAYACAAAACEAWvQsW78AAAAVAQAACwAAAAAA&#10;AAAAAAAAAAAfAQAAX3JlbHMvLnJlbHNQSwECLQAUAAYACAAAACEAWEvoms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61"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acxQAAANsAAAAPAAAAZHJzL2Rvd25yZXYueG1sRI/dagIx&#10;FITvC32HcAreiGaVYnVrlFYRBMHiD70+bk43Szcnyya6W5/eCEIvh5n5hpnOW1uKC9W+cKxg0E9A&#10;EGdOF5wrOB5WvTEIH5A1lo5JwR95mM+en6aYatfwji77kIsIYZ+iAhNClUrpM0MWfd9VxNH7cbXF&#10;EGWdS11jE+G2lMMkGUmLBccFgxUtDGW/+7NVMPGfy83X22vXbU90bdayPX3nRqnOS/vxDiJQG/7D&#10;j/ZaKxgN4P4l/gA5uwEAAP//AwBQSwECLQAUAAYACAAAACEA2+H2y+4AAACFAQAAEwAAAAAAAAAA&#10;AAAAAAAAAAAAW0NvbnRlbnRfVHlwZXNdLnhtbFBLAQItABQABgAIAAAAIQBa9CxbvwAAABUBAAAL&#10;AAAAAAAAAAAAAAAAAB8BAABfcmVscy8ucmVsc1BLAQItABQABgAIAAAAIQDa6Lac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62"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evxgAAANsAAAAPAAAAZHJzL2Rvd25yZXYueG1sRI9Ba8JA&#10;FITvBf/D8gq91U1DsRpdRQqCILQ0KuLtmX1NQrNv0+xqtv31XaHgcZiZb5jZIphGXKhztWUFT8ME&#10;BHFhdc2lgt129TgG4TyyxsYyKfghB4v54G6GmbY9f9Al96WIEHYZKqi8bzMpXVGRQTe0LXH0Pm1n&#10;0EfZlVJ32Ee4aWSaJCNpsOa4UGFLrxUVX/nZKJictr9v6eaQ4+S9f9l/PwddHINSD/dhOQXhKfhb&#10;+L+91gpGKVy/xB8g538AAAD//wMAUEsBAi0AFAAGAAgAAAAhANvh9svuAAAAhQEAABMAAAAAAAAA&#10;AAAAAAAAAAAAAFtDb250ZW50X1R5cGVzXS54bWxQSwECLQAUAAYACAAAACEAWvQsW78AAAAVAQAA&#10;CwAAAAAAAAAAAAAAAAAfAQAAX3JlbHMvLnJlbHNQSwECLQAUAAYACAAAACEA2Gy3r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63"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mwgAAANsAAAAPAAAAZHJzL2Rvd25yZXYueG1sRI9BawIx&#10;FITvBf9DeEJvNbttEVmNsi0oXmu9eHskz83q5mXdpLr6640g9DjMzDfMbNG7RpypC7VnBfkoA0Gs&#10;vam5UrD9Xb5NQISIbLDxTAquFGAxH7zMsDD+wj903sRKJAiHAhXYGNtCyqAtOQwj3xInb+87hzHJ&#10;rpKmw0uCu0a+Z9lYOqw5LVhs6duSPm7+nIIbltfbZ5l7r7/CYWX1rj/lO6Veh305BRGpj//hZ3tt&#10;FIw/4PEl/QA5vwMAAP//AwBQSwECLQAUAAYACAAAACEA2+H2y+4AAACFAQAAEwAAAAAAAAAAAAAA&#10;AAAAAAAAW0NvbnRlbnRfVHlwZXNdLnhtbFBLAQItABQABgAIAAAAIQBa9CxbvwAAABUBAAALAAAA&#10;AAAAAAAAAAAAAB8BAABfcmVscy8ucmVsc1BLAQItABQABgAIAAAAIQDlQEPm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288"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1EwgAAANwAAAAPAAAAZHJzL2Rvd25yZXYueG1sRE/LisIw&#10;FN0L/kO4A+409YEj1SiiCIKLwcfALO8016ZOc1OaWOvfm8WAy8N5L1atLUVDtS8cKxgOEhDEmdMF&#10;5wou511/BsIHZI2lY1LwJA+rZbezwFS7Bx+pOYVcxBD2KSowIVSplD4zZNEPXEUcuaurLYYI61zq&#10;Gh8x3JZylCRTabHg2GCwoo2h7O90twp+xl/NZ9OWN7PdX27fw+L3nE8OSvU+2vUcRKA2vMX/7r1W&#10;MJrFtfFMPAJy+QIAAP//AwBQSwECLQAUAAYACAAAACEA2+H2y+4AAACFAQAAEwAAAAAAAAAAAAAA&#10;AAAAAAAAW0NvbnRlbnRfVHlwZXNdLnhtbFBLAQItABQABgAIAAAAIQBa9CxbvwAAABUBAAALAAAA&#10;AAAAAAAAAAAAAB8BAABfcmVscy8ucmVsc1BLAQItABQABgAIAAAAIQCvJ71EwgAAANwAAAAPAAAA&#10;AAAAAAAAAAAAAAcCAABkcnMvZG93bnJldi54bWxQSwUGAAAAAAMAAwC3AAAA9gIAAAAA&#10;" path="m148114,l,313429r6957,14799l162027,,148114,xe" filled="f" stroked="f" strokeweight="0">
                  <v:stroke joinstyle="miter"/>
                  <v:path arrowok="t" o:connecttype="custom" o:connectlocs="148114,0;0,313429;6957,328228;162027,0;148114,0" o:connectangles="0,0,0,0,0"/>
                </v:shape>
                <v:shape id="Freeform: Shape 289"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GKxAAAANwAAAAPAAAAZHJzL2Rvd25yZXYueG1sRI9BawIx&#10;FITvgv8hPKE3zVZK0a1RiqIVPIjbHnp8bJ7Zxc3Lsolr+u9NQfA4zMw3zGIVbSN66nztWMHrJANB&#10;XDpds1Hw870dz0D4gKyxcUwK/sjDajkcLDDX7sYn6otgRIKwz1FBFUKbS+nLiiz6iWuJk3d2ncWQ&#10;ZGek7vCW4LaR0yx7lxZrTgsVtrSuqLwUV6uAjHnb/eqv02FzjU0WN30R10elXkbx8wNEoBie4Ud7&#10;rxVMZ3P4P5OOgFzeAQAA//8DAFBLAQItABQABgAIAAAAIQDb4fbL7gAAAIUBAAATAAAAAAAAAAAA&#10;AAAAAAAAAABbQ29udGVudF9UeXBlc10ueG1sUEsBAi0AFAAGAAgAAAAhAFr0LFu/AAAAFQEAAAsA&#10;AAAAAAAAAAAAAAAAHwEAAF9yZWxzLy5yZWxzUEsBAi0AFAAGAAgAAAAhAGygIYr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90"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CwwAAANwAAAAPAAAAZHJzL2Rvd25yZXYueG1sRE9Na8JA&#10;EL0L/Q/LFHoR3Rho0dRVqmDpRSQqeJ1mp0na7GzITjX117uHgsfH+54ve9eoM3Wh9mxgMk5AERfe&#10;1lwaOB42oymoIMgWG89k4I8CLBcPgzlm1l84p/NeShVDOGRooBJpM61DUZHDMPYtceS+fOdQIuxK&#10;bTu8xHDX6DRJXrTDmmNDhS2tKyp+9r/OwC5f+e/0c9Wc0qG8P6/za7mVgzFPj/3bKyihXu7if/eH&#10;NZDO4vx4Jh4BvbgBAAD//wMAUEsBAi0AFAAGAAgAAAAhANvh9svuAAAAhQEAABMAAAAAAAAAAAAA&#10;AAAAAAAAAFtDb250ZW50X1R5cGVzXS54bWxQSwECLQAUAAYACAAAACEAWvQsW78AAAAVAQAACwAA&#10;AAAAAAAAAAAAAAAfAQAAX3JlbHMvLnJlbHNQSwECLQAUAAYACAAAACEAnP/RQs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291"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OJxAAAANwAAAAPAAAAZHJzL2Rvd25yZXYueG1sRI9Pi8Iw&#10;FMTvwn6H8Bb2IpoqKGs1yqII603totdH8/rHbV5KE2v99kYQPA4z8xtmsepMJVpqXGlZwWgYgSBO&#10;rS45V/CXbAffIJxH1lhZJgV3crBafvQWGGt74wO1R5+LAGEXo4LC+zqW0qUFGXRDWxMHL7ONQR9k&#10;k0vd4C3ATSXHUTSVBksOCwXWtC4o/T9ejYJTkvnLdl+7Mjv3J9eDSfJdu1Hq67P7mYPw1Pl3+NX+&#10;1QrGsxE8z4QjIJcPAAAA//8DAFBLAQItABQABgAIAAAAIQDb4fbL7gAAAIUBAAATAAAAAAAAAAAA&#10;AAAAAAAAAABbQ29udGVudF9UeXBlc10ueG1sUEsBAi0AFAAGAAgAAAAhAFr0LFu/AAAAFQEAAAsA&#10;AAAAAAAAAAAAAAAAHwEAAF9yZWxzLy5yZWxzUEsBAi0AFAAGAAgAAAAhAGJHU4n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92"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IxgAAANwAAAAPAAAAZHJzL2Rvd25yZXYueG1sRI9fa8Iw&#10;FMXfB/sO4Qp7GZquD8NVozjBsYEDVwVf75pr0625KU2m8dsbQdjj4fz5cabzaFtxpN43jhU8jTIQ&#10;xJXTDdcKdtvVcAzCB2SNrWNScCYP89n93RQL7U78Rccy1CKNsC9QgQmhK6T0lSGLfuQ64uQdXG8x&#10;JNnXUvd4SuO2lXmWPUuLDSeCwY6Whqrf8s8myMdbOY6fm9V2+Xoo19+PZv+ziUo9DOJiAiJQDP/h&#10;W/tdK8hfcrieSUdAzi4AAAD//wMAUEsBAi0AFAAGAAgAAAAhANvh9svuAAAAhQEAABMAAAAAAAAA&#10;AAAAAAAAAAAAAFtDb250ZW50X1R5cGVzXS54bWxQSwECLQAUAAYACAAAACEAWvQsW78AAAAVAQAA&#10;CwAAAAAAAAAAAAAAAAAfAQAAX3JlbHMvLnJlbHNQSwECLQAUAAYACAAAACEAof2PC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93"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DcxQAAANwAAAAPAAAAZHJzL2Rvd25yZXYueG1sRI/RisIw&#10;FETfhf2HcBd8EU3tgtSuUWTFZfFBqPoBl+baFpub0kTb9euNIPg4zMwZZrHqTS1u1LrKsoLpJAJB&#10;nFtdcaHgdNyOExDOI2usLZOCf3KwWn4MFphq23FGt4MvRICwS1FB6X2TSunykgy6iW2Ig3e2rUEf&#10;ZFtI3WIX4KaWcRTNpMGKw0KJDf2UlF8OV6MgWc/umySXRX/ZZfvudzs6x8e9UsPPfv0NwlPv3+FX&#10;+08riOdf8DwTjoBcPgAAAP//AwBQSwECLQAUAAYACAAAACEA2+H2y+4AAACFAQAAEwAAAAAAAAAA&#10;AAAAAAAAAAAAW0NvbnRlbnRfVHlwZXNdLnhtbFBLAQItABQABgAIAAAAIQBa9CxbvwAAABUBAAAL&#10;AAAAAAAAAAAAAAAAAB8BAABfcmVscy8ucmVsc1BLAQItABQABgAIAAAAIQCsm3DcxQAAANw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294"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L/wgAAANwAAAAPAAAAZHJzL2Rvd25yZXYueG1sRI9Pi8Iw&#10;FMTvwn6H8Ba8aeofZLcaZSkInkTrwl4fzbMpJi+lydr67TcLgsdhZn7DbHaDs+JOXWg8K5hNMxDE&#10;ldcN1wq+L/vJB4gQkTVaz6TgQQF227fRBnPtez7TvYy1SBAOOSowMba5lKEy5DBMfUucvKvvHMYk&#10;u1rqDvsEd1bOs2wlHTacFgy2VBiqbuWvU7Aojvba3/D0czmGUlpTSnwUSo3fh681iEhDfIWf7YNW&#10;MP9cwv+ZdATk9g8AAP//AwBQSwECLQAUAAYACAAAACEA2+H2y+4AAACFAQAAEwAAAAAAAAAAAAAA&#10;AAAAAAAAW0NvbnRlbnRfVHlwZXNdLnhtbFBLAQItABQABgAIAAAAIQBa9CxbvwAAABUBAAALAAAA&#10;AAAAAAAAAAAAAB8BAABfcmVscy8ucmVsc1BLAQItABQABgAIAAAAIQCFhaL/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95"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luxQAAANwAAAAPAAAAZHJzL2Rvd25yZXYueG1sRI9Ba8JA&#10;FITvBf/D8oRepG5MqdjoKjZQGgKC2np/ZJ9JMPs2ZNeY/ntXKPQ4zMw3zGozmEb01LnasoLZNAJB&#10;XFhdc6ng5/vzZQHCeWSNjWVS8EsONuvR0woTbW98oP7oSxEg7BJUUHnfJlK6oiKDbmpb4uCdbWfQ&#10;B9mVUnd4C3DTyDiK5tJgzWGhwpbSiorL8WoU7A7z8qOYnPrM7/Pr16vFCaa5Us/jYbsE4Wnw/+G/&#10;dqYVxO9v8DgTjoBc3wEAAP//AwBQSwECLQAUAAYACAAAACEA2+H2y+4AAACFAQAAEwAAAAAAAAAA&#10;AAAAAAAAAAAAW0NvbnRlbnRfVHlwZXNdLnhtbFBLAQItABQABgAIAAAAIQBa9CxbvwAAABUBAAAL&#10;AAAAAAAAAAAAAAAAAB8BAABfcmVscy8ucmVsc1BLAQItABQABgAIAAAAIQDeAylu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296"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GLwgAAANwAAAAPAAAAZHJzL2Rvd25yZXYueG1sRI9Pi8Iw&#10;FMTvC36H8IS9rakeiluNIor/8LQqPT+aZ1tsXkoSa/32m4UFj8PM/IaZL3vTiI6cry0rGI8SEMSF&#10;1TWXCq6X7dcUhA/IGhvLpOBFHpaLwcccM22f/EPdOZQiQthnqKAKoc2k9EVFBv3ItsTRu1lnMETp&#10;SqkdPiPcNHKSJKk0WHNcqLCldUXF/fwwCrQ87cvOHtNN98oPLuS53plcqc9hv5qBCNSHd/i/fdAK&#10;Jt8p/J2JR0AufgEAAP//AwBQSwECLQAUAAYACAAAACEA2+H2y+4AAACFAQAAEwAAAAAAAAAAAAAA&#10;AAAAAAAAW0NvbnRlbnRfVHlwZXNdLnhtbFBLAQItABQABgAIAAAAIQBa9CxbvwAAABUBAAALAAAA&#10;AAAAAAAAAAAAAB8BAABfcmVscy8ucmVsc1BLAQItABQABgAIAAAAIQBF5bGL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299"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sLxQAAANwAAAAPAAAAZHJzL2Rvd25yZXYueG1sRI9Ba8JA&#10;FITvgv9heUJvujFI0OgqIi14KIhWsN4e2WcSzL4Nu2tM/323UPA4zMw3zGrTm0Z05HxtWcF0koAg&#10;LqyuuVRw/voYz0H4gKyxsUwKfsjDZj0crDDX9slH6k6hFBHCPkcFVQhtLqUvKjLoJ7Yljt7NOoMh&#10;SldK7fAZ4aaRaZJk0mDNcaHClnYVFffTwyg4dJ+uuVw4S7Zpdj3ODufvfv+u1Nuo3y5BBOrDK/zf&#10;3msF6WIBf2fiEZDrXwAAAP//AwBQSwECLQAUAAYACAAAACEA2+H2y+4AAACFAQAAEwAAAAAAAAAA&#10;AAAAAAAAAAAAW0NvbnRlbnRfVHlwZXNdLnhtbFBLAQItABQABgAIAAAAIQBa9CxbvwAAABUBAAAL&#10;AAAAAAAAAAAAAAAAAB8BAABfcmVscy8ucmVsc1BLAQItABQABgAIAAAAIQCw6osL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300"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lRwQAAANwAAAAPAAAAZHJzL2Rvd25yZXYueG1sRE/LisIw&#10;FN0L/kO4gjtNfaBSjaKCWAZm4QPcXptrW2xuShNt/XuzGJjl4bxXm9aU4k21KywrGA0jEMSp1QVn&#10;Cq6Xw2ABwnlkjaVlUvAhB5t1t7PCWNuGT/Q++0yEEHYxKsi9r2IpXZqTQTe0FXHgHrY26AOsM6lr&#10;bEK4KeU4imbSYMGhIceK9jmlz/PLKEjuu9/P5TZN9s/jeL5o/E87TWZK9XvtdgnCU+v/xX/uRCuY&#10;RGF+OBOOgFx/AQAA//8DAFBLAQItABQABgAIAAAAIQDb4fbL7gAAAIUBAAATAAAAAAAAAAAAAAAA&#10;AAAAAABbQ29udGVudF9UeXBlc10ueG1sUEsBAi0AFAAGAAgAAAAhAFr0LFu/AAAAFQEAAAsAAAAA&#10;AAAAAAAAAAAAHwEAAF9yZWxzLy5yZWxzUEsBAi0AFAAGAAgAAAAhAJptaVHBAAAA3AAAAA8AAAAA&#10;AAAAAAAAAAAABwIAAGRycy9kb3ducmV2LnhtbFBLBQYAAAAAAwADALcAAAD1AgAAAAA=&#10;" path="m1079168,l,2282924r7083,14799l1093081,r-13913,xe" filled="f" stroked="f" strokeweight="0">
                  <v:stroke joinstyle="miter"/>
                  <v:path arrowok="t" o:connecttype="custom" o:connectlocs="1079168,0;0,2282924;7083,2297723;1093081,0;1079168,0" o:connectangles="0,0,0,0,0"/>
                </v:shape>
                <v:shape id="Freeform: Shape 301"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2OxwAAANwAAAAPAAAAZHJzL2Rvd25yZXYueG1sRI9Ba8JA&#10;FITvhf6H5RW81U1qDZq6ilSU4kGoiu3xkX1Ngtm3IbsmaX+9Kwg9DjPzDTNb9KYSLTWutKwgHkYg&#10;iDOrS84VHA/r5wkI55E1VpZJwS85WMwfH2aYatvxJ7V7n4sAYZeigsL7OpXSZQUZdENbEwfvxzYG&#10;fZBNLnWDXYCbSr5EUSINlhwWCqzpvaDsvL8YBevzbrU7TZf5d5x8HV43mPyNxlulBk/98g2Ep97/&#10;h+/tD61gFMVwOxOOgJxfAQAA//8DAFBLAQItABQABgAIAAAAIQDb4fbL7gAAAIUBAAATAAAAAAAA&#10;AAAAAAAAAAAAAABbQ29udGVudF9UeXBlc10ueG1sUEsBAi0AFAAGAAgAAAAhAFr0LFu/AAAAFQEA&#10;AAsAAAAAAAAAAAAAAAAAHwEAAF9yZWxzLy5yZWxzUEsBAi0AFAAGAAgAAAAhAKbxfY7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F4F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C0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66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E61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488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44CC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C2B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E87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A3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4C1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53D80"/>
    <w:multiLevelType w:val="multilevel"/>
    <w:tmpl w:val="B02E4044"/>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CD2321"/>
    <w:multiLevelType w:val="hybridMultilevel"/>
    <w:tmpl w:val="88382BF6"/>
    <w:lvl w:ilvl="0" w:tplc="1B74A8F8">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A6F794D"/>
    <w:multiLevelType w:val="hybridMultilevel"/>
    <w:tmpl w:val="88FA5018"/>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3" w15:restartNumberingAfterBreak="0">
    <w:nsid w:val="0AF0490F"/>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14" w15:restartNumberingAfterBreak="0">
    <w:nsid w:val="0F10B5CB"/>
    <w:multiLevelType w:val="hybridMultilevel"/>
    <w:tmpl w:val="4EC8D622"/>
    <w:lvl w:ilvl="0" w:tplc="59489BA0">
      <w:start w:val="1"/>
      <w:numFmt w:val="bullet"/>
      <w:lvlText w:val=""/>
      <w:lvlJc w:val="left"/>
      <w:pPr>
        <w:ind w:left="720" w:hanging="360"/>
      </w:pPr>
      <w:rPr>
        <w:rFonts w:ascii="Symbol" w:hAnsi="Symbol" w:hint="default"/>
      </w:rPr>
    </w:lvl>
    <w:lvl w:ilvl="1" w:tplc="DCA066CA">
      <w:start w:val="1"/>
      <w:numFmt w:val="bullet"/>
      <w:lvlText w:val="o"/>
      <w:lvlJc w:val="left"/>
      <w:pPr>
        <w:ind w:left="1440" w:hanging="360"/>
      </w:pPr>
      <w:rPr>
        <w:rFonts w:ascii="Courier New" w:hAnsi="Courier New" w:hint="default"/>
      </w:rPr>
    </w:lvl>
    <w:lvl w:ilvl="2" w:tplc="C5D06DEC">
      <w:start w:val="1"/>
      <w:numFmt w:val="bullet"/>
      <w:lvlText w:val=""/>
      <w:lvlJc w:val="left"/>
      <w:pPr>
        <w:ind w:left="2160" w:hanging="360"/>
      </w:pPr>
      <w:rPr>
        <w:rFonts w:ascii="Wingdings" w:hAnsi="Wingdings" w:hint="default"/>
      </w:rPr>
    </w:lvl>
    <w:lvl w:ilvl="3" w:tplc="4FAE5684">
      <w:start w:val="1"/>
      <w:numFmt w:val="bullet"/>
      <w:lvlText w:val=""/>
      <w:lvlJc w:val="left"/>
      <w:pPr>
        <w:ind w:left="2880" w:hanging="360"/>
      </w:pPr>
      <w:rPr>
        <w:rFonts w:ascii="Symbol" w:hAnsi="Symbol" w:hint="default"/>
      </w:rPr>
    </w:lvl>
    <w:lvl w:ilvl="4" w:tplc="93DAB54A">
      <w:start w:val="1"/>
      <w:numFmt w:val="bullet"/>
      <w:lvlText w:val="o"/>
      <w:lvlJc w:val="left"/>
      <w:pPr>
        <w:ind w:left="3600" w:hanging="360"/>
      </w:pPr>
      <w:rPr>
        <w:rFonts w:ascii="Courier New" w:hAnsi="Courier New" w:hint="default"/>
      </w:rPr>
    </w:lvl>
    <w:lvl w:ilvl="5" w:tplc="8E863F92">
      <w:start w:val="1"/>
      <w:numFmt w:val="bullet"/>
      <w:lvlText w:val=""/>
      <w:lvlJc w:val="left"/>
      <w:pPr>
        <w:ind w:left="4320" w:hanging="360"/>
      </w:pPr>
      <w:rPr>
        <w:rFonts w:ascii="Wingdings" w:hAnsi="Wingdings" w:hint="default"/>
      </w:rPr>
    </w:lvl>
    <w:lvl w:ilvl="6" w:tplc="2E4694CA">
      <w:start w:val="1"/>
      <w:numFmt w:val="bullet"/>
      <w:lvlText w:val=""/>
      <w:lvlJc w:val="left"/>
      <w:pPr>
        <w:ind w:left="5040" w:hanging="360"/>
      </w:pPr>
      <w:rPr>
        <w:rFonts w:ascii="Symbol" w:hAnsi="Symbol" w:hint="default"/>
      </w:rPr>
    </w:lvl>
    <w:lvl w:ilvl="7" w:tplc="7E9EE19E">
      <w:start w:val="1"/>
      <w:numFmt w:val="bullet"/>
      <w:lvlText w:val="o"/>
      <w:lvlJc w:val="left"/>
      <w:pPr>
        <w:ind w:left="5760" w:hanging="360"/>
      </w:pPr>
      <w:rPr>
        <w:rFonts w:ascii="Courier New" w:hAnsi="Courier New" w:hint="default"/>
      </w:rPr>
    </w:lvl>
    <w:lvl w:ilvl="8" w:tplc="F386E202">
      <w:start w:val="1"/>
      <w:numFmt w:val="bullet"/>
      <w:lvlText w:val=""/>
      <w:lvlJc w:val="left"/>
      <w:pPr>
        <w:ind w:left="6480" w:hanging="360"/>
      </w:pPr>
      <w:rPr>
        <w:rFonts w:ascii="Wingdings" w:hAnsi="Wingdings" w:hint="default"/>
      </w:rPr>
    </w:lvl>
  </w:abstractNum>
  <w:abstractNum w:abstractNumId="15" w15:restartNumberingAfterBreak="0">
    <w:nsid w:val="101E7529"/>
    <w:multiLevelType w:val="hybridMultilevel"/>
    <w:tmpl w:val="786E877C"/>
    <w:lvl w:ilvl="0" w:tplc="25F82122">
      <w:start w:val="1"/>
      <w:numFmt w:val="decimal"/>
      <w:lvlText w:val="%1."/>
      <w:lvlJc w:val="left"/>
      <w:pPr>
        <w:ind w:left="360" w:hanging="360"/>
      </w:pPr>
      <w:rPr>
        <w:b w:val="0"/>
        <w:bCs/>
        <w:sz w:val="17"/>
        <w:szCs w:val="17"/>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0A428B4"/>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17" w15:restartNumberingAfterBreak="0">
    <w:nsid w:val="1CFEF70A"/>
    <w:multiLevelType w:val="hybridMultilevel"/>
    <w:tmpl w:val="4DECD494"/>
    <w:lvl w:ilvl="0" w:tplc="C06C7654">
      <w:start w:val="1"/>
      <w:numFmt w:val="bullet"/>
      <w:lvlText w:val="·"/>
      <w:lvlJc w:val="left"/>
      <w:pPr>
        <w:ind w:left="720" w:hanging="360"/>
      </w:pPr>
      <w:rPr>
        <w:rFonts w:ascii="Symbol" w:hAnsi="Symbol" w:hint="default"/>
      </w:rPr>
    </w:lvl>
    <w:lvl w:ilvl="1" w:tplc="D1A8B704">
      <w:start w:val="1"/>
      <w:numFmt w:val="bullet"/>
      <w:lvlText w:val="o"/>
      <w:lvlJc w:val="left"/>
      <w:pPr>
        <w:ind w:left="1440" w:hanging="360"/>
      </w:pPr>
      <w:rPr>
        <w:rFonts w:ascii="Courier New" w:hAnsi="Courier New" w:hint="default"/>
      </w:rPr>
    </w:lvl>
    <w:lvl w:ilvl="2" w:tplc="A0D8F120">
      <w:start w:val="1"/>
      <w:numFmt w:val="bullet"/>
      <w:lvlText w:val=""/>
      <w:lvlJc w:val="left"/>
      <w:pPr>
        <w:ind w:left="2160" w:hanging="360"/>
      </w:pPr>
      <w:rPr>
        <w:rFonts w:ascii="Wingdings" w:hAnsi="Wingdings" w:hint="default"/>
      </w:rPr>
    </w:lvl>
    <w:lvl w:ilvl="3" w:tplc="DC007CFE">
      <w:start w:val="1"/>
      <w:numFmt w:val="bullet"/>
      <w:lvlText w:val=""/>
      <w:lvlJc w:val="left"/>
      <w:pPr>
        <w:ind w:left="2880" w:hanging="360"/>
      </w:pPr>
      <w:rPr>
        <w:rFonts w:ascii="Symbol" w:hAnsi="Symbol" w:hint="default"/>
      </w:rPr>
    </w:lvl>
    <w:lvl w:ilvl="4" w:tplc="956E1634">
      <w:start w:val="1"/>
      <w:numFmt w:val="bullet"/>
      <w:lvlText w:val="o"/>
      <w:lvlJc w:val="left"/>
      <w:pPr>
        <w:ind w:left="3600" w:hanging="360"/>
      </w:pPr>
      <w:rPr>
        <w:rFonts w:ascii="Courier New" w:hAnsi="Courier New" w:hint="default"/>
      </w:rPr>
    </w:lvl>
    <w:lvl w:ilvl="5" w:tplc="1C80D35C">
      <w:start w:val="1"/>
      <w:numFmt w:val="bullet"/>
      <w:lvlText w:val=""/>
      <w:lvlJc w:val="left"/>
      <w:pPr>
        <w:ind w:left="4320" w:hanging="360"/>
      </w:pPr>
      <w:rPr>
        <w:rFonts w:ascii="Wingdings" w:hAnsi="Wingdings" w:hint="default"/>
      </w:rPr>
    </w:lvl>
    <w:lvl w:ilvl="6" w:tplc="08784BE8">
      <w:start w:val="1"/>
      <w:numFmt w:val="bullet"/>
      <w:lvlText w:val=""/>
      <w:lvlJc w:val="left"/>
      <w:pPr>
        <w:ind w:left="5040" w:hanging="360"/>
      </w:pPr>
      <w:rPr>
        <w:rFonts w:ascii="Symbol" w:hAnsi="Symbol" w:hint="default"/>
      </w:rPr>
    </w:lvl>
    <w:lvl w:ilvl="7" w:tplc="6D8C1DC4">
      <w:start w:val="1"/>
      <w:numFmt w:val="bullet"/>
      <w:lvlText w:val="o"/>
      <w:lvlJc w:val="left"/>
      <w:pPr>
        <w:ind w:left="5760" w:hanging="360"/>
      </w:pPr>
      <w:rPr>
        <w:rFonts w:ascii="Courier New" w:hAnsi="Courier New" w:hint="default"/>
      </w:rPr>
    </w:lvl>
    <w:lvl w:ilvl="8" w:tplc="6B8C3634">
      <w:start w:val="1"/>
      <w:numFmt w:val="bullet"/>
      <w:lvlText w:val=""/>
      <w:lvlJc w:val="left"/>
      <w:pPr>
        <w:ind w:left="6480" w:hanging="360"/>
      </w:pPr>
      <w:rPr>
        <w:rFonts w:ascii="Wingdings" w:hAnsi="Wingdings" w:hint="default"/>
      </w:rPr>
    </w:lvl>
  </w:abstractNum>
  <w:abstractNum w:abstractNumId="18" w15:restartNumberingAfterBreak="0">
    <w:nsid w:val="23536ABF"/>
    <w:multiLevelType w:val="hybridMultilevel"/>
    <w:tmpl w:val="E1AAC132"/>
    <w:lvl w:ilvl="0" w:tplc="18223848">
      <w:start w:val="1"/>
      <w:numFmt w:val="bullet"/>
      <w:lvlText w:val=""/>
      <w:lvlJc w:val="left"/>
      <w:pPr>
        <w:ind w:left="717" w:hanging="35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DDEC02"/>
    <w:multiLevelType w:val="hybridMultilevel"/>
    <w:tmpl w:val="2E1AE6BA"/>
    <w:lvl w:ilvl="0" w:tplc="2744D356">
      <w:start w:val="1"/>
      <w:numFmt w:val="bullet"/>
      <w:lvlText w:val=""/>
      <w:lvlJc w:val="left"/>
      <w:pPr>
        <w:ind w:left="720" w:hanging="360"/>
      </w:pPr>
      <w:rPr>
        <w:rFonts w:ascii="Symbol" w:hAnsi="Symbol" w:hint="default"/>
      </w:rPr>
    </w:lvl>
    <w:lvl w:ilvl="1" w:tplc="0B0E63EE">
      <w:start w:val="1"/>
      <w:numFmt w:val="bullet"/>
      <w:lvlText w:val="o"/>
      <w:lvlJc w:val="left"/>
      <w:pPr>
        <w:ind w:left="1440" w:hanging="360"/>
      </w:pPr>
      <w:rPr>
        <w:rFonts w:ascii="Courier New" w:hAnsi="Courier New" w:hint="default"/>
      </w:rPr>
    </w:lvl>
    <w:lvl w:ilvl="2" w:tplc="2888739E">
      <w:start w:val="1"/>
      <w:numFmt w:val="bullet"/>
      <w:lvlText w:val=""/>
      <w:lvlJc w:val="left"/>
      <w:pPr>
        <w:ind w:left="2160" w:hanging="360"/>
      </w:pPr>
      <w:rPr>
        <w:rFonts w:ascii="Wingdings" w:hAnsi="Wingdings" w:hint="default"/>
      </w:rPr>
    </w:lvl>
    <w:lvl w:ilvl="3" w:tplc="EE060786">
      <w:start w:val="1"/>
      <w:numFmt w:val="bullet"/>
      <w:lvlText w:val=""/>
      <w:lvlJc w:val="left"/>
      <w:pPr>
        <w:ind w:left="2880" w:hanging="360"/>
      </w:pPr>
      <w:rPr>
        <w:rFonts w:ascii="Symbol" w:hAnsi="Symbol" w:hint="default"/>
      </w:rPr>
    </w:lvl>
    <w:lvl w:ilvl="4" w:tplc="EE8C0A40">
      <w:start w:val="1"/>
      <w:numFmt w:val="bullet"/>
      <w:lvlText w:val="o"/>
      <w:lvlJc w:val="left"/>
      <w:pPr>
        <w:ind w:left="3600" w:hanging="360"/>
      </w:pPr>
      <w:rPr>
        <w:rFonts w:ascii="Courier New" w:hAnsi="Courier New" w:hint="default"/>
      </w:rPr>
    </w:lvl>
    <w:lvl w:ilvl="5" w:tplc="A6E64D44">
      <w:start w:val="1"/>
      <w:numFmt w:val="bullet"/>
      <w:lvlText w:val=""/>
      <w:lvlJc w:val="left"/>
      <w:pPr>
        <w:ind w:left="4320" w:hanging="360"/>
      </w:pPr>
      <w:rPr>
        <w:rFonts w:ascii="Wingdings" w:hAnsi="Wingdings" w:hint="default"/>
      </w:rPr>
    </w:lvl>
    <w:lvl w:ilvl="6" w:tplc="8258FD2E">
      <w:start w:val="1"/>
      <w:numFmt w:val="bullet"/>
      <w:lvlText w:val=""/>
      <w:lvlJc w:val="left"/>
      <w:pPr>
        <w:ind w:left="5040" w:hanging="360"/>
      </w:pPr>
      <w:rPr>
        <w:rFonts w:ascii="Symbol" w:hAnsi="Symbol" w:hint="default"/>
      </w:rPr>
    </w:lvl>
    <w:lvl w:ilvl="7" w:tplc="5B7E7B82">
      <w:start w:val="1"/>
      <w:numFmt w:val="bullet"/>
      <w:lvlText w:val="o"/>
      <w:lvlJc w:val="left"/>
      <w:pPr>
        <w:ind w:left="5760" w:hanging="360"/>
      </w:pPr>
      <w:rPr>
        <w:rFonts w:ascii="Courier New" w:hAnsi="Courier New" w:hint="default"/>
      </w:rPr>
    </w:lvl>
    <w:lvl w:ilvl="8" w:tplc="A2981D82">
      <w:start w:val="1"/>
      <w:numFmt w:val="bullet"/>
      <w:lvlText w:val=""/>
      <w:lvlJc w:val="left"/>
      <w:pPr>
        <w:ind w:left="6480" w:hanging="360"/>
      </w:pPr>
      <w:rPr>
        <w:rFonts w:ascii="Wingdings" w:hAnsi="Wingdings" w:hint="default"/>
      </w:rPr>
    </w:lvl>
  </w:abstractNum>
  <w:abstractNum w:abstractNumId="21" w15:restartNumberingAfterBreak="0">
    <w:nsid w:val="32732464"/>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22" w15:restartNumberingAfterBreak="0">
    <w:nsid w:val="349C7532"/>
    <w:multiLevelType w:val="multilevel"/>
    <w:tmpl w:val="A376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13024D"/>
    <w:multiLevelType w:val="hybridMultilevel"/>
    <w:tmpl w:val="C1D0E24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4" w15:restartNumberingAfterBreak="0">
    <w:nsid w:val="39F65D2F"/>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25" w15:restartNumberingAfterBreak="0">
    <w:nsid w:val="3C73A297"/>
    <w:multiLevelType w:val="multilevel"/>
    <w:tmpl w:val="8B0850C2"/>
    <w:lvl w:ilvl="0">
      <w:start w:val="1"/>
      <w:numFmt w:val="bullet"/>
      <w:lvlText w:val=""/>
      <w:lvlJc w:val="left"/>
      <w:pPr>
        <w:ind w:left="1152"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46D3A6A"/>
    <w:multiLevelType w:val="multilevel"/>
    <w:tmpl w:val="A552BCA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1872" w:hanging="360"/>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8" w15:restartNumberingAfterBreak="0">
    <w:nsid w:val="49AC0133"/>
    <w:multiLevelType w:val="hybridMultilevel"/>
    <w:tmpl w:val="565C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644DEF"/>
    <w:multiLevelType w:val="hybridMultilevel"/>
    <w:tmpl w:val="33C8F798"/>
    <w:lvl w:ilvl="0" w:tplc="E228C5D2">
      <w:start w:val="1"/>
      <w:numFmt w:val="decimal"/>
      <w:lvlText w:val="Table %1"/>
      <w:lvlJc w:val="left"/>
      <w:pPr>
        <w:ind w:left="360" w:hanging="360"/>
      </w:pPr>
      <w:rPr>
        <w:rFonts w:hint="default"/>
      </w:rPr>
    </w:lvl>
    <w:lvl w:ilvl="1" w:tplc="376C864E">
      <w:start w:val="1"/>
      <w:numFmt w:val="decimal"/>
      <w:suff w:val="nothing"/>
      <w:lvlText w:val="Table %2"/>
      <w:lvlJc w:val="left"/>
      <w:pPr>
        <w:ind w:left="-1152" w:firstLine="0"/>
      </w:pPr>
      <w:rPr>
        <w:rFonts w:hint="default"/>
      </w:rPr>
    </w:lvl>
    <w:lvl w:ilvl="2" w:tplc="0C09001B" w:tentative="1">
      <w:start w:val="1"/>
      <w:numFmt w:val="lowerRoman"/>
      <w:lvlText w:val="%3."/>
      <w:lvlJc w:val="right"/>
      <w:pPr>
        <w:ind w:left="1008" w:hanging="180"/>
      </w:pPr>
    </w:lvl>
    <w:lvl w:ilvl="3" w:tplc="0C09000F" w:tentative="1">
      <w:start w:val="1"/>
      <w:numFmt w:val="decimal"/>
      <w:lvlText w:val="%4."/>
      <w:lvlJc w:val="left"/>
      <w:pPr>
        <w:ind w:left="1728" w:hanging="360"/>
      </w:pPr>
    </w:lvl>
    <w:lvl w:ilvl="4" w:tplc="0C090019" w:tentative="1">
      <w:start w:val="1"/>
      <w:numFmt w:val="lowerLetter"/>
      <w:lvlText w:val="%5."/>
      <w:lvlJc w:val="left"/>
      <w:pPr>
        <w:ind w:left="2448" w:hanging="360"/>
      </w:pPr>
    </w:lvl>
    <w:lvl w:ilvl="5" w:tplc="0C09001B" w:tentative="1">
      <w:start w:val="1"/>
      <w:numFmt w:val="lowerRoman"/>
      <w:lvlText w:val="%6."/>
      <w:lvlJc w:val="right"/>
      <w:pPr>
        <w:ind w:left="3168" w:hanging="180"/>
      </w:pPr>
    </w:lvl>
    <w:lvl w:ilvl="6" w:tplc="0C09000F" w:tentative="1">
      <w:start w:val="1"/>
      <w:numFmt w:val="decimal"/>
      <w:lvlText w:val="%7."/>
      <w:lvlJc w:val="left"/>
      <w:pPr>
        <w:ind w:left="3888" w:hanging="360"/>
      </w:pPr>
    </w:lvl>
    <w:lvl w:ilvl="7" w:tplc="0C090019" w:tentative="1">
      <w:start w:val="1"/>
      <w:numFmt w:val="lowerLetter"/>
      <w:lvlText w:val="%8."/>
      <w:lvlJc w:val="left"/>
      <w:pPr>
        <w:ind w:left="4608" w:hanging="360"/>
      </w:pPr>
    </w:lvl>
    <w:lvl w:ilvl="8" w:tplc="0C09001B" w:tentative="1">
      <w:start w:val="1"/>
      <w:numFmt w:val="lowerRoman"/>
      <w:lvlText w:val="%9."/>
      <w:lvlJc w:val="right"/>
      <w:pPr>
        <w:ind w:left="5328" w:hanging="180"/>
      </w:pPr>
    </w:lvl>
  </w:abstractNum>
  <w:abstractNum w:abstractNumId="30" w15:restartNumberingAfterBreak="0">
    <w:nsid w:val="4DAE4820"/>
    <w:multiLevelType w:val="multilevel"/>
    <w:tmpl w:val="8596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2B5C94"/>
    <w:multiLevelType w:val="hybridMultilevel"/>
    <w:tmpl w:val="BBF675F0"/>
    <w:lvl w:ilvl="0" w:tplc="0C64C112">
      <w:start w:val="1"/>
      <w:numFmt w:val="bullet"/>
      <w:lvlText w:val=""/>
      <w:lvlJc w:val="left"/>
      <w:pPr>
        <w:tabs>
          <w:tab w:val="num" w:pos="720"/>
        </w:tabs>
        <w:ind w:left="720" w:hanging="360"/>
      </w:pPr>
      <w:rPr>
        <w:rFonts w:ascii="Symbol" w:hAnsi="Symbol" w:hint="default"/>
      </w:rPr>
    </w:lvl>
    <w:lvl w:ilvl="1" w:tplc="6DFA6B70" w:tentative="1">
      <w:start w:val="1"/>
      <w:numFmt w:val="bullet"/>
      <w:lvlText w:val=""/>
      <w:lvlJc w:val="left"/>
      <w:pPr>
        <w:tabs>
          <w:tab w:val="num" w:pos="1440"/>
        </w:tabs>
        <w:ind w:left="1440" w:hanging="360"/>
      </w:pPr>
      <w:rPr>
        <w:rFonts w:ascii="Symbol" w:hAnsi="Symbol" w:hint="default"/>
      </w:rPr>
    </w:lvl>
    <w:lvl w:ilvl="2" w:tplc="45763D04" w:tentative="1">
      <w:start w:val="1"/>
      <w:numFmt w:val="bullet"/>
      <w:lvlText w:val=""/>
      <w:lvlJc w:val="left"/>
      <w:pPr>
        <w:tabs>
          <w:tab w:val="num" w:pos="2160"/>
        </w:tabs>
        <w:ind w:left="2160" w:hanging="360"/>
      </w:pPr>
      <w:rPr>
        <w:rFonts w:ascii="Symbol" w:hAnsi="Symbol" w:hint="default"/>
      </w:rPr>
    </w:lvl>
    <w:lvl w:ilvl="3" w:tplc="499EC58A" w:tentative="1">
      <w:start w:val="1"/>
      <w:numFmt w:val="bullet"/>
      <w:lvlText w:val=""/>
      <w:lvlJc w:val="left"/>
      <w:pPr>
        <w:tabs>
          <w:tab w:val="num" w:pos="2880"/>
        </w:tabs>
        <w:ind w:left="2880" w:hanging="360"/>
      </w:pPr>
      <w:rPr>
        <w:rFonts w:ascii="Symbol" w:hAnsi="Symbol" w:hint="default"/>
      </w:rPr>
    </w:lvl>
    <w:lvl w:ilvl="4" w:tplc="DC36C344" w:tentative="1">
      <w:start w:val="1"/>
      <w:numFmt w:val="bullet"/>
      <w:lvlText w:val=""/>
      <w:lvlJc w:val="left"/>
      <w:pPr>
        <w:tabs>
          <w:tab w:val="num" w:pos="3600"/>
        </w:tabs>
        <w:ind w:left="3600" w:hanging="360"/>
      </w:pPr>
      <w:rPr>
        <w:rFonts w:ascii="Symbol" w:hAnsi="Symbol" w:hint="default"/>
      </w:rPr>
    </w:lvl>
    <w:lvl w:ilvl="5" w:tplc="BE401E2E" w:tentative="1">
      <w:start w:val="1"/>
      <w:numFmt w:val="bullet"/>
      <w:lvlText w:val=""/>
      <w:lvlJc w:val="left"/>
      <w:pPr>
        <w:tabs>
          <w:tab w:val="num" w:pos="4320"/>
        </w:tabs>
        <w:ind w:left="4320" w:hanging="360"/>
      </w:pPr>
      <w:rPr>
        <w:rFonts w:ascii="Symbol" w:hAnsi="Symbol" w:hint="default"/>
      </w:rPr>
    </w:lvl>
    <w:lvl w:ilvl="6" w:tplc="414A465E" w:tentative="1">
      <w:start w:val="1"/>
      <w:numFmt w:val="bullet"/>
      <w:lvlText w:val=""/>
      <w:lvlJc w:val="left"/>
      <w:pPr>
        <w:tabs>
          <w:tab w:val="num" w:pos="5040"/>
        </w:tabs>
        <w:ind w:left="5040" w:hanging="360"/>
      </w:pPr>
      <w:rPr>
        <w:rFonts w:ascii="Symbol" w:hAnsi="Symbol" w:hint="default"/>
      </w:rPr>
    </w:lvl>
    <w:lvl w:ilvl="7" w:tplc="EBC0A600" w:tentative="1">
      <w:start w:val="1"/>
      <w:numFmt w:val="bullet"/>
      <w:lvlText w:val=""/>
      <w:lvlJc w:val="left"/>
      <w:pPr>
        <w:tabs>
          <w:tab w:val="num" w:pos="5760"/>
        </w:tabs>
        <w:ind w:left="5760" w:hanging="360"/>
      </w:pPr>
      <w:rPr>
        <w:rFonts w:ascii="Symbol" w:hAnsi="Symbol" w:hint="default"/>
      </w:rPr>
    </w:lvl>
    <w:lvl w:ilvl="8" w:tplc="F864D27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F0A4C64"/>
    <w:multiLevelType w:val="hybridMultilevel"/>
    <w:tmpl w:val="502C14D6"/>
    <w:lvl w:ilvl="0" w:tplc="B06EDCB6">
      <w:start w:val="1"/>
      <w:numFmt w:val="decimal"/>
      <w:pStyle w:val="Annexureheading"/>
      <w:suff w:val="nothing"/>
      <w:lvlText w:val="Annexure %1"/>
      <w:lvlJc w:val="left"/>
      <w:pPr>
        <w:ind w:left="0" w:firstLine="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1130A4"/>
    <w:multiLevelType w:val="multilevel"/>
    <w:tmpl w:val="9BEC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2CB033"/>
    <w:multiLevelType w:val="multilevel"/>
    <w:tmpl w:val="B7DABC02"/>
    <w:lvl w:ilvl="0">
      <w:start w:val="1"/>
      <w:numFmt w:val="bullet"/>
      <w:lvlText w:val=""/>
      <w:lvlJc w:val="left"/>
      <w:pPr>
        <w:ind w:left="1152"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42D25AF"/>
    <w:multiLevelType w:val="multilevel"/>
    <w:tmpl w:val="9BA6B826"/>
    <w:lvl w:ilvl="0">
      <w:start w:val="1"/>
      <w:numFmt w:val="bullet"/>
      <w:lvlText w:val=""/>
      <w:lvlJc w:val="left"/>
      <w:pPr>
        <w:ind w:left="1152"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6E82006"/>
    <w:multiLevelType w:val="hybridMultilevel"/>
    <w:tmpl w:val="AB1E4240"/>
    <w:lvl w:ilvl="0" w:tplc="4C0E13EC">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8432924"/>
    <w:multiLevelType w:val="multilevel"/>
    <w:tmpl w:val="ABFA1930"/>
    <w:lvl w:ilvl="0">
      <w:start w:val="1"/>
      <w:numFmt w:val="bullet"/>
      <w:lvlText w:val=""/>
      <w:lvlJc w:val="left"/>
      <w:pPr>
        <w:tabs>
          <w:tab w:val="num" w:pos="1080"/>
        </w:tabs>
        <w:ind w:left="1080" w:hanging="360"/>
      </w:pPr>
      <w:rPr>
        <w:rFonts w:ascii="Symbol" w:hAnsi="Symbol" w:hint="default"/>
        <w:b w:val="0"/>
        <w:i w:val="0"/>
        <w:vanish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872"/>
        </w:tabs>
        <w:ind w:left="1872" w:hanging="360"/>
      </w:pPr>
      <w:rPr>
        <w:rFonts w:ascii="Symbol" w:hAnsi="Symbol" w:hint="default"/>
        <w:b w:val="0"/>
        <w:i w:val="0"/>
        <w:vanish w:val="0"/>
        <w:color w:val="auto"/>
        <w:sz w:val="22"/>
      </w:rPr>
    </w:lvl>
    <w:lvl w:ilvl="3">
      <w:start w:val="1"/>
      <w:numFmt w:val="bullet"/>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38" w15:restartNumberingAfterBreak="0">
    <w:nsid w:val="7A235E0F"/>
    <w:multiLevelType w:val="multilevel"/>
    <w:tmpl w:val="65502A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6C67"/>
    <w:multiLevelType w:val="hybridMultilevel"/>
    <w:tmpl w:val="39EA1718"/>
    <w:lvl w:ilvl="0" w:tplc="58925038">
      <w:start w:val="1"/>
      <w:numFmt w:val="decimal"/>
      <w:suff w:val="nothing"/>
      <w:lvlText w:val="Figure %1"/>
      <w:lvlJc w:val="left"/>
      <w:pPr>
        <w:ind w:left="0" w:firstLine="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D44514"/>
    <w:multiLevelType w:val="multilevel"/>
    <w:tmpl w:val="A2EE32D0"/>
    <w:lvl w:ilvl="0">
      <w:start w:val="1"/>
      <w:numFmt w:val="lowerLetter"/>
      <w:pStyle w:val="Heading2numbered"/>
      <w:lvlText w:val="(%1)"/>
      <w:lvlJc w:val="left"/>
      <w:pPr>
        <w:tabs>
          <w:tab w:val="num" w:pos="360"/>
        </w:tabs>
        <w:ind w:left="360" w:hanging="360"/>
      </w:pPr>
      <w:rPr>
        <w:rFonts w:hint="default"/>
      </w:rPr>
    </w:lvl>
    <w:lvl w:ilvl="1">
      <w:start w:val="1"/>
      <w:numFmt w:val="lowerRoman"/>
      <w:pStyle w:val="Heading3numbered"/>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Heading1numbered"/>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Heading4numbered"/>
      <w:lvlText w:val="%9."/>
      <w:lvlJc w:val="left"/>
      <w:pPr>
        <w:tabs>
          <w:tab w:val="num" w:pos="1296"/>
        </w:tabs>
        <w:ind w:left="1296" w:hanging="504"/>
      </w:pPr>
      <w:rPr>
        <w:rFonts w:hint="default"/>
      </w:rPr>
    </w:lvl>
  </w:abstractNum>
  <w:num w:numId="1" w16cid:durableId="1031954936">
    <w:abstractNumId w:val="34"/>
  </w:num>
  <w:num w:numId="2" w16cid:durableId="742029710">
    <w:abstractNumId w:val="25"/>
  </w:num>
  <w:num w:numId="3" w16cid:durableId="407769971">
    <w:abstractNumId w:val="35"/>
  </w:num>
  <w:num w:numId="4" w16cid:durableId="169029550">
    <w:abstractNumId w:val="20"/>
  </w:num>
  <w:num w:numId="5" w16cid:durableId="1015300397">
    <w:abstractNumId w:val="14"/>
  </w:num>
  <w:num w:numId="6" w16cid:durableId="1082213644">
    <w:abstractNumId w:val="17"/>
  </w:num>
  <w:num w:numId="7" w16cid:durableId="1866866356">
    <w:abstractNumId w:val="9"/>
  </w:num>
  <w:num w:numId="8" w16cid:durableId="341204052">
    <w:abstractNumId w:val="24"/>
  </w:num>
  <w:num w:numId="9" w16cid:durableId="1771898263">
    <w:abstractNumId w:val="21"/>
  </w:num>
  <w:num w:numId="10" w16cid:durableId="2076707766">
    <w:abstractNumId w:val="16"/>
  </w:num>
  <w:num w:numId="11" w16cid:durableId="928660620">
    <w:abstractNumId w:val="13"/>
  </w:num>
  <w:num w:numId="12" w16cid:durableId="1522817418">
    <w:abstractNumId w:val="23"/>
  </w:num>
  <w:num w:numId="13" w16cid:durableId="263273271">
    <w:abstractNumId w:val="12"/>
  </w:num>
  <w:num w:numId="14" w16cid:durableId="247811929">
    <w:abstractNumId w:val="28"/>
  </w:num>
  <w:num w:numId="15" w16cid:durableId="1818835271">
    <w:abstractNumId w:val="15"/>
  </w:num>
  <w:num w:numId="16" w16cid:durableId="1411460046">
    <w:abstractNumId w:val="39"/>
  </w:num>
  <w:num w:numId="17" w16cid:durableId="1396705537">
    <w:abstractNumId w:val="10"/>
  </w:num>
  <w:num w:numId="18" w16cid:durableId="1068306615">
    <w:abstractNumId w:val="32"/>
  </w:num>
  <w:num w:numId="19" w16cid:durableId="243148719">
    <w:abstractNumId w:val="29"/>
  </w:num>
  <w:num w:numId="20" w16cid:durableId="885872486">
    <w:abstractNumId w:val="18"/>
  </w:num>
  <w:num w:numId="21" w16cid:durableId="119737259">
    <w:abstractNumId w:val="39"/>
    <w:lvlOverride w:ilvl="0">
      <w:startOverride w:val="4"/>
    </w:lvlOverride>
  </w:num>
  <w:num w:numId="22" w16cid:durableId="1194687731">
    <w:abstractNumId w:val="39"/>
    <w:lvlOverride w:ilvl="0">
      <w:startOverride w:val="10"/>
    </w:lvlOverride>
  </w:num>
  <w:num w:numId="23" w16cid:durableId="412624174">
    <w:abstractNumId w:val="38"/>
  </w:num>
  <w:num w:numId="24" w16cid:durableId="195821587">
    <w:abstractNumId w:val="33"/>
  </w:num>
  <w:num w:numId="25" w16cid:durableId="1985312493">
    <w:abstractNumId w:val="22"/>
  </w:num>
  <w:num w:numId="26" w16cid:durableId="954406137">
    <w:abstractNumId w:val="30"/>
  </w:num>
  <w:num w:numId="27" w16cid:durableId="414984070">
    <w:abstractNumId w:val="27"/>
  </w:num>
  <w:num w:numId="28" w16cid:durableId="2077315204">
    <w:abstractNumId w:val="40"/>
  </w:num>
  <w:num w:numId="29" w16cid:durableId="723993863">
    <w:abstractNumId w:val="41"/>
  </w:num>
  <w:num w:numId="30" w16cid:durableId="1642073361">
    <w:abstractNumId w:val="19"/>
  </w:num>
  <w:num w:numId="31" w16cid:durableId="289364847">
    <w:abstractNumId w:val="27"/>
  </w:num>
  <w:num w:numId="32" w16cid:durableId="1931740328">
    <w:abstractNumId w:val="27"/>
  </w:num>
  <w:num w:numId="33" w16cid:durableId="1453400199">
    <w:abstractNumId w:val="27"/>
  </w:num>
  <w:num w:numId="34" w16cid:durableId="634682972">
    <w:abstractNumId w:val="27"/>
  </w:num>
  <w:num w:numId="35" w16cid:durableId="1943142796">
    <w:abstractNumId w:val="41"/>
  </w:num>
  <w:num w:numId="36" w16cid:durableId="156894356">
    <w:abstractNumId w:val="41"/>
  </w:num>
  <w:num w:numId="37" w16cid:durableId="1488589162">
    <w:abstractNumId w:val="41"/>
  </w:num>
  <w:num w:numId="38" w16cid:durableId="1230967293">
    <w:abstractNumId w:val="41"/>
  </w:num>
  <w:num w:numId="39" w16cid:durableId="956059123">
    <w:abstractNumId w:val="41"/>
  </w:num>
  <w:num w:numId="40" w16cid:durableId="1000044637">
    <w:abstractNumId w:val="41"/>
  </w:num>
  <w:num w:numId="41" w16cid:durableId="1684555638">
    <w:abstractNumId w:val="41"/>
  </w:num>
  <w:num w:numId="42" w16cid:durableId="951204507">
    <w:abstractNumId w:val="41"/>
  </w:num>
  <w:num w:numId="43" w16cid:durableId="2143885074">
    <w:abstractNumId w:val="40"/>
  </w:num>
  <w:num w:numId="44" w16cid:durableId="1150486370">
    <w:abstractNumId w:val="41"/>
  </w:num>
  <w:num w:numId="45" w16cid:durableId="1682128133">
    <w:abstractNumId w:val="19"/>
  </w:num>
  <w:num w:numId="46" w16cid:durableId="771244563">
    <w:abstractNumId w:val="19"/>
  </w:num>
  <w:num w:numId="47" w16cid:durableId="159781665">
    <w:abstractNumId w:val="19"/>
  </w:num>
  <w:num w:numId="48" w16cid:durableId="69809795">
    <w:abstractNumId w:val="19"/>
  </w:num>
  <w:num w:numId="49" w16cid:durableId="1180238396">
    <w:abstractNumId w:val="7"/>
  </w:num>
  <w:num w:numId="50" w16cid:durableId="725639113">
    <w:abstractNumId w:val="6"/>
  </w:num>
  <w:num w:numId="51" w16cid:durableId="1935743159">
    <w:abstractNumId w:val="5"/>
  </w:num>
  <w:num w:numId="52" w16cid:durableId="1843275385">
    <w:abstractNumId w:val="4"/>
  </w:num>
  <w:num w:numId="53" w16cid:durableId="51774369">
    <w:abstractNumId w:val="8"/>
  </w:num>
  <w:num w:numId="54" w16cid:durableId="2145199416">
    <w:abstractNumId w:val="3"/>
  </w:num>
  <w:num w:numId="55" w16cid:durableId="1556888271">
    <w:abstractNumId w:val="2"/>
  </w:num>
  <w:num w:numId="56" w16cid:durableId="1878545202">
    <w:abstractNumId w:val="1"/>
  </w:num>
  <w:num w:numId="57" w16cid:durableId="1183084121">
    <w:abstractNumId w:val="0"/>
  </w:num>
  <w:num w:numId="58" w16cid:durableId="1036083265">
    <w:abstractNumId w:val="8"/>
  </w:num>
  <w:num w:numId="59" w16cid:durableId="506363151">
    <w:abstractNumId w:val="3"/>
  </w:num>
  <w:num w:numId="60" w16cid:durableId="802193225">
    <w:abstractNumId w:val="2"/>
  </w:num>
  <w:num w:numId="61" w16cid:durableId="1014922736">
    <w:abstractNumId w:val="1"/>
  </w:num>
  <w:num w:numId="62" w16cid:durableId="2068724033">
    <w:abstractNumId w:val="0"/>
  </w:num>
  <w:num w:numId="63" w16cid:durableId="1646743046">
    <w:abstractNumId w:val="4"/>
  </w:num>
  <w:num w:numId="64" w16cid:durableId="1524326346">
    <w:abstractNumId w:val="7"/>
  </w:num>
  <w:num w:numId="65" w16cid:durableId="67308057">
    <w:abstractNumId w:val="6"/>
  </w:num>
  <w:num w:numId="66" w16cid:durableId="173107681">
    <w:abstractNumId w:val="5"/>
  </w:num>
  <w:num w:numId="67" w16cid:durableId="64645373">
    <w:abstractNumId w:val="27"/>
  </w:num>
  <w:num w:numId="68" w16cid:durableId="969476930">
    <w:abstractNumId w:val="36"/>
  </w:num>
  <w:num w:numId="69" w16cid:durableId="1505583141">
    <w:abstractNumId w:val="26"/>
  </w:num>
  <w:num w:numId="70" w16cid:durableId="1687056422">
    <w:abstractNumId w:val="31"/>
  </w:num>
  <w:num w:numId="71" w16cid:durableId="1961565010">
    <w:abstractNumId w:val="11"/>
  </w:num>
  <w:num w:numId="72" w16cid:durableId="1577130249">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DF"/>
    <w:rsid w:val="00000413"/>
    <w:rsid w:val="000006D2"/>
    <w:rsid w:val="0000086E"/>
    <w:rsid w:val="00000EA2"/>
    <w:rsid w:val="00000F47"/>
    <w:rsid w:val="000011AE"/>
    <w:rsid w:val="0000190F"/>
    <w:rsid w:val="00001DD7"/>
    <w:rsid w:val="00001ED3"/>
    <w:rsid w:val="00002341"/>
    <w:rsid w:val="0000263A"/>
    <w:rsid w:val="00002772"/>
    <w:rsid w:val="00002D3A"/>
    <w:rsid w:val="000040C7"/>
    <w:rsid w:val="00004C76"/>
    <w:rsid w:val="00004D31"/>
    <w:rsid w:val="00005126"/>
    <w:rsid w:val="0000523C"/>
    <w:rsid w:val="000052D9"/>
    <w:rsid w:val="00005A2C"/>
    <w:rsid w:val="000073B5"/>
    <w:rsid w:val="000073CC"/>
    <w:rsid w:val="00010234"/>
    <w:rsid w:val="000107EE"/>
    <w:rsid w:val="00010CCC"/>
    <w:rsid w:val="00010F27"/>
    <w:rsid w:val="000115F3"/>
    <w:rsid w:val="00011BAC"/>
    <w:rsid w:val="00011FCA"/>
    <w:rsid w:val="00011FE8"/>
    <w:rsid w:val="00012F6F"/>
    <w:rsid w:val="00014213"/>
    <w:rsid w:val="000143F4"/>
    <w:rsid w:val="000144D6"/>
    <w:rsid w:val="00014B55"/>
    <w:rsid w:val="00014C2A"/>
    <w:rsid w:val="00015189"/>
    <w:rsid w:val="000154C3"/>
    <w:rsid w:val="00015B36"/>
    <w:rsid w:val="00016523"/>
    <w:rsid w:val="000165AC"/>
    <w:rsid w:val="00016A35"/>
    <w:rsid w:val="00017B51"/>
    <w:rsid w:val="00017FD3"/>
    <w:rsid w:val="000208AD"/>
    <w:rsid w:val="00020A95"/>
    <w:rsid w:val="00020E3E"/>
    <w:rsid w:val="00021730"/>
    <w:rsid w:val="0002196C"/>
    <w:rsid w:val="00021AD2"/>
    <w:rsid w:val="00021AD9"/>
    <w:rsid w:val="0002204A"/>
    <w:rsid w:val="0002230D"/>
    <w:rsid w:val="000229CA"/>
    <w:rsid w:val="000229F2"/>
    <w:rsid w:val="00022CE1"/>
    <w:rsid w:val="00022DB9"/>
    <w:rsid w:val="00022ED3"/>
    <w:rsid w:val="00022FC0"/>
    <w:rsid w:val="0002310C"/>
    <w:rsid w:val="000237B4"/>
    <w:rsid w:val="000238DB"/>
    <w:rsid w:val="00023B93"/>
    <w:rsid w:val="00023BF3"/>
    <w:rsid w:val="00023F5B"/>
    <w:rsid w:val="00024883"/>
    <w:rsid w:val="00026811"/>
    <w:rsid w:val="00027200"/>
    <w:rsid w:val="000272A3"/>
    <w:rsid w:val="0002756F"/>
    <w:rsid w:val="00027E58"/>
    <w:rsid w:val="000303DC"/>
    <w:rsid w:val="00030462"/>
    <w:rsid w:val="000307F9"/>
    <w:rsid w:val="000311B3"/>
    <w:rsid w:val="0003122A"/>
    <w:rsid w:val="0003145F"/>
    <w:rsid w:val="00031EC0"/>
    <w:rsid w:val="00032199"/>
    <w:rsid w:val="00032254"/>
    <w:rsid w:val="00032E9A"/>
    <w:rsid w:val="000332FF"/>
    <w:rsid w:val="000335A9"/>
    <w:rsid w:val="0003416D"/>
    <w:rsid w:val="00034722"/>
    <w:rsid w:val="00034855"/>
    <w:rsid w:val="00034BA6"/>
    <w:rsid w:val="00034BDA"/>
    <w:rsid w:val="00034C2E"/>
    <w:rsid w:val="00034E33"/>
    <w:rsid w:val="00035627"/>
    <w:rsid w:val="000363AC"/>
    <w:rsid w:val="00036484"/>
    <w:rsid w:val="00036E89"/>
    <w:rsid w:val="00036FD2"/>
    <w:rsid w:val="00037B44"/>
    <w:rsid w:val="00037F56"/>
    <w:rsid w:val="00037FBE"/>
    <w:rsid w:val="00040594"/>
    <w:rsid w:val="0004072E"/>
    <w:rsid w:val="000412E7"/>
    <w:rsid w:val="00041743"/>
    <w:rsid w:val="00041A21"/>
    <w:rsid w:val="00042147"/>
    <w:rsid w:val="00042434"/>
    <w:rsid w:val="000425AA"/>
    <w:rsid w:val="00042621"/>
    <w:rsid w:val="00042661"/>
    <w:rsid w:val="00042D90"/>
    <w:rsid w:val="00042DB0"/>
    <w:rsid w:val="0004351D"/>
    <w:rsid w:val="00043711"/>
    <w:rsid w:val="00044464"/>
    <w:rsid w:val="0004468B"/>
    <w:rsid w:val="000457AA"/>
    <w:rsid w:val="000457E0"/>
    <w:rsid w:val="000458B0"/>
    <w:rsid w:val="000458C6"/>
    <w:rsid w:val="00046608"/>
    <w:rsid w:val="00046730"/>
    <w:rsid w:val="00046B1C"/>
    <w:rsid w:val="00047002"/>
    <w:rsid w:val="0004765B"/>
    <w:rsid w:val="000477C9"/>
    <w:rsid w:val="00047D3A"/>
    <w:rsid w:val="00047EE1"/>
    <w:rsid w:val="00050A1E"/>
    <w:rsid w:val="00050F4D"/>
    <w:rsid w:val="000510C8"/>
    <w:rsid w:val="00051D67"/>
    <w:rsid w:val="000534D2"/>
    <w:rsid w:val="00053B53"/>
    <w:rsid w:val="0005402F"/>
    <w:rsid w:val="000547C6"/>
    <w:rsid w:val="0005490B"/>
    <w:rsid w:val="00054BDC"/>
    <w:rsid w:val="00054E8E"/>
    <w:rsid w:val="0005580D"/>
    <w:rsid w:val="00055F52"/>
    <w:rsid w:val="00056F0A"/>
    <w:rsid w:val="00057388"/>
    <w:rsid w:val="00057550"/>
    <w:rsid w:val="0005759A"/>
    <w:rsid w:val="0005770B"/>
    <w:rsid w:val="00057737"/>
    <w:rsid w:val="00057A0E"/>
    <w:rsid w:val="00060859"/>
    <w:rsid w:val="0006125B"/>
    <w:rsid w:val="00062119"/>
    <w:rsid w:val="00063009"/>
    <w:rsid w:val="00064B18"/>
    <w:rsid w:val="00065A93"/>
    <w:rsid w:val="000663A6"/>
    <w:rsid w:val="00066C5D"/>
    <w:rsid w:val="00066E49"/>
    <w:rsid w:val="00066E56"/>
    <w:rsid w:val="000670E1"/>
    <w:rsid w:val="00067491"/>
    <w:rsid w:val="00067E7F"/>
    <w:rsid w:val="00070529"/>
    <w:rsid w:val="00070543"/>
    <w:rsid w:val="00070D57"/>
    <w:rsid w:val="00070FFF"/>
    <w:rsid w:val="000714BE"/>
    <w:rsid w:val="00071D24"/>
    <w:rsid w:val="00071ED2"/>
    <w:rsid w:val="000722C7"/>
    <w:rsid w:val="0007240E"/>
    <w:rsid w:val="00072C85"/>
    <w:rsid w:val="00072E30"/>
    <w:rsid w:val="00074030"/>
    <w:rsid w:val="0007501B"/>
    <w:rsid w:val="0007527C"/>
    <w:rsid w:val="00075311"/>
    <w:rsid w:val="00075E6C"/>
    <w:rsid w:val="00075FB1"/>
    <w:rsid w:val="00075FEF"/>
    <w:rsid w:val="00076311"/>
    <w:rsid w:val="00076803"/>
    <w:rsid w:val="00076EB9"/>
    <w:rsid w:val="000774D4"/>
    <w:rsid w:val="00077558"/>
    <w:rsid w:val="0008019F"/>
    <w:rsid w:val="00080390"/>
    <w:rsid w:val="000809FD"/>
    <w:rsid w:val="0008183A"/>
    <w:rsid w:val="00081865"/>
    <w:rsid w:val="00081FC1"/>
    <w:rsid w:val="000822B4"/>
    <w:rsid w:val="000823F2"/>
    <w:rsid w:val="00082D4C"/>
    <w:rsid w:val="000832BF"/>
    <w:rsid w:val="0008563E"/>
    <w:rsid w:val="00085A4B"/>
    <w:rsid w:val="00085AF9"/>
    <w:rsid w:val="00085EC6"/>
    <w:rsid w:val="00085F7A"/>
    <w:rsid w:val="0008635C"/>
    <w:rsid w:val="00087072"/>
    <w:rsid w:val="00087325"/>
    <w:rsid w:val="0008778E"/>
    <w:rsid w:val="00087C30"/>
    <w:rsid w:val="00090655"/>
    <w:rsid w:val="00090986"/>
    <w:rsid w:val="00090AAA"/>
    <w:rsid w:val="00090AD7"/>
    <w:rsid w:val="00090B58"/>
    <w:rsid w:val="000910AF"/>
    <w:rsid w:val="000919D2"/>
    <w:rsid w:val="00092B74"/>
    <w:rsid w:val="00092DB6"/>
    <w:rsid w:val="0009310C"/>
    <w:rsid w:val="000933F1"/>
    <w:rsid w:val="0009388F"/>
    <w:rsid w:val="00093DBD"/>
    <w:rsid w:val="000941C3"/>
    <w:rsid w:val="000944B5"/>
    <w:rsid w:val="00094839"/>
    <w:rsid w:val="00096002"/>
    <w:rsid w:val="000961FB"/>
    <w:rsid w:val="0009644D"/>
    <w:rsid w:val="000966B3"/>
    <w:rsid w:val="00096CE3"/>
    <w:rsid w:val="000A0CC7"/>
    <w:rsid w:val="000A0F64"/>
    <w:rsid w:val="000A1586"/>
    <w:rsid w:val="000A1A1D"/>
    <w:rsid w:val="000A220F"/>
    <w:rsid w:val="000A229E"/>
    <w:rsid w:val="000A25A3"/>
    <w:rsid w:val="000A26DF"/>
    <w:rsid w:val="000A2749"/>
    <w:rsid w:val="000A29E2"/>
    <w:rsid w:val="000A2CD2"/>
    <w:rsid w:val="000A304B"/>
    <w:rsid w:val="000A3232"/>
    <w:rsid w:val="000A32DF"/>
    <w:rsid w:val="000A35AB"/>
    <w:rsid w:val="000A393F"/>
    <w:rsid w:val="000A3D5B"/>
    <w:rsid w:val="000A40EC"/>
    <w:rsid w:val="000A4D16"/>
    <w:rsid w:val="000A544D"/>
    <w:rsid w:val="000A5CDC"/>
    <w:rsid w:val="000A613D"/>
    <w:rsid w:val="000A70E5"/>
    <w:rsid w:val="000A7863"/>
    <w:rsid w:val="000B0412"/>
    <w:rsid w:val="000B150D"/>
    <w:rsid w:val="000B24CA"/>
    <w:rsid w:val="000B2542"/>
    <w:rsid w:val="000B29AD"/>
    <w:rsid w:val="000B312B"/>
    <w:rsid w:val="000B3C22"/>
    <w:rsid w:val="000B4003"/>
    <w:rsid w:val="000B407A"/>
    <w:rsid w:val="000B48E4"/>
    <w:rsid w:val="000B4DC1"/>
    <w:rsid w:val="000B563E"/>
    <w:rsid w:val="000B6071"/>
    <w:rsid w:val="000B6078"/>
    <w:rsid w:val="000B6108"/>
    <w:rsid w:val="000B613B"/>
    <w:rsid w:val="000B66A8"/>
    <w:rsid w:val="000B778F"/>
    <w:rsid w:val="000B7D4B"/>
    <w:rsid w:val="000C0574"/>
    <w:rsid w:val="000C0B0E"/>
    <w:rsid w:val="000C0E28"/>
    <w:rsid w:val="000C0F17"/>
    <w:rsid w:val="000C1DB5"/>
    <w:rsid w:val="000C2175"/>
    <w:rsid w:val="000C2B2C"/>
    <w:rsid w:val="000C3262"/>
    <w:rsid w:val="000C32E9"/>
    <w:rsid w:val="000C3314"/>
    <w:rsid w:val="000C361D"/>
    <w:rsid w:val="000C3950"/>
    <w:rsid w:val="000C3BEC"/>
    <w:rsid w:val="000C40C2"/>
    <w:rsid w:val="000C4E79"/>
    <w:rsid w:val="000C4F08"/>
    <w:rsid w:val="000C5020"/>
    <w:rsid w:val="000C5139"/>
    <w:rsid w:val="000C54BB"/>
    <w:rsid w:val="000C57B7"/>
    <w:rsid w:val="000C6083"/>
    <w:rsid w:val="000C6372"/>
    <w:rsid w:val="000C75CA"/>
    <w:rsid w:val="000C75D8"/>
    <w:rsid w:val="000C842D"/>
    <w:rsid w:val="000D0090"/>
    <w:rsid w:val="000D06FB"/>
    <w:rsid w:val="000D119A"/>
    <w:rsid w:val="000D11DF"/>
    <w:rsid w:val="000D16C5"/>
    <w:rsid w:val="000D1F55"/>
    <w:rsid w:val="000D2064"/>
    <w:rsid w:val="000D27B6"/>
    <w:rsid w:val="000D2E57"/>
    <w:rsid w:val="000D42A8"/>
    <w:rsid w:val="000D44DC"/>
    <w:rsid w:val="000D4E7D"/>
    <w:rsid w:val="000D52B3"/>
    <w:rsid w:val="000D5BE0"/>
    <w:rsid w:val="000D6154"/>
    <w:rsid w:val="000D633D"/>
    <w:rsid w:val="000D685F"/>
    <w:rsid w:val="000D6E80"/>
    <w:rsid w:val="000D720E"/>
    <w:rsid w:val="000D77EB"/>
    <w:rsid w:val="000D7B98"/>
    <w:rsid w:val="000D7E40"/>
    <w:rsid w:val="000E0D14"/>
    <w:rsid w:val="000E12A8"/>
    <w:rsid w:val="000E12D0"/>
    <w:rsid w:val="000E2F01"/>
    <w:rsid w:val="000E392D"/>
    <w:rsid w:val="000E3E12"/>
    <w:rsid w:val="000E46B1"/>
    <w:rsid w:val="000E4DFC"/>
    <w:rsid w:val="000E5ACA"/>
    <w:rsid w:val="000E63B3"/>
    <w:rsid w:val="000E66B1"/>
    <w:rsid w:val="000E6A39"/>
    <w:rsid w:val="000E7265"/>
    <w:rsid w:val="000E7C06"/>
    <w:rsid w:val="000F07B6"/>
    <w:rsid w:val="000F0E85"/>
    <w:rsid w:val="000F1227"/>
    <w:rsid w:val="000F158E"/>
    <w:rsid w:val="000F2C18"/>
    <w:rsid w:val="000F30B7"/>
    <w:rsid w:val="000F3250"/>
    <w:rsid w:val="000F33F1"/>
    <w:rsid w:val="000F3AD3"/>
    <w:rsid w:val="000F4288"/>
    <w:rsid w:val="000F558E"/>
    <w:rsid w:val="000F5C2E"/>
    <w:rsid w:val="000F668B"/>
    <w:rsid w:val="000F7165"/>
    <w:rsid w:val="000F7F9D"/>
    <w:rsid w:val="0010042B"/>
    <w:rsid w:val="00100705"/>
    <w:rsid w:val="00100B37"/>
    <w:rsid w:val="00100F2E"/>
    <w:rsid w:val="001012AE"/>
    <w:rsid w:val="00101C1D"/>
    <w:rsid w:val="00102099"/>
    <w:rsid w:val="00102379"/>
    <w:rsid w:val="00102F63"/>
    <w:rsid w:val="00104289"/>
    <w:rsid w:val="001049BF"/>
    <w:rsid w:val="00104EA2"/>
    <w:rsid w:val="00105E48"/>
    <w:rsid w:val="001065D6"/>
    <w:rsid w:val="0010688F"/>
    <w:rsid w:val="00106AE7"/>
    <w:rsid w:val="001071AD"/>
    <w:rsid w:val="001072BB"/>
    <w:rsid w:val="0010756E"/>
    <w:rsid w:val="0010779F"/>
    <w:rsid w:val="0010792D"/>
    <w:rsid w:val="00107F65"/>
    <w:rsid w:val="001101C7"/>
    <w:rsid w:val="00110347"/>
    <w:rsid w:val="001105D2"/>
    <w:rsid w:val="001106EC"/>
    <w:rsid w:val="001106F3"/>
    <w:rsid w:val="00110BC6"/>
    <w:rsid w:val="00110EEB"/>
    <w:rsid w:val="00111098"/>
    <w:rsid w:val="00111D15"/>
    <w:rsid w:val="00111DD0"/>
    <w:rsid w:val="00111F21"/>
    <w:rsid w:val="0011229B"/>
    <w:rsid w:val="00114BD4"/>
    <w:rsid w:val="00114D6C"/>
    <w:rsid w:val="00115104"/>
    <w:rsid w:val="00115B27"/>
    <w:rsid w:val="00115CAC"/>
    <w:rsid w:val="001163E0"/>
    <w:rsid w:val="00116594"/>
    <w:rsid w:val="001166E6"/>
    <w:rsid w:val="00116EA7"/>
    <w:rsid w:val="0011727D"/>
    <w:rsid w:val="0011738F"/>
    <w:rsid w:val="001173AD"/>
    <w:rsid w:val="001175F9"/>
    <w:rsid w:val="00117643"/>
    <w:rsid w:val="00117867"/>
    <w:rsid w:val="00117FB5"/>
    <w:rsid w:val="0012025E"/>
    <w:rsid w:val="00120AEA"/>
    <w:rsid w:val="00120D1D"/>
    <w:rsid w:val="001211DD"/>
    <w:rsid w:val="00121252"/>
    <w:rsid w:val="00121ACA"/>
    <w:rsid w:val="00121B0C"/>
    <w:rsid w:val="00121C89"/>
    <w:rsid w:val="001223C7"/>
    <w:rsid w:val="00122694"/>
    <w:rsid w:val="001227A6"/>
    <w:rsid w:val="0012307A"/>
    <w:rsid w:val="00124242"/>
    <w:rsid w:val="0012448D"/>
    <w:rsid w:val="00124609"/>
    <w:rsid w:val="001254CE"/>
    <w:rsid w:val="001258B0"/>
    <w:rsid w:val="0012642C"/>
    <w:rsid w:val="001268F7"/>
    <w:rsid w:val="001274C9"/>
    <w:rsid w:val="00130357"/>
    <w:rsid w:val="00130571"/>
    <w:rsid w:val="00130B3E"/>
    <w:rsid w:val="0013160E"/>
    <w:rsid w:val="00131EA4"/>
    <w:rsid w:val="00131EE1"/>
    <w:rsid w:val="001322EF"/>
    <w:rsid w:val="00132583"/>
    <w:rsid w:val="00132771"/>
    <w:rsid w:val="001329D7"/>
    <w:rsid w:val="00133040"/>
    <w:rsid w:val="0013339F"/>
    <w:rsid w:val="001336A9"/>
    <w:rsid w:val="001336D8"/>
    <w:rsid w:val="00133832"/>
    <w:rsid w:val="00133A18"/>
    <w:rsid w:val="0013404D"/>
    <w:rsid w:val="00134210"/>
    <w:rsid w:val="0013432A"/>
    <w:rsid w:val="0013466E"/>
    <w:rsid w:val="001348B9"/>
    <w:rsid w:val="00134CEA"/>
    <w:rsid w:val="00134E93"/>
    <w:rsid w:val="00135286"/>
    <w:rsid w:val="00135C1B"/>
    <w:rsid w:val="00135CF6"/>
    <w:rsid w:val="0013602B"/>
    <w:rsid w:val="00136080"/>
    <w:rsid w:val="0013665F"/>
    <w:rsid w:val="00136C86"/>
    <w:rsid w:val="001372DA"/>
    <w:rsid w:val="0014000E"/>
    <w:rsid w:val="00140089"/>
    <w:rsid w:val="001403A7"/>
    <w:rsid w:val="001410B1"/>
    <w:rsid w:val="0014187F"/>
    <w:rsid w:val="001422CC"/>
    <w:rsid w:val="001422CD"/>
    <w:rsid w:val="001424C9"/>
    <w:rsid w:val="001428FB"/>
    <w:rsid w:val="00142CAB"/>
    <w:rsid w:val="001435D7"/>
    <w:rsid w:val="0014363F"/>
    <w:rsid w:val="001454A8"/>
    <w:rsid w:val="0014593F"/>
    <w:rsid w:val="00145CFB"/>
    <w:rsid w:val="00145DB4"/>
    <w:rsid w:val="001461B1"/>
    <w:rsid w:val="00146A30"/>
    <w:rsid w:val="00146E89"/>
    <w:rsid w:val="00146EAF"/>
    <w:rsid w:val="001472B5"/>
    <w:rsid w:val="0014779C"/>
    <w:rsid w:val="001478C6"/>
    <w:rsid w:val="00147968"/>
    <w:rsid w:val="00150141"/>
    <w:rsid w:val="00150A41"/>
    <w:rsid w:val="00150ED2"/>
    <w:rsid w:val="001512C9"/>
    <w:rsid w:val="00151381"/>
    <w:rsid w:val="001518AD"/>
    <w:rsid w:val="00152138"/>
    <w:rsid w:val="00152353"/>
    <w:rsid w:val="00152BDB"/>
    <w:rsid w:val="00152E54"/>
    <w:rsid w:val="001540F4"/>
    <w:rsid w:val="00154F5C"/>
    <w:rsid w:val="001555D5"/>
    <w:rsid w:val="00155A9C"/>
    <w:rsid w:val="00155E97"/>
    <w:rsid w:val="00155EAF"/>
    <w:rsid w:val="00156FAB"/>
    <w:rsid w:val="001570F5"/>
    <w:rsid w:val="001571B9"/>
    <w:rsid w:val="00157246"/>
    <w:rsid w:val="00157462"/>
    <w:rsid w:val="00157E68"/>
    <w:rsid w:val="00160221"/>
    <w:rsid w:val="00160303"/>
    <w:rsid w:val="0016032C"/>
    <w:rsid w:val="001604F4"/>
    <w:rsid w:val="00160AB8"/>
    <w:rsid w:val="00160B44"/>
    <w:rsid w:val="001613C8"/>
    <w:rsid w:val="001617B6"/>
    <w:rsid w:val="0016185A"/>
    <w:rsid w:val="00161FB8"/>
    <w:rsid w:val="001622AB"/>
    <w:rsid w:val="001626A4"/>
    <w:rsid w:val="0016290E"/>
    <w:rsid w:val="00162A43"/>
    <w:rsid w:val="00162A7C"/>
    <w:rsid w:val="00163018"/>
    <w:rsid w:val="00163945"/>
    <w:rsid w:val="00164591"/>
    <w:rsid w:val="00164B17"/>
    <w:rsid w:val="00165135"/>
    <w:rsid w:val="00165B99"/>
    <w:rsid w:val="00165E66"/>
    <w:rsid w:val="00166261"/>
    <w:rsid w:val="0016641C"/>
    <w:rsid w:val="00166B78"/>
    <w:rsid w:val="00166DCF"/>
    <w:rsid w:val="0016736D"/>
    <w:rsid w:val="00167FCF"/>
    <w:rsid w:val="00170618"/>
    <w:rsid w:val="00170619"/>
    <w:rsid w:val="001707D6"/>
    <w:rsid w:val="00170D26"/>
    <w:rsid w:val="00170FF9"/>
    <w:rsid w:val="00171067"/>
    <w:rsid w:val="00171513"/>
    <w:rsid w:val="001716A3"/>
    <w:rsid w:val="00171C9F"/>
    <w:rsid w:val="001724EA"/>
    <w:rsid w:val="001725FB"/>
    <w:rsid w:val="001727C1"/>
    <w:rsid w:val="00172E5A"/>
    <w:rsid w:val="0017369E"/>
    <w:rsid w:val="001736E6"/>
    <w:rsid w:val="00173B8F"/>
    <w:rsid w:val="0017408D"/>
    <w:rsid w:val="00174330"/>
    <w:rsid w:val="0017438F"/>
    <w:rsid w:val="00175E90"/>
    <w:rsid w:val="0017607B"/>
    <w:rsid w:val="001764B9"/>
    <w:rsid w:val="00176A21"/>
    <w:rsid w:val="00176D3C"/>
    <w:rsid w:val="0017760D"/>
    <w:rsid w:val="00180719"/>
    <w:rsid w:val="00180A71"/>
    <w:rsid w:val="00180F97"/>
    <w:rsid w:val="001813E5"/>
    <w:rsid w:val="001816A3"/>
    <w:rsid w:val="001821FF"/>
    <w:rsid w:val="001830B8"/>
    <w:rsid w:val="001834A4"/>
    <w:rsid w:val="00183513"/>
    <w:rsid w:val="001838CE"/>
    <w:rsid w:val="001839D6"/>
    <w:rsid w:val="0018417B"/>
    <w:rsid w:val="00184255"/>
    <w:rsid w:val="0018498E"/>
    <w:rsid w:val="00184A02"/>
    <w:rsid w:val="00184C7D"/>
    <w:rsid w:val="00184E2F"/>
    <w:rsid w:val="00185D45"/>
    <w:rsid w:val="001861D4"/>
    <w:rsid w:val="001864DD"/>
    <w:rsid w:val="0018663C"/>
    <w:rsid w:val="0018751C"/>
    <w:rsid w:val="001877DB"/>
    <w:rsid w:val="001903E1"/>
    <w:rsid w:val="0019042B"/>
    <w:rsid w:val="00190A3C"/>
    <w:rsid w:val="00190C46"/>
    <w:rsid w:val="00191CAA"/>
    <w:rsid w:val="00191CD0"/>
    <w:rsid w:val="00192EB3"/>
    <w:rsid w:val="00193815"/>
    <w:rsid w:val="001938ED"/>
    <w:rsid w:val="0019506E"/>
    <w:rsid w:val="001950EB"/>
    <w:rsid w:val="00195235"/>
    <w:rsid w:val="00195C28"/>
    <w:rsid w:val="00195D08"/>
    <w:rsid w:val="00195E20"/>
    <w:rsid w:val="00196C7A"/>
    <w:rsid w:val="00197442"/>
    <w:rsid w:val="0019785A"/>
    <w:rsid w:val="00197B15"/>
    <w:rsid w:val="00197D40"/>
    <w:rsid w:val="001A09F7"/>
    <w:rsid w:val="001A0F9D"/>
    <w:rsid w:val="001A1754"/>
    <w:rsid w:val="001A1996"/>
    <w:rsid w:val="001A1A0C"/>
    <w:rsid w:val="001A1F2B"/>
    <w:rsid w:val="001A2200"/>
    <w:rsid w:val="001A2802"/>
    <w:rsid w:val="001A2FEF"/>
    <w:rsid w:val="001A3F3A"/>
    <w:rsid w:val="001A404A"/>
    <w:rsid w:val="001A4242"/>
    <w:rsid w:val="001A42B2"/>
    <w:rsid w:val="001A4578"/>
    <w:rsid w:val="001A4706"/>
    <w:rsid w:val="001A4C6F"/>
    <w:rsid w:val="001A4DE4"/>
    <w:rsid w:val="001A6B60"/>
    <w:rsid w:val="001A70E3"/>
    <w:rsid w:val="001A7320"/>
    <w:rsid w:val="001A7386"/>
    <w:rsid w:val="001B05C3"/>
    <w:rsid w:val="001B0C3C"/>
    <w:rsid w:val="001B0F45"/>
    <w:rsid w:val="001B1271"/>
    <w:rsid w:val="001B1355"/>
    <w:rsid w:val="001B17C9"/>
    <w:rsid w:val="001B20F6"/>
    <w:rsid w:val="001B2E59"/>
    <w:rsid w:val="001B2F86"/>
    <w:rsid w:val="001B2FE9"/>
    <w:rsid w:val="001B314B"/>
    <w:rsid w:val="001B3779"/>
    <w:rsid w:val="001B4522"/>
    <w:rsid w:val="001B467C"/>
    <w:rsid w:val="001B4A85"/>
    <w:rsid w:val="001B4F8B"/>
    <w:rsid w:val="001B56E8"/>
    <w:rsid w:val="001B671D"/>
    <w:rsid w:val="001B7AE5"/>
    <w:rsid w:val="001C08A5"/>
    <w:rsid w:val="001C0F1F"/>
    <w:rsid w:val="001C116B"/>
    <w:rsid w:val="001C1418"/>
    <w:rsid w:val="001C17C7"/>
    <w:rsid w:val="001C2052"/>
    <w:rsid w:val="001C29A2"/>
    <w:rsid w:val="001C3689"/>
    <w:rsid w:val="001C36BE"/>
    <w:rsid w:val="001C3754"/>
    <w:rsid w:val="001C38F8"/>
    <w:rsid w:val="001C3A93"/>
    <w:rsid w:val="001C4372"/>
    <w:rsid w:val="001C44D9"/>
    <w:rsid w:val="001C48A5"/>
    <w:rsid w:val="001C4D21"/>
    <w:rsid w:val="001C4DA5"/>
    <w:rsid w:val="001C5F1A"/>
    <w:rsid w:val="001C611B"/>
    <w:rsid w:val="001C6DF9"/>
    <w:rsid w:val="001C6F27"/>
    <w:rsid w:val="001C73CE"/>
    <w:rsid w:val="001C7451"/>
    <w:rsid w:val="001C7BAE"/>
    <w:rsid w:val="001C7BAF"/>
    <w:rsid w:val="001C7D2C"/>
    <w:rsid w:val="001C7E27"/>
    <w:rsid w:val="001D0114"/>
    <w:rsid w:val="001D01EA"/>
    <w:rsid w:val="001D061B"/>
    <w:rsid w:val="001D06A3"/>
    <w:rsid w:val="001D08B7"/>
    <w:rsid w:val="001D14D9"/>
    <w:rsid w:val="001D14DC"/>
    <w:rsid w:val="001D18E5"/>
    <w:rsid w:val="001D20FB"/>
    <w:rsid w:val="001D23C4"/>
    <w:rsid w:val="001D25E5"/>
    <w:rsid w:val="001D28A3"/>
    <w:rsid w:val="001D2A56"/>
    <w:rsid w:val="001D45AF"/>
    <w:rsid w:val="001D4B71"/>
    <w:rsid w:val="001D517D"/>
    <w:rsid w:val="001D51AD"/>
    <w:rsid w:val="001D5673"/>
    <w:rsid w:val="001D5BB6"/>
    <w:rsid w:val="001D690A"/>
    <w:rsid w:val="001D6A76"/>
    <w:rsid w:val="001D6CD0"/>
    <w:rsid w:val="001D7873"/>
    <w:rsid w:val="001D78A2"/>
    <w:rsid w:val="001E0998"/>
    <w:rsid w:val="001E0E4E"/>
    <w:rsid w:val="001E10AD"/>
    <w:rsid w:val="001E18BC"/>
    <w:rsid w:val="001E1B0C"/>
    <w:rsid w:val="001E1E15"/>
    <w:rsid w:val="001E2000"/>
    <w:rsid w:val="001E2072"/>
    <w:rsid w:val="001E2178"/>
    <w:rsid w:val="001E29A2"/>
    <w:rsid w:val="001E31FA"/>
    <w:rsid w:val="001E3C7A"/>
    <w:rsid w:val="001E48DF"/>
    <w:rsid w:val="001E4946"/>
    <w:rsid w:val="001E5174"/>
    <w:rsid w:val="001E5232"/>
    <w:rsid w:val="001E554D"/>
    <w:rsid w:val="001E586D"/>
    <w:rsid w:val="001E58FF"/>
    <w:rsid w:val="001E5BE2"/>
    <w:rsid w:val="001E5D90"/>
    <w:rsid w:val="001E5D9D"/>
    <w:rsid w:val="001E6048"/>
    <w:rsid w:val="001E64F6"/>
    <w:rsid w:val="001E65CE"/>
    <w:rsid w:val="001E6C4D"/>
    <w:rsid w:val="001E7064"/>
    <w:rsid w:val="001E76E6"/>
    <w:rsid w:val="001E7EB6"/>
    <w:rsid w:val="001F0472"/>
    <w:rsid w:val="001F0952"/>
    <w:rsid w:val="001F097C"/>
    <w:rsid w:val="001F183E"/>
    <w:rsid w:val="001F1B4A"/>
    <w:rsid w:val="001F263C"/>
    <w:rsid w:val="001F2A63"/>
    <w:rsid w:val="001F2EE6"/>
    <w:rsid w:val="001F326A"/>
    <w:rsid w:val="001F36A2"/>
    <w:rsid w:val="001F3CC2"/>
    <w:rsid w:val="001F3CFA"/>
    <w:rsid w:val="001F3DC7"/>
    <w:rsid w:val="001F4413"/>
    <w:rsid w:val="001F4A5B"/>
    <w:rsid w:val="001F4ECD"/>
    <w:rsid w:val="001F67B5"/>
    <w:rsid w:val="001F68AA"/>
    <w:rsid w:val="001F6B80"/>
    <w:rsid w:val="001F6F5D"/>
    <w:rsid w:val="001F75F4"/>
    <w:rsid w:val="001F7824"/>
    <w:rsid w:val="00200252"/>
    <w:rsid w:val="002002BF"/>
    <w:rsid w:val="002015BA"/>
    <w:rsid w:val="00201DEA"/>
    <w:rsid w:val="00201FCE"/>
    <w:rsid w:val="0020250F"/>
    <w:rsid w:val="00202C0D"/>
    <w:rsid w:val="00202DEC"/>
    <w:rsid w:val="00203069"/>
    <w:rsid w:val="00203300"/>
    <w:rsid w:val="002038A1"/>
    <w:rsid w:val="002044D5"/>
    <w:rsid w:val="00204720"/>
    <w:rsid w:val="0020474A"/>
    <w:rsid w:val="00204982"/>
    <w:rsid w:val="00204F1A"/>
    <w:rsid w:val="0020588E"/>
    <w:rsid w:val="00205B97"/>
    <w:rsid w:val="00205FF4"/>
    <w:rsid w:val="0020668C"/>
    <w:rsid w:val="00209EE1"/>
    <w:rsid w:val="002108A5"/>
    <w:rsid w:val="00210B3F"/>
    <w:rsid w:val="00210D7A"/>
    <w:rsid w:val="002113C5"/>
    <w:rsid w:val="002119B8"/>
    <w:rsid w:val="00211B81"/>
    <w:rsid w:val="00211CE6"/>
    <w:rsid w:val="00211F33"/>
    <w:rsid w:val="002121A8"/>
    <w:rsid w:val="00212DB0"/>
    <w:rsid w:val="002131EC"/>
    <w:rsid w:val="00213987"/>
    <w:rsid w:val="00214AE9"/>
    <w:rsid w:val="002152A4"/>
    <w:rsid w:val="0021562E"/>
    <w:rsid w:val="00215B26"/>
    <w:rsid w:val="00216462"/>
    <w:rsid w:val="002166C2"/>
    <w:rsid w:val="002170F6"/>
    <w:rsid w:val="00217181"/>
    <w:rsid w:val="002174A8"/>
    <w:rsid w:val="00217B0B"/>
    <w:rsid w:val="002201A0"/>
    <w:rsid w:val="00220636"/>
    <w:rsid w:val="0022092D"/>
    <w:rsid w:val="0022162A"/>
    <w:rsid w:val="002221BE"/>
    <w:rsid w:val="00222781"/>
    <w:rsid w:val="002229EE"/>
    <w:rsid w:val="00222BEB"/>
    <w:rsid w:val="00222DC5"/>
    <w:rsid w:val="00222EAE"/>
    <w:rsid w:val="002232CC"/>
    <w:rsid w:val="002234A9"/>
    <w:rsid w:val="00223D3E"/>
    <w:rsid w:val="00224885"/>
    <w:rsid w:val="00224F9D"/>
    <w:rsid w:val="002254FD"/>
    <w:rsid w:val="00225A0F"/>
    <w:rsid w:val="00225BC8"/>
    <w:rsid w:val="00225E60"/>
    <w:rsid w:val="00226017"/>
    <w:rsid w:val="00227CA3"/>
    <w:rsid w:val="00230638"/>
    <w:rsid w:val="002309BB"/>
    <w:rsid w:val="00231142"/>
    <w:rsid w:val="0023202C"/>
    <w:rsid w:val="002327A9"/>
    <w:rsid w:val="002327E6"/>
    <w:rsid w:val="00232A6D"/>
    <w:rsid w:val="00232F50"/>
    <w:rsid w:val="00232FAB"/>
    <w:rsid w:val="002331B2"/>
    <w:rsid w:val="0023329A"/>
    <w:rsid w:val="002334A2"/>
    <w:rsid w:val="0023374B"/>
    <w:rsid w:val="00234AC9"/>
    <w:rsid w:val="00235A7F"/>
    <w:rsid w:val="00236172"/>
    <w:rsid w:val="00236B70"/>
    <w:rsid w:val="00236E55"/>
    <w:rsid w:val="00237531"/>
    <w:rsid w:val="00237B70"/>
    <w:rsid w:val="00237FA1"/>
    <w:rsid w:val="002400EA"/>
    <w:rsid w:val="002402DE"/>
    <w:rsid w:val="002416E2"/>
    <w:rsid w:val="0024182F"/>
    <w:rsid w:val="00241A1B"/>
    <w:rsid w:val="00241F70"/>
    <w:rsid w:val="0024338A"/>
    <w:rsid w:val="00243712"/>
    <w:rsid w:val="00243FDF"/>
    <w:rsid w:val="00244318"/>
    <w:rsid w:val="002445B7"/>
    <w:rsid w:val="002446E2"/>
    <w:rsid w:val="00244BDD"/>
    <w:rsid w:val="00245043"/>
    <w:rsid w:val="00245DC6"/>
    <w:rsid w:val="002463E7"/>
    <w:rsid w:val="002469EB"/>
    <w:rsid w:val="00246B5B"/>
    <w:rsid w:val="00246DB1"/>
    <w:rsid w:val="00246ECB"/>
    <w:rsid w:val="0024760B"/>
    <w:rsid w:val="00247629"/>
    <w:rsid w:val="0025057C"/>
    <w:rsid w:val="00250857"/>
    <w:rsid w:val="00250A45"/>
    <w:rsid w:val="0025119C"/>
    <w:rsid w:val="00251A4A"/>
    <w:rsid w:val="00251AE3"/>
    <w:rsid w:val="00251D09"/>
    <w:rsid w:val="00251D75"/>
    <w:rsid w:val="002524AD"/>
    <w:rsid w:val="00252796"/>
    <w:rsid w:val="002529A3"/>
    <w:rsid w:val="002535E6"/>
    <w:rsid w:val="00253BC9"/>
    <w:rsid w:val="00253F06"/>
    <w:rsid w:val="00254279"/>
    <w:rsid w:val="00254909"/>
    <w:rsid w:val="00254943"/>
    <w:rsid w:val="00254C0E"/>
    <w:rsid w:val="00254FB7"/>
    <w:rsid w:val="002557D6"/>
    <w:rsid w:val="00255B9E"/>
    <w:rsid w:val="00256404"/>
    <w:rsid w:val="00256690"/>
    <w:rsid w:val="00256A93"/>
    <w:rsid w:val="0026060F"/>
    <w:rsid w:val="002608B1"/>
    <w:rsid w:val="0026134B"/>
    <w:rsid w:val="002617FD"/>
    <w:rsid w:val="00262581"/>
    <w:rsid w:val="002629AD"/>
    <w:rsid w:val="00263200"/>
    <w:rsid w:val="0026326D"/>
    <w:rsid w:val="0026374E"/>
    <w:rsid w:val="002637B9"/>
    <w:rsid w:val="002641F7"/>
    <w:rsid w:val="002645B6"/>
    <w:rsid w:val="00264C26"/>
    <w:rsid w:val="002658EC"/>
    <w:rsid w:val="00265A47"/>
    <w:rsid w:val="00265A77"/>
    <w:rsid w:val="002660BC"/>
    <w:rsid w:val="00266CBB"/>
    <w:rsid w:val="00266D06"/>
    <w:rsid w:val="00266FD0"/>
    <w:rsid w:val="00267DD5"/>
    <w:rsid w:val="002717B0"/>
    <w:rsid w:val="00271D60"/>
    <w:rsid w:val="0027484E"/>
    <w:rsid w:val="0027487C"/>
    <w:rsid w:val="00274C08"/>
    <w:rsid w:val="00274C78"/>
    <w:rsid w:val="00274DE9"/>
    <w:rsid w:val="002766BB"/>
    <w:rsid w:val="002774AD"/>
    <w:rsid w:val="0027776F"/>
    <w:rsid w:val="002777B3"/>
    <w:rsid w:val="00277867"/>
    <w:rsid w:val="002779D8"/>
    <w:rsid w:val="00277B42"/>
    <w:rsid w:val="00277BB7"/>
    <w:rsid w:val="00277CE7"/>
    <w:rsid w:val="00277F23"/>
    <w:rsid w:val="00277F2C"/>
    <w:rsid w:val="0028002A"/>
    <w:rsid w:val="002802E1"/>
    <w:rsid w:val="002803E2"/>
    <w:rsid w:val="002805A5"/>
    <w:rsid w:val="002807F2"/>
    <w:rsid w:val="00280819"/>
    <w:rsid w:val="00280B32"/>
    <w:rsid w:val="00280CDF"/>
    <w:rsid w:val="0028125B"/>
    <w:rsid w:val="00281349"/>
    <w:rsid w:val="00282056"/>
    <w:rsid w:val="002820E6"/>
    <w:rsid w:val="002826F2"/>
    <w:rsid w:val="00282E5F"/>
    <w:rsid w:val="002839F2"/>
    <w:rsid w:val="002840B4"/>
    <w:rsid w:val="0028411F"/>
    <w:rsid w:val="002843F7"/>
    <w:rsid w:val="0028460B"/>
    <w:rsid w:val="002847EC"/>
    <w:rsid w:val="00284CA9"/>
    <w:rsid w:val="00284E03"/>
    <w:rsid w:val="0028547D"/>
    <w:rsid w:val="00286BA2"/>
    <w:rsid w:val="002875F1"/>
    <w:rsid w:val="00287BD8"/>
    <w:rsid w:val="0028D0B9"/>
    <w:rsid w:val="00290287"/>
    <w:rsid w:val="00290B1A"/>
    <w:rsid w:val="00290E36"/>
    <w:rsid w:val="00290E7C"/>
    <w:rsid w:val="00291339"/>
    <w:rsid w:val="00291426"/>
    <w:rsid w:val="002918A0"/>
    <w:rsid w:val="0029222E"/>
    <w:rsid w:val="002922D1"/>
    <w:rsid w:val="00292446"/>
    <w:rsid w:val="00292788"/>
    <w:rsid w:val="00292AB4"/>
    <w:rsid w:val="00292CD9"/>
    <w:rsid w:val="00292D36"/>
    <w:rsid w:val="00292E6E"/>
    <w:rsid w:val="0029303C"/>
    <w:rsid w:val="00293649"/>
    <w:rsid w:val="002937A7"/>
    <w:rsid w:val="002939B2"/>
    <w:rsid w:val="00293FBC"/>
    <w:rsid w:val="002946BD"/>
    <w:rsid w:val="00294A83"/>
    <w:rsid w:val="002953E8"/>
    <w:rsid w:val="00295D6B"/>
    <w:rsid w:val="002964DA"/>
    <w:rsid w:val="00296CC3"/>
    <w:rsid w:val="00296DDD"/>
    <w:rsid w:val="00297281"/>
    <w:rsid w:val="002A02D7"/>
    <w:rsid w:val="002A055A"/>
    <w:rsid w:val="002A076C"/>
    <w:rsid w:val="002A0773"/>
    <w:rsid w:val="002A0D02"/>
    <w:rsid w:val="002A0D9F"/>
    <w:rsid w:val="002A1722"/>
    <w:rsid w:val="002A19EC"/>
    <w:rsid w:val="002A2A26"/>
    <w:rsid w:val="002A305D"/>
    <w:rsid w:val="002A3141"/>
    <w:rsid w:val="002A33C2"/>
    <w:rsid w:val="002A524B"/>
    <w:rsid w:val="002A56C8"/>
    <w:rsid w:val="002A5728"/>
    <w:rsid w:val="002A58AE"/>
    <w:rsid w:val="002A5B53"/>
    <w:rsid w:val="002A666D"/>
    <w:rsid w:val="002A6F1B"/>
    <w:rsid w:val="002A71E5"/>
    <w:rsid w:val="002A73A9"/>
    <w:rsid w:val="002A765B"/>
    <w:rsid w:val="002A83C0"/>
    <w:rsid w:val="002B06D6"/>
    <w:rsid w:val="002B070B"/>
    <w:rsid w:val="002B0AF8"/>
    <w:rsid w:val="002B16FF"/>
    <w:rsid w:val="002B1B6A"/>
    <w:rsid w:val="002B1EDF"/>
    <w:rsid w:val="002B207E"/>
    <w:rsid w:val="002B2800"/>
    <w:rsid w:val="002B32C4"/>
    <w:rsid w:val="002B3C21"/>
    <w:rsid w:val="002B3E3E"/>
    <w:rsid w:val="002B47E8"/>
    <w:rsid w:val="002B4E7F"/>
    <w:rsid w:val="002B5595"/>
    <w:rsid w:val="002B5991"/>
    <w:rsid w:val="002B5BB6"/>
    <w:rsid w:val="002B5E1C"/>
    <w:rsid w:val="002B5EC6"/>
    <w:rsid w:val="002B681E"/>
    <w:rsid w:val="002B6A4F"/>
    <w:rsid w:val="002B7261"/>
    <w:rsid w:val="002B7D4C"/>
    <w:rsid w:val="002B7FB6"/>
    <w:rsid w:val="002C041A"/>
    <w:rsid w:val="002C140E"/>
    <w:rsid w:val="002C18CB"/>
    <w:rsid w:val="002C1D05"/>
    <w:rsid w:val="002C2297"/>
    <w:rsid w:val="002C234B"/>
    <w:rsid w:val="002C26DA"/>
    <w:rsid w:val="002C303E"/>
    <w:rsid w:val="002C32F0"/>
    <w:rsid w:val="002C3952"/>
    <w:rsid w:val="002C3D02"/>
    <w:rsid w:val="002C3FB4"/>
    <w:rsid w:val="002C46E4"/>
    <w:rsid w:val="002C473F"/>
    <w:rsid w:val="002C47D0"/>
    <w:rsid w:val="002C4954"/>
    <w:rsid w:val="002C5D49"/>
    <w:rsid w:val="002C6296"/>
    <w:rsid w:val="002C6E88"/>
    <w:rsid w:val="002C70D5"/>
    <w:rsid w:val="002C7558"/>
    <w:rsid w:val="002C7C32"/>
    <w:rsid w:val="002D0458"/>
    <w:rsid w:val="002D070A"/>
    <w:rsid w:val="002D09C4"/>
    <w:rsid w:val="002D120F"/>
    <w:rsid w:val="002D1330"/>
    <w:rsid w:val="002D177F"/>
    <w:rsid w:val="002D2169"/>
    <w:rsid w:val="002D2413"/>
    <w:rsid w:val="002D2537"/>
    <w:rsid w:val="002D2966"/>
    <w:rsid w:val="002D2AB5"/>
    <w:rsid w:val="002D2F19"/>
    <w:rsid w:val="002D2FE2"/>
    <w:rsid w:val="002D32A6"/>
    <w:rsid w:val="002D33BA"/>
    <w:rsid w:val="002D38F7"/>
    <w:rsid w:val="002D3E00"/>
    <w:rsid w:val="002D441E"/>
    <w:rsid w:val="002D4E53"/>
    <w:rsid w:val="002D571C"/>
    <w:rsid w:val="002D5F4F"/>
    <w:rsid w:val="002D65D4"/>
    <w:rsid w:val="002D711A"/>
    <w:rsid w:val="002D7336"/>
    <w:rsid w:val="002D7555"/>
    <w:rsid w:val="002E08B2"/>
    <w:rsid w:val="002E0A94"/>
    <w:rsid w:val="002E0D89"/>
    <w:rsid w:val="002E0F11"/>
    <w:rsid w:val="002E0F59"/>
    <w:rsid w:val="002E2231"/>
    <w:rsid w:val="002E2416"/>
    <w:rsid w:val="002E279F"/>
    <w:rsid w:val="002E27F0"/>
    <w:rsid w:val="002E2D03"/>
    <w:rsid w:val="002E3396"/>
    <w:rsid w:val="002E343B"/>
    <w:rsid w:val="002E3B50"/>
    <w:rsid w:val="002E465D"/>
    <w:rsid w:val="002E4A6E"/>
    <w:rsid w:val="002E5320"/>
    <w:rsid w:val="002E532D"/>
    <w:rsid w:val="002E535D"/>
    <w:rsid w:val="002E53A9"/>
    <w:rsid w:val="002E5BCF"/>
    <w:rsid w:val="002E60BB"/>
    <w:rsid w:val="002E610E"/>
    <w:rsid w:val="002E6384"/>
    <w:rsid w:val="002E6799"/>
    <w:rsid w:val="002E6E1C"/>
    <w:rsid w:val="002E7041"/>
    <w:rsid w:val="002E728A"/>
    <w:rsid w:val="002E7419"/>
    <w:rsid w:val="002E7754"/>
    <w:rsid w:val="002E7D9F"/>
    <w:rsid w:val="002E7F58"/>
    <w:rsid w:val="002F0301"/>
    <w:rsid w:val="002F0325"/>
    <w:rsid w:val="002F0B96"/>
    <w:rsid w:val="002F0FC3"/>
    <w:rsid w:val="002F13FD"/>
    <w:rsid w:val="002F14A3"/>
    <w:rsid w:val="002F2538"/>
    <w:rsid w:val="002F4208"/>
    <w:rsid w:val="002F486D"/>
    <w:rsid w:val="002F4B20"/>
    <w:rsid w:val="002F4B7C"/>
    <w:rsid w:val="002F4D95"/>
    <w:rsid w:val="002F51D3"/>
    <w:rsid w:val="002F54D1"/>
    <w:rsid w:val="002F582A"/>
    <w:rsid w:val="002F589E"/>
    <w:rsid w:val="002F6330"/>
    <w:rsid w:val="002F6895"/>
    <w:rsid w:val="002F6C13"/>
    <w:rsid w:val="002F703C"/>
    <w:rsid w:val="002F727F"/>
    <w:rsid w:val="002F7628"/>
    <w:rsid w:val="002F7D58"/>
    <w:rsid w:val="002F7D93"/>
    <w:rsid w:val="003001CE"/>
    <w:rsid w:val="003005CF"/>
    <w:rsid w:val="003009E5"/>
    <w:rsid w:val="00300B40"/>
    <w:rsid w:val="003013DD"/>
    <w:rsid w:val="0030177D"/>
    <w:rsid w:val="0030191B"/>
    <w:rsid w:val="00301D85"/>
    <w:rsid w:val="00301E61"/>
    <w:rsid w:val="00301F49"/>
    <w:rsid w:val="00302835"/>
    <w:rsid w:val="00302F17"/>
    <w:rsid w:val="00303736"/>
    <w:rsid w:val="00303A24"/>
    <w:rsid w:val="00303F5E"/>
    <w:rsid w:val="00304A7B"/>
    <w:rsid w:val="003059B6"/>
    <w:rsid w:val="00305E23"/>
    <w:rsid w:val="003070F8"/>
    <w:rsid w:val="00307356"/>
    <w:rsid w:val="00307473"/>
    <w:rsid w:val="0031011D"/>
    <w:rsid w:val="00310532"/>
    <w:rsid w:val="003108A4"/>
    <w:rsid w:val="00310A79"/>
    <w:rsid w:val="00310FB5"/>
    <w:rsid w:val="003111DF"/>
    <w:rsid w:val="0031149C"/>
    <w:rsid w:val="00311985"/>
    <w:rsid w:val="003120DA"/>
    <w:rsid w:val="0031374B"/>
    <w:rsid w:val="00313E92"/>
    <w:rsid w:val="00314154"/>
    <w:rsid w:val="00314185"/>
    <w:rsid w:val="003144D9"/>
    <w:rsid w:val="00314617"/>
    <w:rsid w:val="00314664"/>
    <w:rsid w:val="00314DC6"/>
    <w:rsid w:val="00315180"/>
    <w:rsid w:val="0031541B"/>
    <w:rsid w:val="00315516"/>
    <w:rsid w:val="003163EC"/>
    <w:rsid w:val="003169E6"/>
    <w:rsid w:val="003171E8"/>
    <w:rsid w:val="0031722C"/>
    <w:rsid w:val="0031742A"/>
    <w:rsid w:val="003176B0"/>
    <w:rsid w:val="003177E5"/>
    <w:rsid w:val="0031798E"/>
    <w:rsid w:val="00317CF8"/>
    <w:rsid w:val="00317FB4"/>
    <w:rsid w:val="003201CC"/>
    <w:rsid w:val="003207B3"/>
    <w:rsid w:val="00320FFB"/>
    <w:rsid w:val="003212C5"/>
    <w:rsid w:val="0032151C"/>
    <w:rsid w:val="0032157F"/>
    <w:rsid w:val="00321C7E"/>
    <w:rsid w:val="003221E3"/>
    <w:rsid w:val="0032230D"/>
    <w:rsid w:val="003223AE"/>
    <w:rsid w:val="00322772"/>
    <w:rsid w:val="00322CDD"/>
    <w:rsid w:val="00323356"/>
    <w:rsid w:val="00323C38"/>
    <w:rsid w:val="00323E2B"/>
    <w:rsid w:val="0032429D"/>
    <w:rsid w:val="00324719"/>
    <w:rsid w:val="00324BCB"/>
    <w:rsid w:val="00324C2A"/>
    <w:rsid w:val="0032599B"/>
    <w:rsid w:val="00325BC0"/>
    <w:rsid w:val="00326449"/>
    <w:rsid w:val="00326F96"/>
    <w:rsid w:val="00327A65"/>
    <w:rsid w:val="0033074D"/>
    <w:rsid w:val="0033140A"/>
    <w:rsid w:val="00331482"/>
    <w:rsid w:val="003314D6"/>
    <w:rsid w:val="003320BC"/>
    <w:rsid w:val="00332373"/>
    <w:rsid w:val="0033329C"/>
    <w:rsid w:val="003332F0"/>
    <w:rsid w:val="00333482"/>
    <w:rsid w:val="00333897"/>
    <w:rsid w:val="00334F7C"/>
    <w:rsid w:val="00335393"/>
    <w:rsid w:val="00335452"/>
    <w:rsid w:val="0033657B"/>
    <w:rsid w:val="003369D9"/>
    <w:rsid w:val="00336F59"/>
    <w:rsid w:val="003400CC"/>
    <w:rsid w:val="00340268"/>
    <w:rsid w:val="0034036B"/>
    <w:rsid w:val="0034038B"/>
    <w:rsid w:val="00340392"/>
    <w:rsid w:val="003404A8"/>
    <w:rsid w:val="00342007"/>
    <w:rsid w:val="00343ADB"/>
    <w:rsid w:val="00343E0A"/>
    <w:rsid w:val="00343F8D"/>
    <w:rsid w:val="00344074"/>
    <w:rsid w:val="003440CF"/>
    <w:rsid w:val="00344267"/>
    <w:rsid w:val="00344291"/>
    <w:rsid w:val="003454BE"/>
    <w:rsid w:val="00345CCD"/>
    <w:rsid w:val="00345DA4"/>
    <w:rsid w:val="00346254"/>
    <w:rsid w:val="00346BEF"/>
    <w:rsid w:val="00347606"/>
    <w:rsid w:val="003476C4"/>
    <w:rsid w:val="00347B22"/>
    <w:rsid w:val="0035022E"/>
    <w:rsid w:val="0035044E"/>
    <w:rsid w:val="00350573"/>
    <w:rsid w:val="00351171"/>
    <w:rsid w:val="0035120A"/>
    <w:rsid w:val="0035148F"/>
    <w:rsid w:val="003514B8"/>
    <w:rsid w:val="00351872"/>
    <w:rsid w:val="00351F4F"/>
    <w:rsid w:val="003521A9"/>
    <w:rsid w:val="00352728"/>
    <w:rsid w:val="003530DD"/>
    <w:rsid w:val="00353D6C"/>
    <w:rsid w:val="00353D89"/>
    <w:rsid w:val="00353E29"/>
    <w:rsid w:val="003541CF"/>
    <w:rsid w:val="00355F72"/>
    <w:rsid w:val="003562C6"/>
    <w:rsid w:val="003569D8"/>
    <w:rsid w:val="00356A7C"/>
    <w:rsid w:val="00356BE2"/>
    <w:rsid w:val="00356DE0"/>
    <w:rsid w:val="003576A0"/>
    <w:rsid w:val="00357CE6"/>
    <w:rsid w:val="00360048"/>
    <w:rsid w:val="00360066"/>
    <w:rsid w:val="0036074D"/>
    <w:rsid w:val="00360B1A"/>
    <w:rsid w:val="00362021"/>
    <w:rsid w:val="003632EE"/>
    <w:rsid w:val="0036346D"/>
    <w:rsid w:val="003635EF"/>
    <w:rsid w:val="00363D39"/>
    <w:rsid w:val="00364070"/>
    <w:rsid w:val="00364127"/>
    <w:rsid w:val="003669D2"/>
    <w:rsid w:val="00366C50"/>
    <w:rsid w:val="00366F70"/>
    <w:rsid w:val="00367263"/>
    <w:rsid w:val="00367483"/>
    <w:rsid w:val="00367B50"/>
    <w:rsid w:val="00367ED5"/>
    <w:rsid w:val="00370DED"/>
    <w:rsid w:val="00370FCB"/>
    <w:rsid w:val="00371AA8"/>
    <w:rsid w:val="00371AD5"/>
    <w:rsid w:val="00371E00"/>
    <w:rsid w:val="00372947"/>
    <w:rsid w:val="0037417B"/>
    <w:rsid w:val="00374A0E"/>
    <w:rsid w:val="00374DFD"/>
    <w:rsid w:val="00375651"/>
    <w:rsid w:val="00375794"/>
    <w:rsid w:val="00375A8F"/>
    <w:rsid w:val="00380649"/>
    <w:rsid w:val="00380917"/>
    <w:rsid w:val="00381003"/>
    <w:rsid w:val="00381035"/>
    <w:rsid w:val="003811B0"/>
    <w:rsid w:val="00381B78"/>
    <w:rsid w:val="00381CD8"/>
    <w:rsid w:val="00382569"/>
    <w:rsid w:val="00382A00"/>
    <w:rsid w:val="00382EE2"/>
    <w:rsid w:val="00382FC3"/>
    <w:rsid w:val="0038384D"/>
    <w:rsid w:val="00384050"/>
    <w:rsid w:val="0038407B"/>
    <w:rsid w:val="00384536"/>
    <w:rsid w:val="00384842"/>
    <w:rsid w:val="00384A28"/>
    <w:rsid w:val="00384D7D"/>
    <w:rsid w:val="00385564"/>
    <w:rsid w:val="00385C9B"/>
    <w:rsid w:val="0038603B"/>
    <w:rsid w:val="00386063"/>
    <w:rsid w:val="003863BE"/>
    <w:rsid w:val="003866F7"/>
    <w:rsid w:val="00386B74"/>
    <w:rsid w:val="00386FAB"/>
    <w:rsid w:val="00387078"/>
    <w:rsid w:val="003872EB"/>
    <w:rsid w:val="0038751C"/>
    <w:rsid w:val="0038771C"/>
    <w:rsid w:val="00387AA3"/>
    <w:rsid w:val="00387D8D"/>
    <w:rsid w:val="003902A3"/>
    <w:rsid w:val="0039058C"/>
    <w:rsid w:val="00390CD0"/>
    <w:rsid w:val="00390CE5"/>
    <w:rsid w:val="003910A5"/>
    <w:rsid w:val="00391168"/>
    <w:rsid w:val="003917F3"/>
    <w:rsid w:val="003920F5"/>
    <w:rsid w:val="0039405B"/>
    <w:rsid w:val="003940C3"/>
    <w:rsid w:val="003948BD"/>
    <w:rsid w:val="00394DF7"/>
    <w:rsid w:val="0039565E"/>
    <w:rsid w:val="00395C48"/>
    <w:rsid w:val="00396B32"/>
    <w:rsid w:val="00396DF9"/>
    <w:rsid w:val="003A1944"/>
    <w:rsid w:val="003A1C92"/>
    <w:rsid w:val="003A253B"/>
    <w:rsid w:val="003A2696"/>
    <w:rsid w:val="003A27D4"/>
    <w:rsid w:val="003A2C91"/>
    <w:rsid w:val="003A360D"/>
    <w:rsid w:val="003A3ABA"/>
    <w:rsid w:val="003A3D4A"/>
    <w:rsid w:val="003A44FC"/>
    <w:rsid w:val="003A4A02"/>
    <w:rsid w:val="003A4CC3"/>
    <w:rsid w:val="003A4F87"/>
    <w:rsid w:val="003A5246"/>
    <w:rsid w:val="003A541A"/>
    <w:rsid w:val="003A5D3D"/>
    <w:rsid w:val="003A5F03"/>
    <w:rsid w:val="003A630A"/>
    <w:rsid w:val="003A6923"/>
    <w:rsid w:val="003A6D2C"/>
    <w:rsid w:val="003A6D87"/>
    <w:rsid w:val="003A6EC9"/>
    <w:rsid w:val="003A74C9"/>
    <w:rsid w:val="003A7807"/>
    <w:rsid w:val="003A78B3"/>
    <w:rsid w:val="003B05DC"/>
    <w:rsid w:val="003B0BC2"/>
    <w:rsid w:val="003B133D"/>
    <w:rsid w:val="003B13AD"/>
    <w:rsid w:val="003B13FB"/>
    <w:rsid w:val="003B1520"/>
    <w:rsid w:val="003B1980"/>
    <w:rsid w:val="003B1E41"/>
    <w:rsid w:val="003B2895"/>
    <w:rsid w:val="003B30E5"/>
    <w:rsid w:val="003B3C05"/>
    <w:rsid w:val="003B3ECC"/>
    <w:rsid w:val="003B43CD"/>
    <w:rsid w:val="003B48D6"/>
    <w:rsid w:val="003B568D"/>
    <w:rsid w:val="003B56E4"/>
    <w:rsid w:val="003B5FEE"/>
    <w:rsid w:val="003B606F"/>
    <w:rsid w:val="003B66D1"/>
    <w:rsid w:val="003B6DB4"/>
    <w:rsid w:val="003B6E5D"/>
    <w:rsid w:val="003B72F8"/>
    <w:rsid w:val="003B7996"/>
    <w:rsid w:val="003B7A44"/>
    <w:rsid w:val="003C0FA2"/>
    <w:rsid w:val="003C1157"/>
    <w:rsid w:val="003C144F"/>
    <w:rsid w:val="003C1496"/>
    <w:rsid w:val="003C207A"/>
    <w:rsid w:val="003C214B"/>
    <w:rsid w:val="003C2C46"/>
    <w:rsid w:val="003C2C67"/>
    <w:rsid w:val="003C2DC8"/>
    <w:rsid w:val="003C301D"/>
    <w:rsid w:val="003C3DAA"/>
    <w:rsid w:val="003C4367"/>
    <w:rsid w:val="003C45F9"/>
    <w:rsid w:val="003C4F20"/>
    <w:rsid w:val="003C51AC"/>
    <w:rsid w:val="003C5BA4"/>
    <w:rsid w:val="003C651B"/>
    <w:rsid w:val="003C66CD"/>
    <w:rsid w:val="003C70A3"/>
    <w:rsid w:val="003C7D20"/>
    <w:rsid w:val="003C7FF1"/>
    <w:rsid w:val="003D10B8"/>
    <w:rsid w:val="003D1556"/>
    <w:rsid w:val="003D17DF"/>
    <w:rsid w:val="003D190C"/>
    <w:rsid w:val="003D1BAC"/>
    <w:rsid w:val="003D22C8"/>
    <w:rsid w:val="003D2B43"/>
    <w:rsid w:val="003D3B15"/>
    <w:rsid w:val="003D3B32"/>
    <w:rsid w:val="003D416C"/>
    <w:rsid w:val="003D4714"/>
    <w:rsid w:val="003D48A5"/>
    <w:rsid w:val="003D4A9D"/>
    <w:rsid w:val="003D59A1"/>
    <w:rsid w:val="003D6AA2"/>
    <w:rsid w:val="003D7075"/>
    <w:rsid w:val="003D716F"/>
    <w:rsid w:val="003D74DD"/>
    <w:rsid w:val="003D79FE"/>
    <w:rsid w:val="003DA446"/>
    <w:rsid w:val="003E1511"/>
    <w:rsid w:val="003E1BC4"/>
    <w:rsid w:val="003E1F95"/>
    <w:rsid w:val="003E21B1"/>
    <w:rsid w:val="003E2330"/>
    <w:rsid w:val="003E35D1"/>
    <w:rsid w:val="003E3B32"/>
    <w:rsid w:val="003E3E26"/>
    <w:rsid w:val="003E40C6"/>
    <w:rsid w:val="003E436B"/>
    <w:rsid w:val="003E45B1"/>
    <w:rsid w:val="003E58BA"/>
    <w:rsid w:val="003E5C0E"/>
    <w:rsid w:val="003E5DE7"/>
    <w:rsid w:val="003E632B"/>
    <w:rsid w:val="003E65AE"/>
    <w:rsid w:val="003E6D27"/>
    <w:rsid w:val="003E723C"/>
    <w:rsid w:val="003E7405"/>
    <w:rsid w:val="003E7B91"/>
    <w:rsid w:val="003E7D2E"/>
    <w:rsid w:val="003F0B00"/>
    <w:rsid w:val="003F0E0D"/>
    <w:rsid w:val="003F0E35"/>
    <w:rsid w:val="003F1295"/>
    <w:rsid w:val="003F14E6"/>
    <w:rsid w:val="003F1B4D"/>
    <w:rsid w:val="003F1C3F"/>
    <w:rsid w:val="003F20CA"/>
    <w:rsid w:val="003F251A"/>
    <w:rsid w:val="003F264D"/>
    <w:rsid w:val="003F2A35"/>
    <w:rsid w:val="003F3120"/>
    <w:rsid w:val="003F3C77"/>
    <w:rsid w:val="003F41A6"/>
    <w:rsid w:val="003F42AE"/>
    <w:rsid w:val="003F4436"/>
    <w:rsid w:val="003F44F3"/>
    <w:rsid w:val="003F4AA2"/>
    <w:rsid w:val="003F503F"/>
    <w:rsid w:val="003F5684"/>
    <w:rsid w:val="003F589B"/>
    <w:rsid w:val="003F66EC"/>
    <w:rsid w:val="003F75A4"/>
    <w:rsid w:val="003F76FC"/>
    <w:rsid w:val="004000F3"/>
    <w:rsid w:val="004002EB"/>
    <w:rsid w:val="00400321"/>
    <w:rsid w:val="00400694"/>
    <w:rsid w:val="00400BF7"/>
    <w:rsid w:val="00400E50"/>
    <w:rsid w:val="00401401"/>
    <w:rsid w:val="0040185D"/>
    <w:rsid w:val="00402813"/>
    <w:rsid w:val="00402B41"/>
    <w:rsid w:val="0040351C"/>
    <w:rsid w:val="00403578"/>
    <w:rsid w:val="00403586"/>
    <w:rsid w:val="00403CA0"/>
    <w:rsid w:val="00404D72"/>
    <w:rsid w:val="004051EF"/>
    <w:rsid w:val="00405652"/>
    <w:rsid w:val="00405B47"/>
    <w:rsid w:val="00406100"/>
    <w:rsid w:val="00406932"/>
    <w:rsid w:val="00406EDB"/>
    <w:rsid w:val="0040724F"/>
    <w:rsid w:val="0040767B"/>
    <w:rsid w:val="00407946"/>
    <w:rsid w:val="00407BA5"/>
    <w:rsid w:val="00407CAB"/>
    <w:rsid w:val="004102E9"/>
    <w:rsid w:val="0041047E"/>
    <w:rsid w:val="004108E7"/>
    <w:rsid w:val="004112CA"/>
    <w:rsid w:val="004114A7"/>
    <w:rsid w:val="004119D9"/>
    <w:rsid w:val="00411BDE"/>
    <w:rsid w:val="00412CF6"/>
    <w:rsid w:val="00412FA3"/>
    <w:rsid w:val="004132F3"/>
    <w:rsid w:val="0041342D"/>
    <w:rsid w:val="00413B46"/>
    <w:rsid w:val="00413C17"/>
    <w:rsid w:val="0041420A"/>
    <w:rsid w:val="00414269"/>
    <w:rsid w:val="0041484A"/>
    <w:rsid w:val="00414DB4"/>
    <w:rsid w:val="004163A8"/>
    <w:rsid w:val="0041689E"/>
    <w:rsid w:val="00416EDB"/>
    <w:rsid w:val="004170EB"/>
    <w:rsid w:val="00417D05"/>
    <w:rsid w:val="00417D4F"/>
    <w:rsid w:val="00417E56"/>
    <w:rsid w:val="00420401"/>
    <w:rsid w:val="00421460"/>
    <w:rsid w:val="0042253B"/>
    <w:rsid w:val="00423308"/>
    <w:rsid w:val="0042338C"/>
    <w:rsid w:val="004236C8"/>
    <w:rsid w:val="00423758"/>
    <w:rsid w:val="0042392C"/>
    <w:rsid w:val="00423ACF"/>
    <w:rsid w:val="00424277"/>
    <w:rsid w:val="00424453"/>
    <w:rsid w:val="00424522"/>
    <w:rsid w:val="004246DC"/>
    <w:rsid w:val="00424AE7"/>
    <w:rsid w:val="00424DC8"/>
    <w:rsid w:val="00424EB2"/>
    <w:rsid w:val="0042506E"/>
    <w:rsid w:val="004251F3"/>
    <w:rsid w:val="004255F9"/>
    <w:rsid w:val="00425676"/>
    <w:rsid w:val="0042590B"/>
    <w:rsid w:val="00425E02"/>
    <w:rsid w:val="00426515"/>
    <w:rsid w:val="00426CD9"/>
    <w:rsid w:val="00426E3D"/>
    <w:rsid w:val="004272D4"/>
    <w:rsid w:val="00427681"/>
    <w:rsid w:val="00427705"/>
    <w:rsid w:val="00427979"/>
    <w:rsid w:val="0043037C"/>
    <w:rsid w:val="004304E7"/>
    <w:rsid w:val="0043184F"/>
    <w:rsid w:val="00431BE9"/>
    <w:rsid w:val="00431DFA"/>
    <w:rsid w:val="004323DD"/>
    <w:rsid w:val="0043295D"/>
    <w:rsid w:val="00432B4E"/>
    <w:rsid w:val="00433659"/>
    <w:rsid w:val="00433851"/>
    <w:rsid w:val="00433AE4"/>
    <w:rsid w:val="00433DB7"/>
    <w:rsid w:val="00434034"/>
    <w:rsid w:val="004344E9"/>
    <w:rsid w:val="0043496F"/>
    <w:rsid w:val="00435541"/>
    <w:rsid w:val="004363AF"/>
    <w:rsid w:val="00436A8B"/>
    <w:rsid w:val="00436D2D"/>
    <w:rsid w:val="004372C5"/>
    <w:rsid w:val="00437461"/>
    <w:rsid w:val="00437508"/>
    <w:rsid w:val="00437534"/>
    <w:rsid w:val="00440BC0"/>
    <w:rsid w:val="00441442"/>
    <w:rsid w:val="00441BFF"/>
    <w:rsid w:val="00442BB9"/>
    <w:rsid w:val="004430AA"/>
    <w:rsid w:val="00443540"/>
    <w:rsid w:val="004440D5"/>
    <w:rsid w:val="00444B38"/>
    <w:rsid w:val="00444B6E"/>
    <w:rsid w:val="00444FDE"/>
    <w:rsid w:val="0044504C"/>
    <w:rsid w:val="00445C76"/>
    <w:rsid w:val="00445F91"/>
    <w:rsid w:val="00446373"/>
    <w:rsid w:val="004464ED"/>
    <w:rsid w:val="00446CC8"/>
    <w:rsid w:val="00447360"/>
    <w:rsid w:val="004478B3"/>
    <w:rsid w:val="00450A85"/>
    <w:rsid w:val="00451B8C"/>
    <w:rsid w:val="00451C36"/>
    <w:rsid w:val="00452384"/>
    <w:rsid w:val="004524E2"/>
    <w:rsid w:val="00452788"/>
    <w:rsid w:val="004529A6"/>
    <w:rsid w:val="00452F22"/>
    <w:rsid w:val="00453105"/>
    <w:rsid w:val="00453750"/>
    <w:rsid w:val="00454E69"/>
    <w:rsid w:val="00454FBF"/>
    <w:rsid w:val="004551B2"/>
    <w:rsid w:val="00455D21"/>
    <w:rsid w:val="00455EE9"/>
    <w:rsid w:val="00455FFB"/>
    <w:rsid w:val="00456258"/>
    <w:rsid w:val="00456295"/>
    <w:rsid w:val="00456473"/>
    <w:rsid w:val="00456941"/>
    <w:rsid w:val="00456CCF"/>
    <w:rsid w:val="0045701B"/>
    <w:rsid w:val="00457308"/>
    <w:rsid w:val="00457D3D"/>
    <w:rsid w:val="0046023F"/>
    <w:rsid w:val="004608B6"/>
    <w:rsid w:val="0046093F"/>
    <w:rsid w:val="00460EB4"/>
    <w:rsid w:val="00461737"/>
    <w:rsid w:val="004617E3"/>
    <w:rsid w:val="0046234D"/>
    <w:rsid w:val="004626D6"/>
    <w:rsid w:val="004627E2"/>
    <w:rsid w:val="00462D79"/>
    <w:rsid w:val="00462F27"/>
    <w:rsid w:val="004631CC"/>
    <w:rsid w:val="00463BA6"/>
    <w:rsid w:val="00464382"/>
    <w:rsid w:val="00464505"/>
    <w:rsid w:val="0046483C"/>
    <w:rsid w:val="00464DFB"/>
    <w:rsid w:val="00465284"/>
    <w:rsid w:val="004656D4"/>
    <w:rsid w:val="004656E7"/>
    <w:rsid w:val="00465F4A"/>
    <w:rsid w:val="00466185"/>
    <w:rsid w:val="004661AC"/>
    <w:rsid w:val="00466240"/>
    <w:rsid w:val="0046679D"/>
    <w:rsid w:val="00466851"/>
    <w:rsid w:val="004673A4"/>
    <w:rsid w:val="004702EA"/>
    <w:rsid w:val="00470598"/>
    <w:rsid w:val="004706A7"/>
    <w:rsid w:val="00470F4B"/>
    <w:rsid w:val="00471E02"/>
    <w:rsid w:val="00471E05"/>
    <w:rsid w:val="00472165"/>
    <w:rsid w:val="004727EA"/>
    <w:rsid w:val="00473040"/>
    <w:rsid w:val="00473053"/>
    <w:rsid w:val="0047340B"/>
    <w:rsid w:val="00473527"/>
    <w:rsid w:val="004739E4"/>
    <w:rsid w:val="00473B78"/>
    <w:rsid w:val="0047498B"/>
    <w:rsid w:val="00474E06"/>
    <w:rsid w:val="004750AA"/>
    <w:rsid w:val="004751A6"/>
    <w:rsid w:val="0047521D"/>
    <w:rsid w:val="00475ADD"/>
    <w:rsid w:val="00475B9D"/>
    <w:rsid w:val="00475DD6"/>
    <w:rsid w:val="00475E93"/>
    <w:rsid w:val="00476370"/>
    <w:rsid w:val="004764EC"/>
    <w:rsid w:val="0047692B"/>
    <w:rsid w:val="0047704B"/>
    <w:rsid w:val="0047733E"/>
    <w:rsid w:val="004774E4"/>
    <w:rsid w:val="004779FE"/>
    <w:rsid w:val="00480359"/>
    <w:rsid w:val="00480BF5"/>
    <w:rsid w:val="004815A1"/>
    <w:rsid w:val="0048166D"/>
    <w:rsid w:val="004816DC"/>
    <w:rsid w:val="0048295D"/>
    <w:rsid w:val="00482984"/>
    <w:rsid w:val="00482D02"/>
    <w:rsid w:val="0048308C"/>
    <w:rsid w:val="0048313C"/>
    <w:rsid w:val="00483304"/>
    <w:rsid w:val="00484027"/>
    <w:rsid w:val="004840DE"/>
    <w:rsid w:val="0048437B"/>
    <w:rsid w:val="004849A6"/>
    <w:rsid w:val="00484F26"/>
    <w:rsid w:val="004855F5"/>
    <w:rsid w:val="00485EB3"/>
    <w:rsid w:val="00485FCC"/>
    <w:rsid w:val="004860B5"/>
    <w:rsid w:val="004864AF"/>
    <w:rsid w:val="00486DA0"/>
    <w:rsid w:val="00487432"/>
    <w:rsid w:val="0048795D"/>
    <w:rsid w:val="00487D41"/>
    <w:rsid w:val="00487E71"/>
    <w:rsid w:val="004905B0"/>
    <w:rsid w:val="00490C64"/>
    <w:rsid w:val="00490E9A"/>
    <w:rsid w:val="00491992"/>
    <w:rsid w:val="00492DDB"/>
    <w:rsid w:val="004931E2"/>
    <w:rsid w:val="004933E3"/>
    <w:rsid w:val="00493886"/>
    <w:rsid w:val="004942A6"/>
    <w:rsid w:val="004945F7"/>
    <w:rsid w:val="004949D8"/>
    <w:rsid w:val="00494B8B"/>
    <w:rsid w:val="00494E9C"/>
    <w:rsid w:val="0049540B"/>
    <w:rsid w:val="00495653"/>
    <w:rsid w:val="004956AF"/>
    <w:rsid w:val="004967A3"/>
    <w:rsid w:val="0049731D"/>
    <w:rsid w:val="0049796C"/>
    <w:rsid w:val="00497BEA"/>
    <w:rsid w:val="00497CF2"/>
    <w:rsid w:val="004A0AB4"/>
    <w:rsid w:val="004A10D4"/>
    <w:rsid w:val="004A11EE"/>
    <w:rsid w:val="004A1464"/>
    <w:rsid w:val="004A19C0"/>
    <w:rsid w:val="004A1A8F"/>
    <w:rsid w:val="004A2DE1"/>
    <w:rsid w:val="004A3F8C"/>
    <w:rsid w:val="004A43D6"/>
    <w:rsid w:val="004A4DFC"/>
    <w:rsid w:val="004A53CF"/>
    <w:rsid w:val="004A5E80"/>
    <w:rsid w:val="004A5EDD"/>
    <w:rsid w:val="004A60D1"/>
    <w:rsid w:val="004A6BC3"/>
    <w:rsid w:val="004A7519"/>
    <w:rsid w:val="004A775F"/>
    <w:rsid w:val="004A7BD0"/>
    <w:rsid w:val="004B043B"/>
    <w:rsid w:val="004B04F3"/>
    <w:rsid w:val="004B0655"/>
    <w:rsid w:val="004B068B"/>
    <w:rsid w:val="004B1250"/>
    <w:rsid w:val="004B1373"/>
    <w:rsid w:val="004B152C"/>
    <w:rsid w:val="004B1E14"/>
    <w:rsid w:val="004B2E44"/>
    <w:rsid w:val="004B2E4C"/>
    <w:rsid w:val="004B32C1"/>
    <w:rsid w:val="004B3555"/>
    <w:rsid w:val="004B361A"/>
    <w:rsid w:val="004B3E54"/>
    <w:rsid w:val="004B4024"/>
    <w:rsid w:val="004B4FA6"/>
    <w:rsid w:val="004B50A6"/>
    <w:rsid w:val="004B60E4"/>
    <w:rsid w:val="004B6885"/>
    <w:rsid w:val="004B690D"/>
    <w:rsid w:val="004B698F"/>
    <w:rsid w:val="004B69AB"/>
    <w:rsid w:val="004B6A59"/>
    <w:rsid w:val="004B7014"/>
    <w:rsid w:val="004B7437"/>
    <w:rsid w:val="004B7BC7"/>
    <w:rsid w:val="004B7D47"/>
    <w:rsid w:val="004C0139"/>
    <w:rsid w:val="004C0ECB"/>
    <w:rsid w:val="004C0FE1"/>
    <w:rsid w:val="004C15F6"/>
    <w:rsid w:val="004C1A9B"/>
    <w:rsid w:val="004C1D10"/>
    <w:rsid w:val="004C1F19"/>
    <w:rsid w:val="004C2C86"/>
    <w:rsid w:val="004C31C3"/>
    <w:rsid w:val="004C36E0"/>
    <w:rsid w:val="004C3D3D"/>
    <w:rsid w:val="004C402C"/>
    <w:rsid w:val="004C4551"/>
    <w:rsid w:val="004C462B"/>
    <w:rsid w:val="004C4AB6"/>
    <w:rsid w:val="004C4B48"/>
    <w:rsid w:val="004C540C"/>
    <w:rsid w:val="004C554F"/>
    <w:rsid w:val="004C558C"/>
    <w:rsid w:val="004C5A56"/>
    <w:rsid w:val="004C5EC3"/>
    <w:rsid w:val="004C65EA"/>
    <w:rsid w:val="004C70EF"/>
    <w:rsid w:val="004C7189"/>
    <w:rsid w:val="004C770E"/>
    <w:rsid w:val="004C7A99"/>
    <w:rsid w:val="004C7ABC"/>
    <w:rsid w:val="004C7C04"/>
    <w:rsid w:val="004C7D2B"/>
    <w:rsid w:val="004C7F2E"/>
    <w:rsid w:val="004C7FAE"/>
    <w:rsid w:val="004D00E7"/>
    <w:rsid w:val="004D0C2D"/>
    <w:rsid w:val="004D0ECF"/>
    <w:rsid w:val="004D0FA3"/>
    <w:rsid w:val="004D1821"/>
    <w:rsid w:val="004D26A3"/>
    <w:rsid w:val="004D2772"/>
    <w:rsid w:val="004D2E4C"/>
    <w:rsid w:val="004D307C"/>
    <w:rsid w:val="004D30DB"/>
    <w:rsid w:val="004D3518"/>
    <w:rsid w:val="004D5025"/>
    <w:rsid w:val="004D553D"/>
    <w:rsid w:val="004D55D1"/>
    <w:rsid w:val="004D5A2B"/>
    <w:rsid w:val="004D62D6"/>
    <w:rsid w:val="004D6E29"/>
    <w:rsid w:val="004D738C"/>
    <w:rsid w:val="004D756B"/>
    <w:rsid w:val="004D76F3"/>
    <w:rsid w:val="004D7EAC"/>
    <w:rsid w:val="004E018A"/>
    <w:rsid w:val="004E04D9"/>
    <w:rsid w:val="004E1593"/>
    <w:rsid w:val="004E2C73"/>
    <w:rsid w:val="004E3063"/>
    <w:rsid w:val="004E42DD"/>
    <w:rsid w:val="004E4A7B"/>
    <w:rsid w:val="004E4B2C"/>
    <w:rsid w:val="004E4E92"/>
    <w:rsid w:val="004E55ED"/>
    <w:rsid w:val="004E5B64"/>
    <w:rsid w:val="004E5B87"/>
    <w:rsid w:val="004E70D2"/>
    <w:rsid w:val="004E70E7"/>
    <w:rsid w:val="004E7372"/>
    <w:rsid w:val="004E743C"/>
    <w:rsid w:val="004E74E2"/>
    <w:rsid w:val="004E7FCC"/>
    <w:rsid w:val="004E7FF7"/>
    <w:rsid w:val="004F15B6"/>
    <w:rsid w:val="004F17C5"/>
    <w:rsid w:val="004F1945"/>
    <w:rsid w:val="004F2248"/>
    <w:rsid w:val="004F22AF"/>
    <w:rsid w:val="004F262E"/>
    <w:rsid w:val="004F2825"/>
    <w:rsid w:val="004F2A71"/>
    <w:rsid w:val="004F2C97"/>
    <w:rsid w:val="004F2D91"/>
    <w:rsid w:val="004F2EB5"/>
    <w:rsid w:val="004F36F1"/>
    <w:rsid w:val="004F3860"/>
    <w:rsid w:val="004F3D10"/>
    <w:rsid w:val="004F40A7"/>
    <w:rsid w:val="004F464B"/>
    <w:rsid w:val="004F4DCF"/>
    <w:rsid w:val="004F4F49"/>
    <w:rsid w:val="004F517B"/>
    <w:rsid w:val="004F5E7E"/>
    <w:rsid w:val="004F62AA"/>
    <w:rsid w:val="004F675B"/>
    <w:rsid w:val="00500491"/>
    <w:rsid w:val="00501339"/>
    <w:rsid w:val="00501FF7"/>
    <w:rsid w:val="0050219A"/>
    <w:rsid w:val="005021F2"/>
    <w:rsid w:val="00502A6B"/>
    <w:rsid w:val="005034DB"/>
    <w:rsid w:val="00503C4C"/>
    <w:rsid w:val="00503E16"/>
    <w:rsid w:val="005040D7"/>
    <w:rsid w:val="00504319"/>
    <w:rsid w:val="00504627"/>
    <w:rsid w:val="00504902"/>
    <w:rsid w:val="00504CF8"/>
    <w:rsid w:val="00504FBD"/>
    <w:rsid w:val="00504FC3"/>
    <w:rsid w:val="0050606D"/>
    <w:rsid w:val="00506397"/>
    <w:rsid w:val="00506429"/>
    <w:rsid w:val="005069D2"/>
    <w:rsid w:val="00506C11"/>
    <w:rsid w:val="0050719A"/>
    <w:rsid w:val="005077A4"/>
    <w:rsid w:val="00507DD5"/>
    <w:rsid w:val="005108E8"/>
    <w:rsid w:val="00510BC6"/>
    <w:rsid w:val="00510C40"/>
    <w:rsid w:val="00510DD7"/>
    <w:rsid w:val="00510EDB"/>
    <w:rsid w:val="005110C4"/>
    <w:rsid w:val="00511F29"/>
    <w:rsid w:val="00512A8B"/>
    <w:rsid w:val="00512C05"/>
    <w:rsid w:val="00513BCE"/>
    <w:rsid w:val="005142FB"/>
    <w:rsid w:val="00514566"/>
    <w:rsid w:val="00514DC4"/>
    <w:rsid w:val="005152D5"/>
    <w:rsid w:val="00515420"/>
    <w:rsid w:val="00515D59"/>
    <w:rsid w:val="00516897"/>
    <w:rsid w:val="00516DA4"/>
    <w:rsid w:val="00516DBF"/>
    <w:rsid w:val="00516E4C"/>
    <w:rsid w:val="00516FC6"/>
    <w:rsid w:val="00517512"/>
    <w:rsid w:val="00517CDB"/>
    <w:rsid w:val="005208A8"/>
    <w:rsid w:val="005208F8"/>
    <w:rsid w:val="0052122C"/>
    <w:rsid w:val="00521BA5"/>
    <w:rsid w:val="0052213C"/>
    <w:rsid w:val="005225F5"/>
    <w:rsid w:val="0052265C"/>
    <w:rsid w:val="00522983"/>
    <w:rsid w:val="00522B07"/>
    <w:rsid w:val="00522DB9"/>
    <w:rsid w:val="0052479D"/>
    <w:rsid w:val="00524CE0"/>
    <w:rsid w:val="00524F29"/>
    <w:rsid w:val="005250DB"/>
    <w:rsid w:val="005251FC"/>
    <w:rsid w:val="00525EBF"/>
    <w:rsid w:val="00526233"/>
    <w:rsid w:val="005263C3"/>
    <w:rsid w:val="00526D79"/>
    <w:rsid w:val="00527912"/>
    <w:rsid w:val="00527BB4"/>
    <w:rsid w:val="0053017E"/>
    <w:rsid w:val="005301F7"/>
    <w:rsid w:val="005315D4"/>
    <w:rsid w:val="00531898"/>
    <w:rsid w:val="005326E9"/>
    <w:rsid w:val="0053338C"/>
    <w:rsid w:val="005335AC"/>
    <w:rsid w:val="0053373C"/>
    <w:rsid w:val="0053416C"/>
    <w:rsid w:val="005346A1"/>
    <w:rsid w:val="00534774"/>
    <w:rsid w:val="00535958"/>
    <w:rsid w:val="00535A34"/>
    <w:rsid w:val="00535AF1"/>
    <w:rsid w:val="005369FC"/>
    <w:rsid w:val="005369FF"/>
    <w:rsid w:val="00536BCF"/>
    <w:rsid w:val="00536FF3"/>
    <w:rsid w:val="005374DA"/>
    <w:rsid w:val="005375E2"/>
    <w:rsid w:val="005407B0"/>
    <w:rsid w:val="005409B4"/>
    <w:rsid w:val="00540F7C"/>
    <w:rsid w:val="00541C2F"/>
    <w:rsid w:val="00541C65"/>
    <w:rsid w:val="005424DD"/>
    <w:rsid w:val="00542934"/>
    <w:rsid w:val="00542E99"/>
    <w:rsid w:val="00543454"/>
    <w:rsid w:val="00543E23"/>
    <w:rsid w:val="00544071"/>
    <w:rsid w:val="00544207"/>
    <w:rsid w:val="00544801"/>
    <w:rsid w:val="005452BF"/>
    <w:rsid w:val="00545315"/>
    <w:rsid w:val="005457A1"/>
    <w:rsid w:val="0054580F"/>
    <w:rsid w:val="0054691E"/>
    <w:rsid w:val="00546FE4"/>
    <w:rsid w:val="00547761"/>
    <w:rsid w:val="0054780B"/>
    <w:rsid w:val="00547CF9"/>
    <w:rsid w:val="00550278"/>
    <w:rsid w:val="00550331"/>
    <w:rsid w:val="005504BC"/>
    <w:rsid w:val="005505C8"/>
    <w:rsid w:val="00550C7A"/>
    <w:rsid w:val="005512E6"/>
    <w:rsid w:val="00551D92"/>
    <w:rsid w:val="0055240E"/>
    <w:rsid w:val="0055256D"/>
    <w:rsid w:val="00552BE4"/>
    <w:rsid w:val="005531DD"/>
    <w:rsid w:val="00554049"/>
    <w:rsid w:val="005546C4"/>
    <w:rsid w:val="0055473B"/>
    <w:rsid w:val="00554901"/>
    <w:rsid w:val="005549BC"/>
    <w:rsid w:val="00554D28"/>
    <w:rsid w:val="00555243"/>
    <w:rsid w:val="00555EAB"/>
    <w:rsid w:val="005568B6"/>
    <w:rsid w:val="00556A33"/>
    <w:rsid w:val="0055720A"/>
    <w:rsid w:val="0055778A"/>
    <w:rsid w:val="00557A2D"/>
    <w:rsid w:val="00557F32"/>
    <w:rsid w:val="00557FA6"/>
    <w:rsid w:val="005607E0"/>
    <w:rsid w:val="00560928"/>
    <w:rsid w:val="00560D3D"/>
    <w:rsid w:val="00560E2E"/>
    <w:rsid w:val="00561271"/>
    <w:rsid w:val="0056182D"/>
    <w:rsid w:val="00561AA0"/>
    <w:rsid w:val="00562257"/>
    <w:rsid w:val="0056244D"/>
    <w:rsid w:val="0056248E"/>
    <w:rsid w:val="00562A13"/>
    <w:rsid w:val="00562C18"/>
    <w:rsid w:val="00562C46"/>
    <w:rsid w:val="00563527"/>
    <w:rsid w:val="00564188"/>
    <w:rsid w:val="005645C9"/>
    <w:rsid w:val="0056466E"/>
    <w:rsid w:val="005652B4"/>
    <w:rsid w:val="005655F8"/>
    <w:rsid w:val="00565E70"/>
    <w:rsid w:val="005660F9"/>
    <w:rsid w:val="0056647A"/>
    <w:rsid w:val="00567A8B"/>
    <w:rsid w:val="00570827"/>
    <w:rsid w:val="00570A8C"/>
    <w:rsid w:val="00570EB9"/>
    <w:rsid w:val="00570EDF"/>
    <w:rsid w:val="00570FEE"/>
    <w:rsid w:val="00571521"/>
    <w:rsid w:val="005715AA"/>
    <w:rsid w:val="005718CC"/>
    <w:rsid w:val="00571994"/>
    <w:rsid w:val="00571E22"/>
    <w:rsid w:val="005723C7"/>
    <w:rsid w:val="0057275C"/>
    <w:rsid w:val="0057296C"/>
    <w:rsid w:val="00572BDE"/>
    <w:rsid w:val="005733C2"/>
    <w:rsid w:val="00573D0A"/>
    <w:rsid w:val="00574927"/>
    <w:rsid w:val="00574ADE"/>
    <w:rsid w:val="00574AEF"/>
    <w:rsid w:val="00574E64"/>
    <w:rsid w:val="00575099"/>
    <w:rsid w:val="005759F4"/>
    <w:rsid w:val="00575B5A"/>
    <w:rsid w:val="00575D48"/>
    <w:rsid w:val="0057647F"/>
    <w:rsid w:val="00576629"/>
    <w:rsid w:val="00576D44"/>
    <w:rsid w:val="00576E5B"/>
    <w:rsid w:val="00576F03"/>
    <w:rsid w:val="005805CA"/>
    <w:rsid w:val="005806E0"/>
    <w:rsid w:val="005809F4"/>
    <w:rsid w:val="0058124E"/>
    <w:rsid w:val="0058155B"/>
    <w:rsid w:val="00582341"/>
    <w:rsid w:val="00583E92"/>
    <w:rsid w:val="0058422D"/>
    <w:rsid w:val="00584892"/>
    <w:rsid w:val="00584D5E"/>
    <w:rsid w:val="00584F2E"/>
    <w:rsid w:val="00585C2B"/>
    <w:rsid w:val="00585CBF"/>
    <w:rsid w:val="00585CC1"/>
    <w:rsid w:val="00586457"/>
    <w:rsid w:val="005866AF"/>
    <w:rsid w:val="00586DE4"/>
    <w:rsid w:val="0058720F"/>
    <w:rsid w:val="00587332"/>
    <w:rsid w:val="005875A3"/>
    <w:rsid w:val="00587758"/>
    <w:rsid w:val="00587824"/>
    <w:rsid w:val="00587A94"/>
    <w:rsid w:val="00587D6D"/>
    <w:rsid w:val="005901F4"/>
    <w:rsid w:val="005908C4"/>
    <w:rsid w:val="00590BB7"/>
    <w:rsid w:val="00590F7C"/>
    <w:rsid w:val="005911FA"/>
    <w:rsid w:val="0059135E"/>
    <w:rsid w:val="00592CB9"/>
    <w:rsid w:val="00592F3D"/>
    <w:rsid w:val="00593911"/>
    <w:rsid w:val="00594239"/>
    <w:rsid w:val="005943E5"/>
    <w:rsid w:val="0059448B"/>
    <w:rsid w:val="005946B6"/>
    <w:rsid w:val="00594959"/>
    <w:rsid w:val="00594B17"/>
    <w:rsid w:val="00594C81"/>
    <w:rsid w:val="005959A0"/>
    <w:rsid w:val="005964A4"/>
    <w:rsid w:val="00596A33"/>
    <w:rsid w:val="00597B15"/>
    <w:rsid w:val="005A043D"/>
    <w:rsid w:val="005A06B1"/>
    <w:rsid w:val="005A06B8"/>
    <w:rsid w:val="005A0C52"/>
    <w:rsid w:val="005A108D"/>
    <w:rsid w:val="005A16E1"/>
    <w:rsid w:val="005A1B4B"/>
    <w:rsid w:val="005A2327"/>
    <w:rsid w:val="005A249B"/>
    <w:rsid w:val="005A2CF3"/>
    <w:rsid w:val="005A3416"/>
    <w:rsid w:val="005A3E65"/>
    <w:rsid w:val="005A4099"/>
    <w:rsid w:val="005A40AF"/>
    <w:rsid w:val="005A515B"/>
    <w:rsid w:val="005A5322"/>
    <w:rsid w:val="005A55F3"/>
    <w:rsid w:val="005A5651"/>
    <w:rsid w:val="005A6106"/>
    <w:rsid w:val="005A64DA"/>
    <w:rsid w:val="005A686F"/>
    <w:rsid w:val="005A6CFC"/>
    <w:rsid w:val="005A703B"/>
    <w:rsid w:val="005A707B"/>
    <w:rsid w:val="005A7BA3"/>
    <w:rsid w:val="005B02EB"/>
    <w:rsid w:val="005B0337"/>
    <w:rsid w:val="005B03F7"/>
    <w:rsid w:val="005B0489"/>
    <w:rsid w:val="005B08CF"/>
    <w:rsid w:val="005B1008"/>
    <w:rsid w:val="005B161C"/>
    <w:rsid w:val="005B16AA"/>
    <w:rsid w:val="005B17D9"/>
    <w:rsid w:val="005B1BA8"/>
    <w:rsid w:val="005B1C21"/>
    <w:rsid w:val="005B27EA"/>
    <w:rsid w:val="005B27FE"/>
    <w:rsid w:val="005B28F1"/>
    <w:rsid w:val="005B2E28"/>
    <w:rsid w:val="005B2FBA"/>
    <w:rsid w:val="005B37F6"/>
    <w:rsid w:val="005B390B"/>
    <w:rsid w:val="005B3C42"/>
    <w:rsid w:val="005B4039"/>
    <w:rsid w:val="005B4AF9"/>
    <w:rsid w:val="005B5F91"/>
    <w:rsid w:val="005B68AC"/>
    <w:rsid w:val="005C068D"/>
    <w:rsid w:val="005C0B85"/>
    <w:rsid w:val="005C0E4F"/>
    <w:rsid w:val="005C0E58"/>
    <w:rsid w:val="005C2481"/>
    <w:rsid w:val="005C3565"/>
    <w:rsid w:val="005C3D79"/>
    <w:rsid w:val="005C3DD0"/>
    <w:rsid w:val="005C4500"/>
    <w:rsid w:val="005C4D1C"/>
    <w:rsid w:val="005C4FC9"/>
    <w:rsid w:val="005C5678"/>
    <w:rsid w:val="005C583B"/>
    <w:rsid w:val="005C5872"/>
    <w:rsid w:val="005C5B36"/>
    <w:rsid w:val="005C5C34"/>
    <w:rsid w:val="005C5FA8"/>
    <w:rsid w:val="005C7F12"/>
    <w:rsid w:val="005D0913"/>
    <w:rsid w:val="005D0D5E"/>
    <w:rsid w:val="005D1D3A"/>
    <w:rsid w:val="005D210B"/>
    <w:rsid w:val="005D2172"/>
    <w:rsid w:val="005D23F3"/>
    <w:rsid w:val="005D2742"/>
    <w:rsid w:val="005D2941"/>
    <w:rsid w:val="005D35FC"/>
    <w:rsid w:val="005D3CDB"/>
    <w:rsid w:val="005D4073"/>
    <w:rsid w:val="005D4166"/>
    <w:rsid w:val="005D55C1"/>
    <w:rsid w:val="005D5B46"/>
    <w:rsid w:val="005D6A50"/>
    <w:rsid w:val="005D6F49"/>
    <w:rsid w:val="005D732D"/>
    <w:rsid w:val="005D767E"/>
    <w:rsid w:val="005D7731"/>
    <w:rsid w:val="005D7B70"/>
    <w:rsid w:val="005D7FFC"/>
    <w:rsid w:val="005E10FF"/>
    <w:rsid w:val="005E1253"/>
    <w:rsid w:val="005E17D1"/>
    <w:rsid w:val="005E20C3"/>
    <w:rsid w:val="005E2346"/>
    <w:rsid w:val="005E2975"/>
    <w:rsid w:val="005E32B6"/>
    <w:rsid w:val="005E40F7"/>
    <w:rsid w:val="005E580A"/>
    <w:rsid w:val="005E5BE6"/>
    <w:rsid w:val="005E5D0D"/>
    <w:rsid w:val="005E6244"/>
    <w:rsid w:val="005E6717"/>
    <w:rsid w:val="005E69A4"/>
    <w:rsid w:val="005E6B13"/>
    <w:rsid w:val="005E6CD4"/>
    <w:rsid w:val="005E7169"/>
    <w:rsid w:val="005F009B"/>
    <w:rsid w:val="005F01D2"/>
    <w:rsid w:val="005F0666"/>
    <w:rsid w:val="005F095E"/>
    <w:rsid w:val="005F09A4"/>
    <w:rsid w:val="005F0A11"/>
    <w:rsid w:val="005F0F46"/>
    <w:rsid w:val="005F2D31"/>
    <w:rsid w:val="005F2EB5"/>
    <w:rsid w:val="005F36C5"/>
    <w:rsid w:val="005F3FC1"/>
    <w:rsid w:val="005F40D4"/>
    <w:rsid w:val="005F4133"/>
    <w:rsid w:val="005F45B7"/>
    <w:rsid w:val="005F4F34"/>
    <w:rsid w:val="005F5911"/>
    <w:rsid w:val="005F5BD0"/>
    <w:rsid w:val="005F5D25"/>
    <w:rsid w:val="005F61DF"/>
    <w:rsid w:val="005F67ED"/>
    <w:rsid w:val="005F6F89"/>
    <w:rsid w:val="005F7538"/>
    <w:rsid w:val="005F7866"/>
    <w:rsid w:val="00600248"/>
    <w:rsid w:val="006005BC"/>
    <w:rsid w:val="00600A82"/>
    <w:rsid w:val="0060138E"/>
    <w:rsid w:val="006013D8"/>
    <w:rsid w:val="00601577"/>
    <w:rsid w:val="00601C34"/>
    <w:rsid w:val="00601C5F"/>
    <w:rsid w:val="00601F1B"/>
    <w:rsid w:val="006023F9"/>
    <w:rsid w:val="006024DA"/>
    <w:rsid w:val="00602818"/>
    <w:rsid w:val="00602BED"/>
    <w:rsid w:val="00602F07"/>
    <w:rsid w:val="006030AE"/>
    <w:rsid w:val="00603F8F"/>
    <w:rsid w:val="00604480"/>
    <w:rsid w:val="0060496C"/>
    <w:rsid w:val="00605511"/>
    <w:rsid w:val="006057E7"/>
    <w:rsid w:val="00605EED"/>
    <w:rsid w:val="0060600E"/>
    <w:rsid w:val="0060632F"/>
    <w:rsid w:val="00606674"/>
    <w:rsid w:val="006068AB"/>
    <w:rsid w:val="00606C11"/>
    <w:rsid w:val="00606CBC"/>
    <w:rsid w:val="006074F8"/>
    <w:rsid w:val="0060756A"/>
    <w:rsid w:val="0060783A"/>
    <w:rsid w:val="006078B1"/>
    <w:rsid w:val="00607E04"/>
    <w:rsid w:val="00610559"/>
    <w:rsid w:val="00610850"/>
    <w:rsid w:val="00611F7E"/>
    <w:rsid w:val="006136D7"/>
    <w:rsid w:val="00614BEB"/>
    <w:rsid w:val="00614E6E"/>
    <w:rsid w:val="00615FDE"/>
    <w:rsid w:val="0061669F"/>
    <w:rsid w:val="00616791"/>
    <w:rsid w:val="0061696E"/>
    <w:rsid w:val="00616A91"/>
    <w:rsid w:val="00616CC0"/>
    <w:rsid w:val="00617196"/>
    <w:rsid w:val="00617434"/>
    <w:rsid w:val="00617E94"/>
    <w:rsid w:val="0062003E"/>
    <w:rsid w:val="006204F4"/>
    <w:rsid w:val="006215A8"/>
    <w:rsid w:val="006218B1"/>
    <w:rsid w:val="006221D3"/>
    <w:rsid w:val="00622201"/>
    <w:rsid w:val="00622F00"/>
    <w:rsid w:val="00622F44"/>
    <w:rsid w:val="00623FB1"/>
    <w:rsid w:val="00624A6B"/>
    <w:rsid w:val="00624BD7"/>
    <w:rsid w:val="006253AF"/>
    <w:rsid w:val="00625537"/>
    <w:rsid w:val="00625C21"/>
    <w:rsid w:val="00625E17"/>
    <w:rsid w:val="00626345"/>
    <w:rsid w:val="0062638D"/>
    <w:rsid w:val="006265B3"/>
    <w:rsid w:val="00626661"/>
    <w:rsid w:val="006269F3"/>
    <w:rsid w:val="00626DB2"/>
    <w:rsid w:val="00626F2C"/>
    <w:rsid w:val="00626FF2"/>
    <w:rsid w:val="0062712B"/>
    <w:rsid w:val="00627569"/>
    <w:rsid w:val="006301E7"/>
    <w:rsid w:val="0063087C"/>
    <w:rsid w:val="006308DC"/>
    <w:rsid w:val="00630D93"/>
    <w:rsid w:val="00631346"/>
    <w:rsid w:val="00631E08"/>
    <w:rsid w:val="00631EEE"/>
    <w:rsid w:val="006327CC"/>
    <w:rsid w:val="006329B8"/>
    <w:rsid w:val="00632B5C"/>
    <w:rsid w:val="00632B5D"/>
    <w:rsid w:val="0063314C"/>
    <w:rsid w:val="00633251"/>
    <w:rsid w:val="00633280"/>
    <w:rsid w:val="006332F6"/>
    <w:rsid w:val="00634226"/>
    <w:rsid w:val="0063431F"/>
    <w:rsid w:val="00634659"/>
    <w:rsid w:val="00634F0D"/>
    <w:rsid w:val="00635624"/>
    <w:rsid w:val="00635870"/>
    <w:rsid w:val="006362E8"/>
    <w:rsid w:val="006363C4"/>
    <w:rsid w:val="006363DA"/>
    <w:rsid w:val="00636431"/>
    <w:rsid w:val="00636F25"/>
    <w:rsid w:val="00637A1E"/>
    <w:rsid w:val="00637ACB"/>
    <w:rsid w:val="00637BD1"/>
    <w:rsid w:val="00640620"/>
    <w:rsid w:val="00640D46"/>
    <w:rsid w:val="006415B0"/>
    <w:rsid w:val="00642120"/>
    <w:rsid w:val="006424B9"/>
    <w:rsid w:val="00643097"/>
    <w:rsid w:val="0064362B"/>
    <w:rsid w:val="0064395B"/>
    <w:rsid w:val="00644919"/>
    <w:rsid w:val="00644D85"/>
    <w:rsid w:val="00645238"/>
    <w:rsid w:val="00645A53"/>
    <w:rsid w:val="00647B50"/>
    <w:rsid w:val="00650290"/>
    <w:rsid w:val="006502BB"/>
    <w:rsid w:val="00650586"/>
    <w:rsid w:val="0065085F"/>
    <w:rsid w:val="00650868"/>
    <w:rsid w:val="00650C35"/>
    <w:rsid w:val="00650D11"/>
    <w:rsid w:val="00651C08"/>
    <w:rsid w:val="00651E79"/>
    <w:rsid w:val="00652018"/>
    <w:rsid w:val="006523BC"/>
    <w:rsid w:val="006534B2"/>
    <w:rsid w:val="00653D52"/>
    <w:rsid w:val="006547BC"/>
    <w:rsid w:val="00654D1D"/>
    <w:rsid w:val="00655C72"/>
    <w:rsid w:val="00656052"/>
    <w:rsid w:val="0065615D"/>
    <w:rsid w:val="006567DA"/>
    <w:rsid w:val="00657011"/>
    <w:rsid w:val="00657B5F"/>
    <w:rsid w:val="00657BC8"/>
    <w:rsid w:val="00657CC1"/>
    <w:rsid w:val="006602A4"/>
    <w:rsid w:val="00660EE0"/>
    <w:rsid w:val="006610D7"/>
    <w:rsid w:val="0066133C"/>
    <w:rsid w:val="0066214A"/>
    <w:rsid w:val="006626C9"/>
    <w:rsid w:val="006627CC"/>
    <w:rsid w:val="00662A91"/>
    <w:rsid w:val="00662E81"/>
    <w:rsid w:val="00663C9E"/>
    <w:rsid w:val="006643FB"/>
    <w:rsid w:val="00664794"/>
    <w:rsid w:val="00664F81"/>
    <w:rsid w:val="006650B5"/>
    <w:rsid w:val="006651B1"/>
    <w:rsid w:val="00665778"/>
    <w:rsid w:val="00665978"/>
    <w:rsid w:val="00665CDA"/>
    <w:rsid w:val="00665D91"/>
    <w:rsid w:val="00666876"/>
    <w:rsid w:val="00666CFF"/>
    <w:rsid w:val="00667090"/>
    <w:rsid w:val="00667625"/>
    <w:rsid w:val="00670448"/>
    <w:rsid w:val="0067046F"/>
    <w:rsid w:val="006705F4"/>
    <w:rsid w:val="006714C1"/>
    <w:rsid w:val="00671768"/>
    <w:rsid w:val="00671784"/>
    <w:rsid w:val="0067296E"/>
    <w:rsid w:val="00672FF4"/>
    <w:rsid w:val="00673006"/>
    <w:rsid w:val="006739BB"/>
    <w:rsid w:val="00673F90"/>
    <w:rsid w:val="00674CB4"/>
    <w:rsid w:val="00674CE3"/>
    <w:rsid w:val="00674E84"/>
    <w:rsid w:val="006769ED"/>
    <w:rsid w:val="00680145"/>
    <w:rsid w:val="00681145"/>
    <w:rsid w:val="0068140B"/>
    <w:rsid w:val="00681656"/>
    <w:rsid w:val="006819FF"/>
    <w:rsid w:val="00681FC4"/>
    <w:rsid w:val="0068252D"/>
    <w:rsid w:val="00682775"/>
    <w:rsid w:val="006837F6"/>
    <w:rsid w:val="00683D00"/>
    <w:rsid w:val="00684006"/>
    <w:rsid w:val="006840D9"/>
    <w:rsid w:val="00684DE2"/>
    <w:rsid w:val="00684EF7"/>
    <w:rsid w:val="00685822"/>
    <w:rsid w:val="00685CED"/>
    <w:rsid w:val="00686124"/>
    <w:rsid w:val="0068613B"/>
    <w:rsid w:val="0068645B"/>
    <w:rsid w:val="006864F0"/>
    <w:rsid w:val="00686693"/>
    <w:rsid w:val="00686702"/>
    <w:rsid w:val="00686826"/>
    <w:rsid w:val="00686884"/>
    <w:rsid w:val="00686CEE"/>
    <w:rsid w:val="006870B6"/>
    <w:rsid w:val="00687EB5"/>
    <w:rsid w:val="00687F35"/>
    <w:rsid w:val="0069045E"/>
    <w:rsid w:val="00690586"/>
    <w:rsid w:val="00690887"/>
    <w:rsid w:val="0069100E"/>
    <w:rsid w:val="006911EC"/>
    <w:rsid w:val="00691607"/>
    <w:rsid w:val="0069163F"/>
    <w:rsid w:val="006921DB"/>
    <w:rsid w:val="006925FB"/>
    <w:rsid w:val="00692763"/>
    <w:rsid w:val="00692911"/>
    <w:rsid w:val="00692DD7"/>
    <w:rsid w:val="00692F42"/>
    <w:rsid w:val="00692F4B"/>
    <w:rsid w:val="006939EB"/>
    <w:rsid w:val="00694005"/>
    <w:rsid w:val="006940BD"/>
    <w:rsid w:val="0069416A"/>
    <w:rsid w:val="00694C04"/>
    <w:rsid w:val="00694D94"/>
    <w:rsid w:val="00695249"/>
    <w:rsid w:val="00695568"/>
    <w:rsid w:val="00695633"/>
    <w:rsid w:val="006959B5"/>
    <w:rsid w:val="00695DCE"/>
    <w:rsid w:val="00695FCB"/>
    <w:rsid w:val="00696109"/>
    <w:rsid w:val="006964E7"/>
    <w:rsid w:val="0069774E"/>
    <w:rsid w:val="006979ED"/>
    <w:rsid w:val="00697FDB"/>
    <w:rsid w:val="006A0151"/>
    <w:rsid w:val="006A05EC"/>
    <w:rsid w:val="006A091F"/>
    <w:rsid w:val="006A0E13"/>
    <w:rsid w:val="006A1E25"/>
    <w:rsid w:val="006A1E73"/>
    <w:rsid w:val="006A1ED0"/>
    <w:rsid w:val="006A1F9B"/>
    <w:rsid w:val="006A275A"/>
    <w:rsid w:val="006A292F"/>
    <w:rsid w:val="006A2A66"/>
    <w:rsid w:val="006A2CF5"/>
    <w:rsid w:val="006A366C"/>
    <w:rsid w:val="006A3E37"/>
    <w:rsid w:val="006A45CE"/>
    <w:rsid w:val="006A4A88"/>
    <w:rsid w:val="006A580E"/>
    <w:rsid w:val="006A5B34"/>
    <w:rsid w:val="006A67C8"/>
    <w:rsid w:val="006A6CC7"/>
    <w:rsid w:val="006A6D5B"/>
    <w:rsid w:val="006A73D5"/>
    <w:rsid w:val="006A7995"/>
    <w:rsid w:val="006A7B49"/>
    <w:rsid w:val="006B07D0"/>
    <w:rsid w:val="006B0A60"/>
    <w:rsid w:val="006B0DD3"/>
    <w:rsid w:val="006B25D4"/>
    <w:rsid w:val="006B2671"/>
    <w:rsid w:val="006B2A4C"/>
    <w:rsid w:val="006B3713"/>
    <w:rsid w:val="006B3730"/>
    <w:rsid w:val="006B3B95"/>
    <w:rsid w:val="006B3CDF"/>
    <w:rsid w:val="006B4D10"/>
    <w:rsid w:val="006B5931"/>
    <w:rsid w:val="006B5B95"/>
    <w:rsid w:val="006B60D6"/>
    <w:rsid w:val="006B6A9A"/>
    <w:rsid w:val="006B6AD3"/>
    <w:rsid w:val="006B7F53"/>
    <w:rsid w:val="006C0EBB"/>
    <w:rsid w:val="006C0EDB"/>
    <w:rsid w:val="006C1242"/>
    <w:rsid w:val="006C1762"/>
    <w:rsid w:val="006C17D7"/>
    <w:rsid w:val="006C1B79"/>
    <w:rsid w:val="006C2376"/>
    <w:rsid w:val="006C23AD"/>
    <w:rsid w:val="006C28CB"/>
    <w:rsid w:val="006C2A5E"/>
    <w:rsid w:val="006C2B87"/>
    <w:rsid w:val="006C2BF0"/>
    <w:rsid w:val="006C2CAD"/>
    <w:rsid w:val="006C3332"/>
    <w:rsid w:val="006C3CE8"/>
    <w:rsid w:val="006C3F63"/>
    <w:rsid w:val="006C4098"/>
    <w:rsid w:val="006C42E1"/>
    <w:rsid w:val="006C4DA4"/>
    <w:rsid w:val="006C4E3F"/>
    <w:rsid w:val="006C4E8B"/>
    <w:rsid w:val="006C523D"/>
    <w:rsid w:val="006C5478"/>
    <w:rsid w:val="006C5C1E"/>
    <w:rsid w:val="006C6DA5"/>
    <w:rsid w:val="006C72EA"/>
    <w:rsid w:val="006C7416"/>
    <w:rsid w:val="006C773E"/>
    <w:rsid w:val="006C77A9"/>
    <w:rsid w:val="006CF8DD"/>
    <w:rsid w:val="006D009C"/>
    <w:rsid w:val="006D02C0"/>
    <w:rsid w:val="006D11F3"/>
    <w:rsid w:val="006D241B"/>
    <w:rsid w:val="006D2941"/>
    <w:rsid w:val="006D2D3D"/>
    <w:rsid w:val="006D2DC0"/>
    <w:rsid w:val="006D3572"/>
    <w:rsid w:val="006D3628"/>
    <w:rsid w:val="006D39E4"/>
    <w:rsid w:val="006D3A4A"/>
    <w:rsid w:val="006D3D5C"/>
    <w:rsid w:val="006D3DF9"/>
    <w:rsid w:val="006D4016"/>
    <w:rsid w:val="006D4F20"/>
    <w:rsid w:val="006D5239"/>
    <w:rsid w:val="006D52FF"/>
    <w:rsid w:val="006D5D0F"/>
    <w:rsid w:val="006D5E68"/>
    <w:rsid w:val="006D6F9B"/>
    <w:rsid w:val="006D7242"/>
    <w:rsid w:val="006D754C"/>
    <w:rsid w:val="006D7B49"/>
    <w:rsid w:val="006D7F97"/>
    <w:rsid w:val="006DD4E1"/>
    <w:rsid w:val="006E018C"/>
    <w:rsid w:val="006E0378"/>
    <w:rsid w:val="006E1B98"/>
    <w:rsid w:val="006E2900"/>
    <w:rsid w:val="006E2C8F"/>
    <w:rsid w:val="006E2D63"/>
    <w:rsid w:val="006E31BE"/>
    <w:rsid w:val="006E3454"/>
    <w:rsid w:val="006E3F6C"/>
    <w:rsid w:val="006E3F75"/>
    <w:rsid w:val="006E5650"/>
    <w:rsid w:val="006E5928"/>
    <w:rsid w:val="006E5C4B"/>
    <w:rsid w:val="006E5CFD"/>
    <w:rsid w:val="006E6198"/>
    <w:rsid w:val="006E6260"/>
    <w:rsid w:val="006E650B"/>
    <w:rsid w:val="006E6806"/>
    <w:rsid w:val="006E68AA"/>
    <w:rsid w:val="006E6AA7"/>
    <w:rsid w:val="006E6AE3"/>
    <w:rsid w:val="006E7608"/>
    <w:rsid w:val="006E78AC"/>
    <w:rsid w:val="006E7B12"/>
    <w:rsid w:val="006E7FAF"/>
    <w:rsid w:val="006F03DA"/>
    <w:rsid w:val="006F162F"/>
    <w:rsid w:val="006F1D83"/>
    <w:rsid w:val="006F2076"/>
    <w:rsid w:val="006F2B6D"/>
    <w:rsid w:val="006F2EBF"/>
    <w:rsid w:val="006F4135"/>
    <w:rsid w:val="006F420B"/>
    <w:rsid w:val="006F45EE"/>
    <w:rsid w:val="006F519B"/>
    <w:rsid w:val="006F532C"/>
    <w:rsid w:val="006F5494"/>
    <w:rsid w:val="006F5727"/>
    <w:rsid w:val="006F5A9F"/>
    <w:rsid w:val="006F6693"/>
    <w:rsid w:val="006F79B9"/>
    <w:rsid w:val="00700256"/>
    <w:rsid w:val="007005B2"/>
    <w:rsid w:val="007006D7"/>
    <w:rsid w:val="00701080"/>
    <w:rsid w:val="0070196E"/>
    <w:rsid w:val="00701A10"/>
    <w:rsid w:val="00701DD7"/>
    <w:rsid w:val="007034F3"/>
    <w:rsid w:val="00703AEB"/>
    <w:rsid w:val="007042FB"/>
    <w:rsid w:val="00704E44"/>
    <w:rsid w:val="007050ED"/>
    <w:rsid w:val="0070586B"/>
    <w:rsid w:val="007058FD"/>
    <w:rsid w:val="0070611A"/>
    <w:rsid w:val="007063A7"/>
    <w:rsid w:val="007066E8"/>
    <w:rsid w:val="00706B19"/>
    <w:rsid w:val="00707270"/>
    <w:rsid w:val="00707C72"/>
    <w:rsid w:val="00707CA2"/>
    <w:rsid w:val="00707DC7"/>
    <w:rsid w:val="00707FE8"/>
    <w:rsid w:val="0071024D"/>
    <w:rsid w:val="0071077A"/>
    <w:rsid w:val="007108C0"/>
    <w:rsid w:val="00710A9E"/>
    <w:rsid w:val="00710CDB"/>
    <w:rsid w:val="00710F81"/>
    <w:rsid w:val="00711529"/>
    <w:rsid w:val="0071174A"/>
    <w:rsid w:val="00711A9E"/>
    <w:rsid w:val="00712513"/>
    <w:rsid w:val="007135BB"/>
    <w:rsid w:val="007135CE"/>
    <w:rsid w:val="00713C96"/>
    <w:rsid w:val="007141AA"/>
    <w:rsid w:val="00714CBF"/>
    <w:rsid w:val="00715846"/>
    <w:rsid w:val="00716009"/>
    <w:rsid w:val="007164D2"/>
    <w:rsid w:val="00716A68"/>
    <w:rsid w:val="00716C49"/>
    <w:rsid w:val="00716D9C"/>
    <w:rsid w:val="00716E8E"/>
    <w:rsid w:val="00717053"/>
    <w:rsid w:val="007171A7"/>
    <w:rsid w:val="00717784"/>
    <w:rsid w:val="0071794A"/>
    <w:rsid w:val="00717B56"/>
    <w:rsid w:val="007200D9"/>
    <w:rsid w:val="00720536"/>
    <w:rsid w:val="007206D7"/>
    <w:rsid w:val="007206DA"/>
    <w:rsid w:val="0072166C"/>
    <w:rsid w:val="007216FA"/>
    <w:rsid w:val="00721EB4"/>
    <w:rsid w:val="00721F4A"/>
    <w:rsid w:val="00722952"/>
    <w:rsid w:val="00722AB8"/>
    <w:rsid w:val="00722FD9"/>
    <w:rsid w:val="00723811"/>
    <w:rsid w:val="00723A41"/>
    <w:rsid w:val="00723D0D"/>
    <w:rsid w:val="00723D2F"/>
    <w:rsid w:val="0072442A"/>
    <w:rsid w:val="0072474E"/>
    <w:rsid w:val="00724962"/>
    <w:rsid w:val="00724A0F"/>
    <w:rsid w:val="007253CE"/>
    <w:rsid w:val="00725A83"/>
    <w:rsid w:val="00726C82"/>
    <w:rsid w:val="00726D40"/>
    <w:rsid w:val="007276A4"/>
    <w:rsid w:val="00730275"/>
    <w:rsid w:val="00731E80"/>
    <w:rsid w:val="0073202E"/>
    <w:rsid w:val="0073215E"/>
    <w:rsid w:val="00732696"/>
    <w:rsid w:val="00732C27"/>
    <w:rsid w:val="007330CC"/>
    <w:rsid w:val="00734184"/>
    <w:rsid w:val="00734561"/>
    <w:rsid w:val="007348EF"/>
    <w:rsid w:val="00734A4A"/>
    <w:rsid w:val="007353C8"/>
    <w:rsid w:val="007353E3"/>
    <w:rsid w:val="007354B2"/>
    <w:rsid w:val="007356C9"/>
    <w:rsid w:val="00735A3A"/>
    <w:rsid w:val="00735B5B"/>
    <w:rsid w:val="00736732"/>
    <w:rsid w:val="00736A2D"/>
    <w:rsid w:val="00736D27"/>
    <w:rsid w:val="00736F6A"/>
    <w:rsid w:val="00737DF2"/>
    <w:rsid w:val="00740287"/>
    <w:rsid w:val="007405FC"/>
    <w:rsid w:val="0074089E"/>
    <w:rsid w:val="00740B3C"/>
    <w:rsid w:val="00740E7E"/>
    <w:rsid w:val="007411D2"/>
    <w:rsid w:val="0074239E"/>
    <w:rsid w:val="00742622"/>
    <w:rsid w:val="00742855"/>
    <w:rsid w:val="00742B4F"/>
    <w:rsid w:val="0074308E"/>
    <w:rsid w:val="0074328C"/>
    <w:rsid w:val="00743302"/>
    <w:rsid w:val="00743B5D"/>
    <w:rsid w:val="00743C26"/>
    <w:rsid w:val="00743D97"/>
    <w:rsid w:val="007448A6"/>
    <w:rsid w:val="00744945"/>
    <w:rsid w:val="00744EB8"/>
    <w:rsid w:val="0074509E"/>
    <w:rsid w:val="00745533"/>
    <w:rsid w:val="0074571F"/>
    <w:rsid w:val="00745CEB"/>
    <w:rsid w:val="00746F22"/>
    <w:rsid w:val="007471DA"/>
    <w:rsid w:val="00747905"/>
    <w:rsid w:val="00747CAA"/>
    <w:rsid w:val="00750CBE"/>
    <w:rsid w:val="00750FC4"/>
    <w:rsid w:val="00751369"/>
    <w:rsid w:val="00751C7A"/>
    <w:rsid w:val="00752A97"/>
    <w:rsid w:val="007531E4"/>
    <w:rsid w:val="00753615"/>
    <w:rsid w:val="00753CD5"/>
    <w:rsid w:val="00753EBC"/>
    <w:rsid w:val="007548B5"/>
    <w:rsid w:val="00754976"/>
    <w:rsid w:val="00754FB2"/>
    <w:rsid w:val="0075545A"/>
    <w:rsid w:val="00755B30"/>
    <w:rsid w:val="007570F1"/>
    <w:rsid w:val="007571AD"/>
    <w:rsid w:val="00757B51"/>
    <w:rsid w:val="00757B84"/>
    <w:rsid w:val="00757B8A"/>
    <w:rsid w:val="00761567"/>
    <w:rsid w:val="0076175D"/>
    <w:rsid w:val="007620F4"/>
    <w:rsid w:val="00762D38"/>
    <w:rsid w:val="00763175"/>
    <w:rsid w:val="007636F4"/>
    <w:rsid w:val="007644EB"/>
    <w:rsid w:val="00764A70"/>
    <w:rsid w:val="0076580F"/>
    <w:rsid w:val="0076596A"/>
    <w:rsid w:val="00765ADE"/>
    <w:rsid w:val="00765CCB"/>
    <w:rsid w:val="007663E4"/>
    <w:rsid w:val="007666E8"/>
    <w:rsid w:val="0076679D"/>
    <w:rsid w:val="00766B5A"/>
    <w:rsid w:val="00766D0B"/>
    <w:rsid w:val="007672B7"/>
    <w:rsid w:val="00767A46"/>
    <w:rsid w:val="00767D86"/>
    <w:rsid w:val="00770105"/>
    <w:rsid w:val="00770537"/>
    <w:rsid w:val="00770BCB"/>
    <w:rsid w:val="00770C18"/>
    <w:rsid w:val="00771B0F"/>
    <w:rsid w:val="00771C65"/>
    <w:rsid w:val="00772288"/>
    <w:rsid w:val="007730F7"/>
    <w:rsid w:val="0077356D"/>
    <w:rsid w:val="00773779"/>
    <w:rsid w:val="0077378C"/>
    <w:rsid w:val="00773843"/>
    <w:rsid w:val="0077386D"/>
    <w:rsid w:val="00773BD6"/>
    <w:rsid w:val="00773F0D"/>
    <w:rsid w:val="00774557"/>
    <w:rsid w:val="00775362"/>
    <w:rsid w:val="007756AD"/>
    <w:rsid w:val="00775821"/>
    <w:rsid w:val="00776C7D"/>
    <w:rsid w:val="007775FC"/>
    <w:rsid w:val="0077765C"/>
    <w:rsid w:val="00777928"/>
    <w:rsid w:val="00777B76"/>
    <w:rsid w:val="007800FC"/>
    <w:rsid w:val="007802F4"/>
    <w:rsid w:val="0078054E"/>
    <w:rsid w:val="0078086E"/>
    <w:rsid w:val="00780C21"/>
    <w:rsid w:val="007816C9"/>
    <w:rsid w:val="007819C8"/>
    <w:rsid w:val="00781AE0"/>
    <w:rsid w:val="0078216B"/>
    <w:rsid w:val="00782A1D"/>
    <w:rsid w:val="00782E66"/>
    <w:rsid w:val="007834F2"/>
    <w:rsid w:val="0078439F"/>
    <w:rsid w:val="007847A8"/>
    <w:rsid w:val="00784A20"/>
    <w:rsid w:val="00784FB7"/>
    <w:rsid w:val="00785882"/>
    <w:rsid w:val="00785B9D"/>
    <w:rsid w:val="007862ED"/>
    <w:rsid w:val="00786594"/>
    <w:rsid w:val="0078689D"/>
    <w:rsid w:val="007868DB"/>
    <w:rsid w:val="007869DA"/>
    <w:rsid w:val="00787082"/>
    <w:rsid w:val="0078766C"/>
    <w:rsid w:val="00787F48"/>
    <w:rsid w:val="00790199"/>
    <w:rsid w:val="0079023B"/>
    <w:rsid w:val="00790CE9"/>
    <w:rsid w:val="00790EE6"/>
    <w:rsid w:val="00791020"/>
    <w:rsid w:val="007913BE"/>
    <w:rsid w:val="00791548"/>
    <w:rsid w:val="007915B4"/>
    <w:rsid w:val="00791708"/>
    <w:rsid w:val="007918E6"/>
    <w:rsid w:val="00791DC1"/>
    <w:rsid w:val="00792559"/>
    <w:rsid w:val="00792BE3"/>
    <w:rsid w:val="007937D4"/>
    <w:rsid w:val="00793897"/>
    <w:rsid w:val="00793909"/>
    <w:rsid w:val="00793C43"/>
    <w:rsid w:val="0079411A"/>
    <w:rsid w:val="007941BE"/>
    <w:rsid w:val="007957CB"/>
    <w:rsid w:val="00795BAA"/>
    <w:rsid w:val="007961A7"/>
    <w:rsid w:val="0079639D"/>
    <w:rsid w:val="0079678A"/>
    <w:rsid w:val="00796C8B"/>
    <w:rsid w:val="00796F9A"/>
    <w:rsid w:val="0079705A"/>
    <w:rsid w:val="00797208"/>
    <w:rsid w:val="007A07E3"/>
    <w:rsid w:val="007A0EBA"/>
    <w:rsid w:val="007A1E2C"/>
    <w:rsid w:val="007A2834"/>
    <w:rsid w:val="007A2FC0"/>
    <w:rsid w:val="007A3ADE"/>
    <w:rsid w:val="007A3B77"/>
    <w:rsid w:val="007A3B7F"/>
    <w:rsid w:val="007A3BFA"/>
    <w:rsid w:val="007A500A"/>
    <w:rsid w:val="007A52F0"/>
    <w:rsid w:val="007A563C"/>
    <w:rsid w:val="007A5F82"/>
    <w:rsid w:val="007A67C3"/>
    <w:rsid w:val="007A70D0"/>
    <w:rsid w:val="007A75A2"/>
    <w:rsid w:val="007A7872"/>
    <w:rsid w:val="007A790D"/>
    <w:rsid w:val="007A7A0D"/>
    <w:rsid w:val="007A7DEF"/>
    <w:rsid w:val="007A7EB0"/>
    <w:rsid w:val="007B0038"/>
    <w:rsid w:val="007B013D"/>
    <w:rsid w:val="007B0211"/>
    <w:rsid w:val="007B0579"/>
    <w:rsid w:val="007B09EE"/>
    <w:rsid w:val="007B1289"/>
    <w:rsid w:val="007B16E1"/>
    <w:rsid w:val="007B207A"/>
    <w:rsid w:val="007B2196"/>
    <w:rsid w:val="007B40DD"/>
    <w:rsid w:val="007B42A1"/>
    <w:rsid w:val="007B49D2"/>
    <w:rsid w:val="007B4A71"/>
    <w:rsid w:val="007B534A"/>
    <w:rsid w:val="007B5361"/>
    <w:rsid w:val="007B53E7"/>
    <w:rsid w:val="007B5C88"/>
    <w:rsid w:val="007B6876"/>
    <w:rsid w:val="007B69AC"/>
    <w:rsid w:val="007B6DFC"/>
    <w:rsid w:val="007B6EC1"/>
    <w:rsid w:val="007B7009"/>
    <w:rsid w:val="007B708C"/>
    <w:rsid w:val="007B7760"/>
    <w:rsid w:val="007B7C1B"/>
    <w:rsid w:val="007C087D"/>
    <w:rsid w:val="007C0EF3"/>
    <w:rsid w:val="007C1DD3"/>
    <w:rsid w:val="007C1ED5"/>
    <w:rsid w:val="007C1FD4"/>
    <w:rsid w:val="007C2543"/>
    <w:rsid w:val="007C25E1"/>
    <w:rsid w:val="007C277D"/>
    <w:rsid w:val="007C27F4"/>
    <w:rsid w:val="007C2A5C"/>
    <w:rsid w:val="007C2A85"/>
    <w:rsid w:val="007C2DDE"/>
    <w:rsid w:val="007C332B"/>
    <w:rsid w:val="007C390B"/>
    <w:rsid w:val="007C3FFD"/>
    <w:rsid w:val="007C4428"/>
    <w:rsid w:val="007C4649"/>
    <w:rsid w:val="007C551E"/>
    <w:rsid w:val="007C57DD"/>
    <w:rsid w:val="007C5B3A"/>
    <w:rsid w:val="007C5CC7"/>
    <w:rsid w:val="007C5EFD"/>
    <w:rsid w:val="007C616A"/>
    <w:rsid w:val="007C6809"/>
    <w:rsid w:val="007C6F19"/>
    <w:rsid w:val="007C7146"/>
    <w:rsid w:val="007C78FA"/>
    <w:rsid w:val="007C7D56"/>
    <w:rsid w:val="007D096E"/>
    <w:rsid w:val="007D11A3"/>
    <w:rsid w:val="007D11BE"/>
    <w:rsid w:val="007D28E4"/>
    <w:rsid w:val="007D30A7"/>
    <w:rsid w:val="007D350D"/>
    <w:rsid w:val="007D3B3D"/>
    <w:rsid w:val="007D4169"/>
    <w:rsid w:val="007D4487"/>
    <w:rsid w:val="007D4A90"/>
    <w:rsid w:val="007D613A"/>
    <w:rsid w:val="007D62CF"/>
    <w:rsid w:val="007D65BD"/>
    <w:rsid w:val="007D6F15"/>
    <w:rsid w:val="007D7730"/>
    <w:rsid w:val="007D79CC"/>
    <w:rsid w:val="007E04E5"/>
    <w:rsid w:val="007E0660"/>
    <w:rsid w:val="007E07BF"/>
    <w:rsid w:val="007E0EB4"/>
    <w:rsid w:val="007E1257"/>
    <w:rsid w:val="007E1298"/>
    <w:rsid w:val="007E14E3"/>
    <w:rsid w:val="007E17FA"/>
    <w:rsid w:val="007E1891"/>
    <w:rsid w:val="007E1C7A"/>
    <w:rsid w:val="007E1D3D"/>
    <w:rsid w:val="007E2252"/>
    <w:rsid w:val="007E2256"/>
    <w:rsid w:val="007E2BAB"/>
    <w:rsid w:val="007E2E78"/>
    <w:rsid w:val="007E31BE"/>
    <w:rsid w:val="007E3425"/>
    <w:rsid w:val="007E426B"/>
    <w:rsid w:val="007E462D"/>
    <w:rsid w:val="007E4EBE"/>
    <w:rsid w:val="007E4F69"/>
    <w:rsid w:val="007E55B5"/>
    <w:rsid w:val="007E5B4C"/>
    <w:rsid w:val="007E5BF1"/>
    <w:rsid w:val="007E5FAF"/>
    <w:rsid w:val="007E68A2"/>
    <w:rsid w:val="007E6B7B"/>
    <w:rsid w:val="007E7D77"/>
    <w:rsid w:val="007F00F0"/>
    <w:rsid w:val="007F0235"/>
    <w:rsid w:val="007F0337"/>
    <w:rsid w:val="007F0E0D"/>
    <w:rsid w:val="007F1A4C"/>
    <w:rsid w:val="007F1AFD"/>
    <w:rsid w:val="007F205B"/>
    <w:rsid w:val="007F25B7"/>
    <w:rsid w:val="007F29B9"/>
    <w:rsid w:val="007F3BE8"/>
    <w:rsid w:val="007F538C"/>
    <w:rsid w:val="007F53E3"/>
    <w:rsid w:val="007F56D6"/>
    <w:rsid w:val="007F59D7"/>
    <w:rsid w:val="007F6E37"/>
    <w:rsid w:val="007F70F1"/>
    <w:rsid w:val="007F7CA2"/>
    <w:rsid w:val="007F7E1C"/>
    <w:rsid w:val="007FBEC2"/>
    <w:rsid w:val="00800CD9"/>
    <w:rsid w:val="00800D3E"/>
    <w:rsid w:val="00800E61"/>
    <w:rsid w:val="00800FB9"/>
    <w:rsid w:val="00801115"/>
    <w:rsid w:val="008015DF"/>
    <w:rsid w:val="00801A9C"/>
    <w:rsid w:val="00801F92"/>
    <w:rsid w:val="008022C3"/>
    <w:rsid w:val="00802322"/>
    <w:rsid w:val="008028EE"/>
    <w:rsid w:val="008029CC"/>
    <w:rsid w:val="00802A03"/>
    <w:rsid w:val="00802AE4"/>
    <w:rsid w:val="00802D95"/>
    <w:rsid w:val="00803807"/>
    <w:rsid w:val="00803B88"/>
    <w:rsid w:val="00803BF9"/>
    <w:rsid w:val="00803DE3"/>
    <w:rsid w:val="008041E6"/>
    <w:rsid w:val="008044C1"/>
    <w:rsid w:val="0080468F"/>
    <w:rsid w:val="00804F3A"/>
    <w:rsid w:val="00805293"/>
    <w:rsid w:val="00805E52"/>
    <w:rsid w:val="008061EA"/>
    <w:rsid w:val="00806262"/>
    <w:rsid w:val="008065D2"/>
    <w:rsid w:val="008074D2"/>
    <w:rsid w:val="008075DA"/>
    <w:rsid w:val="00807F77"/>
    <w:rsid w:val="0081030B"/>
    <w:rsid w:val="008107C6"/>
    <w:rsid w:val="00810BB8"/>
    <w:rsid w:val="00810BCA"/>
    <w:rsid w:val="00810EB3"/>
    <w:rsid w:val="008113E0"/>
    <w:rsid w:val="00811AC6"/>
    <w:rsid w:val="00811BB3"/>
    <w:rsid w:val="00812009"/>
    <w:rsid w:val="008122A5"/>
    <w:rsid w:val="00812D48"/>
    <w:rsid w:val="00812DA0"/>
    <w:rsid w:val="00812F26"/>
    <w:rsid w:val="00813364"/>
    <w:rsid w:val="0081425E"/>
    <w:rsid w:val="00814BE6"/>
    <w:rsid w:val="0081501E"/>
    <w:rsid w:val="00815296"/>
    <w:rsid w:val="008153F8"/>
    <w:rsid w:val="00815BCF"/>
    <w:rsid w:val="008168D9"/>
    <w:rsid w:val="008169C7"/>
    <w:rsid w:val="00816D84"/>
    <w:rsid w:val="00817FA7"/>
    <w:rsid w:val="00820383"/>
    <w:rsid w:val="00820711"/>
    <w:rsid w:val="0082194C"/>
    <w:rsid w:val="008220C4"/>
    <w:rsid w:val="008222FF"/>
    <w:rsid w:val="008241FF"/>
    <w:rsid w:val="008242DC"/>
    <w:rsid w:val="008257D3"/>
    <w:rsid w:val="00825A8C"/>
    <w:rsid w:val="00825B83"/>
    <w:rsid w:val="00825BB9"/>
    <w:rsid w:val="00825D22"/>
    <w:rsid w:val="0082603B"/>
    <w:rsid w:val="00826E40"/>
    <w:rsid w:val="0082724E"/>
    <w:rsid w:val="008272CA"/>
    <w:rsid w:val="00827AF2"/>
    <w:rsid w:val="0083030B"/>
    <w:rsid w:val="0083067F"/>
    <w:rsid w:val="00831647"/>
    <w:rsid w:val="00831D60"/>
    <w:rsid w:val="00831EE8"/>
    <w:rsid w:val="00832127"/>
    <w:rsid w:val="008322B3"/>
    <w:rsid w:val="00832424"/>
    <w:rsid w:val="00832494"/>
    <w:rsid w:val="00832D1C"/>
    <w:rsid w:val="008333EC"/>
    <w:rsid w:val="00833BB4"/>
    <w:rsid w:val="00833BCE"/>
    <w:rsid w:val="00833E1D"/>
    <w:rsid w:val="00833FF5"/>
    <w:rsid w:val="00834A3A"/>
    <w:rsid w:val="0083573C"/>
    <w:rsid w:val="00835EAB"/>
    <w:rsid w:val="008360A3"/>
    <w:rsid w:val="00837BED"/>
    <w:rsid w:val="00837C8D"/>
    <w:rsid w:val="00837FF0"/>
    <w:rsid w:val="008402D9"/>
    <w:rsid w:val="0084085D"/>
    <w:rsid w:val="0084099A"/>
    <w:rsid w:val="008411E9"/>
    <w:rsid w:val="00841CD2"/>
    <w:rsid w:val="00841EC5"/>
    <w:rsid w:val="00841ED7"/>
    <w:rsid w:val="0084200F"/>
    <w:rsid w:val="008426A1"/>
    <w:rsid w:val="0084287A"/>
    <w:rsid w:val="00842931"/>
    <w:rsid w:val="00842CF1"/>
    <w:rsid w:val="00842D31"/>
    <w:rsid w:val="00843163"/>
    <w:rsid w:val="00843855"/>
    <w:rsid w:val="00843B2C"/>
    <w:rsid w:val="00843B2E"/>
    <w:rsid w:val="00843BB9"/>
    <w:rsid w:val="0084417F"/>
    <w:rsid w:val="008441F0"/>
    <w:rsid w:val="008448BB"/>
    <w:rsid w:val="00844EB1"/>
    <w:rsid w:val="00845498"/>
    <w:rsid w:val="00845CBE"/>
    <w:rsid w:val="00845CE1"/>
    <w:rsid w:val="008464C5"/>
    <w:rsid w:val="0084659B"/>
    <w:rsid w:val="00846973"/>
    <w:rsid w:val="00846EED"/>
    <w:rsid w:val="00847089"/>
    <w:rsid w:val="008471F3"/>
    <w:rsid w:val="0084755B"/>
    <w:rsid w:val="00847C3D"/>
    <w:rsid w:val="00850C26"/>
    <w:rsid w:val="00850FDE"/>
    <w:rsid w:val="008511CC"/>
    <w:rsid w:val="0085123F"/>
    <w:rsid w:val="00851589"/>
    <w:rsid w:val="00851BD1"/>
    <w:rsid w:val="00852AF2"/>
    <w:rsid w:val="00853257"/>
    <w:rsid w:val="00853C6F"/>
    <w:rsid w:val="00853D17"/>
    <w:rsid w:val="00853E52"/>
    <w:rsid w:val="00854508"/>
    <w:rsid w:val="00854FD6"/>
    <w:rsid w:val="0085563C"/>
    <w:rsid w:val="008557A2"/>
    <w:rsid w:val="00857093"/>
    <w:rsid w:val="00857292"/>
    <w:rsid w:val="008574BF"/>
    <w:rsid w:val="00857878"/>
    <w:rsid w:val="00857B8C"/>
    <w:rsid w:val="00857D00"/>
    <w:rsid w:val="0085C5CA"/>
    <w:rsid w:val="008606E4"/>
    <w:rsid w:val="008611A9"/>
    <w:rsid w:val="00861810"/>
    <w:rsid w:val="008618BE"/>
    <w:rsid w:val="00862590"/>
    <w:rsid w:val="00862939"/>
    <w:rsid w:val="00862F80"/>
    <w:rsid w:val="00863EF1"/>
    <w:rsid w:val="00864287"/>
    <w:rsid w:val="008648E0"/>
    <w:rsid w:val="00864FA0"/>
    <w:rsid w:val="00865833"/>
    <w:rsid w:val="00865C10"/>
    <w:rsid w:val="008664F0"/>
    <w:rsid w:val="008665AD"/>
    <w:rsid w:val="00867A07"/>
    <w:rsid w:val="008703C5"/>
    <w:rsid w:val="00870903"/>
    <w:rsid w:val="00870DAB"/>
    <w:rsid w:val="00871833"/>
    <w:rsid w:val="00871B4A"/>
    <w:rsid w:val="00871FC2"/>
    <w:rsid w:val="0087227D"/>
    <w:rsid w:val="00872825"/>
    <w:rsid w:val="00872C04"/>
    <w:rsid w:val="00872D4A"/>
    <w:rsid w:val="0087350D"/>
    <w:rsid w:val="0087367B"/>
    <w:rsid w:val="008737AF"/>
    <w:rsid w:val="008741D2"/>
    <w:rsid w:val="008749C8"/>
    <w:rsid w:val="00874AE5"/>
    <w:rsid w:val="00875C6C"/>
    <w:rsid w:val="00876660"/>
    <w:rsid w:val="008767AC"/>
    <w:rsid w:val="00876B4E"/>
    <w:rsid w:val="00876F01"/>
    <w:rsid w:val="00876F77"/>
    <w:rsid w:val="0088078C"/>
    <w:rsid w:val="008814CC"/>
    <w:rsid w:val="00881DC5"/>
    <w:rsid w:val="008822AC"/>
    <w:rsid w:val="008831D7"/>
    <w:rsid w:val="008836A7"/>
    <w:rsid w:val="00883A32"/>
    <w:rsid w:val="00883B04"/>
    <w:rsid w:val="00883D22"/>
    <w:rsid w:val="00884AB9"/>
    <w:rsid w:val="008852B6"/>
    <w:rsid w:val="008852E2"/>
    <w:rsid w:val="00885307"/>
    <w:rsid w:val="00885B60"/>
    <w:rsid w:val="00885DB8"/>
    <w:rsid w:val="00886228"/>
    <w:rsid w:val="008867D3"/>
    <w:rsid w:val="00886A4E"/>
    <w:rsid w:val="00886C70"/>
    <w:rsid w:val="0089042C"/>
    <w:rsid w:val="00891042"/>
    <w:rsid w:val="00891A04"/>
    <w:rsid w:val="00892049"/>
    <w:rsid w:val="008925D9"/>
    <w:rsid w:val="0089295F"/>
    <w:rsid w:val="00892C31"/>
    <w:rsid w:val="00894515"/>
    <w:rsid w:val="00895293"/>
    <w:rsid w:val="008954A1"/>
    <w:rsid w:val="0089550E"/>
    <w:rsid w:val="00895ED2"/>
    <w:rsid w:val="00896CA5"/>
    <w:rsid w:val="00896CC2"/>
    <w:rsid w:val="00896D40"/>
    <w:rsid w:val="0089764B"/>
    <w:rsid w:val="00897C47"/>
    <w:rsid w:val="008A122A"/>
    <w:rsid w:val="008A17C8"/>
    <w:rsid w:val="008A2B5E"/>
    <w:rsid w:val="008A2BD4"/>
    <w:rsid w:val="008A3735"/>
    <w:rsid w:val="008A3E92"/>
    <w:rsid w:val="008A40A5"/>
    <w:rsid w:val="008A42C3"/>
    <w:rsid w:val="008A4542"/>
    <w:rsid w:val="008A4900"/>
    <w:rsid w:val="008A4A28"/>
    <w:rsid w:val="008A4AFE"/>
    <w:rsid w:val="008A5117"/>
    <w:rsid w:val="008A55D8"/>
    <w:rsid w:val="008A58BF"/>
    <w:rsid w:val="008A5CA5"/>
    <w:rsid w:val="008A6024"/>
    <w:rsid w:val="008A6718"/>
    <w:rsid w:val="008A674E"/>
    <w:rsid w:val="008A6964"/>
    <w:rsid w:val="008A6E75"/>
    <w:rsid w:val="008A740D"/>
    <w:rsid w:val="008A755F"/>
    <w:rsid w:val="008A7700"/>
    <w:rsid w:val="008A78E4"/>
    <w:rsid w:val="008A7EF3"/>
    <w:rsid w:val="008B0CA1"/>
    <w:rsid w:val="008B16CE"/>
    <w:rsid w:val="008B1A09"/>
    <w:rsid w:val="008B3F1D"/>
    <w:rsid w:val="008B4C93"/>
    <w:rsid w:val="008B4CEE"/>
    <w:rsid w:val="008B51AB"/>
    <w:rsid w:val="008B52A2"/>
    <w:rsid w:val="008B5833"/>
    <w:rsid w:val="008B6168"/>
    <w:rsid w:val="008B66DA"/>
    <w:rsid w:val="008B7643"/>
    <w:rsid w:val="008C06BD"/>
    <w:rsid w:val="008C0A57"/>
    <w:rsid w:val="008C0C5B"/>
    <w:rsid w:val="008C0D49"/>
    <w:rsid w:val="008C0E9F"/>
    <w:rsid w:val="008C0F2F"/>
    <w:rsid w:val="008C139C"/>
    <w:rsid w:val="008C189B"/>
    <w:rsid w:val="008C1B44"/>
    <w:rsid w:val="008C200D"/>
    <w:rsid w:val="008C22D7"/>
    <w:rsid w:val="008C2348"/>
    <w:rsid w:val="008C27A7"/>
    <w:rsid w:val="008C2A8A"/>
    <w:rsid w:val="008C36B7"/>
    <w:rsid w:val="008C4200"/>
    <w:rsid w:val="008C4A21"/>
    <w:rsid w:val="008C50DC"/>
    <w:rsid w:val="008C5324"/>
    <w:rsid w:val="008C54D4"/>
    <w:rsid w:val="008C57A1"/>
    <w:rsid w:val="008C59D8"/>
    <w:rsid w:val="008C7062"/>
    <w:rsid w:val="008C74E4"/>
    <w:rsid w:val="008C7667"/>
    <w:rsid w:val="008C7678"/>
    <w:rsid w:val="008C7DC2"/>
    <w:rsid w:val="008C7EE7"/>
    <w:rsid w:val="008D0281"/>
    <w:rsid w:val="008D0753"/>
    <w:rsid w:val="008D08E6"/>
    <w:rsid w:val="008D1C57"/>
    <w:rsid w:val="008D1E9D"/>
    <w:rsid w:val="008D2002"/>
    <w:rsid w:val="008D22B4"/>
    <w:rsid w:val="008D273E"/>
    <w:rsid w:val="008D38E2"/>
    <w:rsid w:val="008D3BD2"/>
    <w:rsid w:val="008D4015"/>
    <w:rsid w:val="008D4635"/>
    <w:rsid w:val="008D4701"/>
    <w:rsid w:val="008D4C58"/>
    <w:rsid w:val="008D4CBD"/>
    <w:rsid w:val="008D4DE2"/>
    <w:rsid w:val="008D62A5"/>
    <w:rsid w:val="008D65B5"/>
    <w:rsid w:val="008D7846"/>
    <w:rsid w:val="008D79AA"/>
    <w:rsid w:val="008E03F7"/>
    <w:rsid w:val="008E0BA7"/>
    <w:rsid w:val="008E115A"/>
    <w:rsid w:val="008E137B"/>
    <w:rsid w:val="008E179B"/>
    <w:rsid w:val="008E1B4A"/>
    <w:rsid w:val="008E1BED"/>
    <w:rsid w:val="008E1EC2"/>
    <w:rsid w:val="008E25A5"/>
    <w:rsid w:val="008E2D5F"/>
    <w:rsid w:val="008E3441"/>
    <w:rsid w:val="008E407E"/>
    <w:rsid w:val="008E40C8"/>
    <w:rsid w:val="008E4231"/>
    <w:rsid w:val="008E4651"/>
    <w:rsid w:val="008E4A6C"/>
    <w:rsid w:val="008E5388"/>
    <w:rsid w:val="008E5A91"/>
    <w:rsid w:val="008E5B1B"/>
    <w:rsid w:val="008E6281"/>
    <w:rsid w:val="008E654C"/>
    <w:rsid w:val="008E69E7"/>
    <w:rsid w:val="008E7389"/>
    <w:rsid w:val="008E7BBD"/>
    <w:rsid w:val="008E7C87"/>
    <w:rsid w:val="008F1942"/>
    <w:rsid w:val="008F1981"/>
    <w:rsid w:val="008F22D9"/>
    <w:rsid w:val="008F4749"/>
    <w:rsid w:val="008F49EE"/>
    <w:rsid w:val="008F4FE4"/>
    <w:rsid w:val="008F56DB"/>
    <w:rsid w:val="008F5B49"/>
    <w:rsid w:val="008F6B06"/>
    <w:rsid w:val="008F6D45"/>
    <w:rsid w:val="008F7BCB"/>
    <w:rsid w:val="008F7EF3"/>
    <w:rsid w:val="00900B13"/>
    <w:rsid w:val="00900CD9"/>
    <w:rsid w:val="00901311"/>
    <w:rsid w:val="009016FA"/>
    <w:rsid w:val="00901B19"/>
    <w:rsid w:val="00902BD9"/>
    <w:rsid w:val="00902E39"/>
    <w:rsid w:val="00903902"/>
    <w:rsid w:val="00903A16"/>
    <w:rsid w:val="00903B0C"/>
    <w:rsid w:val="00904007"/>
    <w:rsid w:val="009045A6"/>
    <w:rsid w:val="00904902"/>
    <w:rsid w:val="00905097"/>
    <w:rsid w:val="009053BE"/>
    <w:rsid w:val="00905CFB"/>
    <w:rsid w:val="00906393"/>
    <w:rsid w:val="00906D70"/>
    <w:rsid w:val="00906EA2"/>
    <w:rsid w:val="009070AD"/>
    <w:rsid w:val="0090723A"/>
    <w:rsid w:val="00907ACD"/>
    <w:rsid w:val="00907F97"/>
    <w:rsid w:val="0091052D"/>
    <w:rsid w:val="00910809"/>
    <w:rsid w:val="009109D7"/>
    <w:rsid w:val="009113C9"/>
    <w:rsid w:val="00911542"/>
    <w:rsid w:val="00911BA4"/>
    <w:rsid w:val="00911CA7"/>
    <w:rsid w:val="00911D7C"/>
    <w:rsid w:val="009121C7"/>
    <w:rsid w:val="009122F2"/>
    <w:rsid w:val="0091266F"/>
    <w:rsid w:val="009128F6"/>
    <w:rsid w:val="009129C0"/>
    <w:rsid w:val="00912DAB"/>
    <w:rsid w:val="00913930"/>
    <w:rsid w:val="00913AA1"/>
    <w:rsid w:val="00914431"/>
    <w:rsid w:val="00914D8A"/>
    <w:rsid w:val="00915094"/>
    <w:rsid w:val="00915527"/>
    <w:rsid w:val="00916414"/>
    <w:rsid w:val="00916725"/>
    <w:rsid w:val="00916819"/>
    <w:rsid w:val="00916DD4"/>
    <w:rsid w:val="00916F38"/>
    <w:rsid w:val="00920001"/>
    <w:rsid w:val="009203B5"/>
    <w:rsid w:val="0092066B"/>
    <w:rsid w:val="0092095D"/>
    <w:rsid w:val="00920AB3"/>
    <w:rsid w:val="009211EA"/>
    <w:rsid w:val="009219D7"/>
    <w:rsid w:val="00922EB1"/>
    <w:rsid w:val="0092383E"/>
    <w:rsid w:val="00924216"/>
    <w:rsid w:val="00924349"/>
    <w:rsid w:val="00924954"/>
    <w:rsid w:val="009249A7"/>
    <w:rsid w:val="00924C8B"/>
    <w:rsid w:val="00924F89"/>
    <w:rsid w:val="00924FD5"/>
    <w:rsid w:val="00925465"/>
    <w:rsid w:val="0092598B"/>
    <w:rsid w:val="00925DA6"/>
    <w:rsid w:val="00925E4A"/>
    <w:rsid w:val="00925EEC"/>
    <w:rsid w:val="009260E6"/>
    <w:rsid w:val="00926F96"/>
    <w:rsid w:val="0092720B"/>
    <w:rsid w:val="00927343"/>
    <w:rsid w:val="00927E7A"/>
    <w:rsid w:val="00927EE9"/>
    <w:rsid w:val="00927F87"/>
    <w:rsid w:val="00930935"/>
    <w:rsid w:val="00931232"/>
    <w:rsid w:val="00931568"/>
    <w:rsid w:val="00931F96"/>
    <w:rsid w:val="0093225F"/>
    <w:rsid w:val="009322F4"/>
    <w:rsid w:val="00932414"/>
    <w:rsid w:val="00932606"/>
    <w:rsid w:val="009326AB"/>
    <w:rsid w:val="00933185"/>
    <w:rsid w:val="00933D3A"/>
    <w:rsid w:val="00934835"/>
    <w:rsid w:val="009348F3"/>
    <w:rsid w:val="00934EBF"/>
    <w:rsid w:val="00934ED0"/>
    <w:rsid w:val="00935199"/>
    <w:rsid w:val="00935863"/>
    <w:rsid w:val="00935B72"/>
    <w:rsid w:val="00935DF1"/>
    <w:rsid w:val="00935EAD"/>
    <w:rsid w:val="00936293"/>
    <w:rsid w:val="009365EF"/>
    <w:rsid w:val="00936CDE"/>
    <w:rsid w:val="00936D79"/>
    <w:rsid w:val="009378BC"/>
    <w:rsid w:val="00937D19"/>
    <w:rsid w:val="00937E57"/>
    <w:rsid w:val="00937F39"/>
    <w:rsid w:val="00940CC9"/>
    <w:rsid w:val="00941370"/>
    <w:rsid w:val="0094184A"/>
    <w:rsid w:val="00941A0E"/>
    <w:rsid w:val="00942277"/>
    <w:rsid w:val="009433A6"/>
    <w:rsid w:val="00943DF1"/>
    <w:rsid w:val="00943FB5"/>
    <w:rsid w:val="00944952"/>
    <w:rsid w:val="00944BA3"/>
    <w:rsid w:val="00944CE1"/>
    <w:rsid w:val="0094500D"/>
    <w:rsid w:val="009451B7"/>
    <w:rsid w:val="009451C6"/>
    <w:rsid w:val="009455BF"/>
    <w:rsid w:val="009456F9"/>
    <w:rsid w:val="00945B06"/>
    <w:rsid w:val="00945CCD"/>
    <w:rsid w:val="00945FC5"/>
    <w:rsid w:val="00946989"/>
    <w:rsid w:val="00946A45"/>
    <w:rsid w:val="00946D8B"/>
    <w:rsid w:val="009473C4"/>
    <w:rsid w:val="009475C7"/>
    <w:rsid w:val="00947963"/>
    <w:rsid w:val="00950308"/>
    <w:rsid w:val="009505EB"/>
    <w:rsid w:val="00950816"/>
    <w:rsid w:val="00950BF0"/>
    <w:rsid w:val="00951270"/>
    <w:rsid w:val="00951330"/>
    <w:rsid w:val="00951946"/>
    <w:rsid w:val="00951B82"/>
    <w:rsid w:val="00951CAB"/>
    <w:rsid w:val="00951DB8"/>
    <w:rsid w:val="00951F7C"/>
    <w:rsid w:val="00952942"/>
    <w:rsid w:val="00952AEE"/>
    <w:rsid w:val="0095430B"/>
    <w:rsid w:val="0095460B"/>
    <w:rsid w:val="00954F2F"/>
    <w:rsid w:val="0095556D"/>
    <w:rsid w:val="00956289"/>
    <w:rsid w:val="00956A78"/>
    <w:rsid w:val="00956C1B"/>
    <w:rsid w:val="0095749A"/>
    <w:rsid w:val="00957E51"/>
    <w:rsid w:val="0096060C"/>
    <w:rsid w:val="00960F6E"/>
    <w:rsid w:val="00961348"/>
    <w:rsid w:val="00962127"/>
    <w:rsid w:val="00962194"/>
    <w:rsid w:val="00962C60"/>
    <w:rsid w:val="00962F1C"/>
    <w:rsid w:val="0096427A"/>
    <w:rsid w:val="00964623"/>
    <w:rsid w:val="00964971"/>
    <w:rsid w:val="00964BD2"/>
    <w:rsid w:val="009656D8"/>
    <w:rsid w:val="009661A5"/>
    <w:rsid w:val="009665B9"/>
    <w:rsid w:val="00966F04"/>
    <w:rsid w:val="0096765B"/>
    <w:rsid w:val="009676E9"/>
    <w:rsid w:val="00967C8E"/>
    <w:rsid w:val="00970500"/>
    <w:rsid w:val="00970D11"/>
    <w:rsid w:val="00970FFF"/>
    <w:rsid w:val="0097104B"/>
    <w:rsid w:val="0097111E"/>
    <w:rsid w:val="009712F4"/>
    <w:rsid w:val="009739FD"/>
    <w:rsid w:val="00973CA2"/>
    <w:rsid w:val="00974522"/>
    <w:rsid w:val="009745A3"/>
    <w:rsid w:val="00974609"/>
    <w:rsid w:val="00974B3B"/>
    <w:rsid w:val="00974D36"/>
    <w:rsid w:val="00974E24"/>
    <w:rsid w:val="00975207"/>
    <w:rsid w:val="0097542A"/>
    <w:rsid w:val="00975FDC"/>
    <w:rsid w:val="009767D5"/>
    <w:rsid w:val="0097703E"/>
    <w:rsid w:val="0097794A"/>
    <w:rsid w:val="00977BAF"/>
    <w:rsid w:val="00977C1A"/>
    <w:rsid w:val="00980724"/>
    <w:rsid w:val="0098118E"/>
    <w:rsid w:val="00981253"/>
    <w:rsid w:val="00981275"/>
    <w:rsid w:val="0098156F"/>
    <w:rsid w:val="009820CB"/>
    <w:rsid w:val="00982714"/>
    <w:rsid w:val="00982947"/>
    <w:rsid w:val="00982F0C"/>
    <w:rsid w:val="0098317B"/>
    <w:rsid w:val="009834C0"/>
    <w:rsid w:val="0098350E"/>
    <w:rsid w:val="009837F6"/>
    <w:rsid w:val="009837FB"/>
    <w:rsid w:val="0098439C"/>
    <w:rsid w:val="0098459A"/>
    <w:rsid w:val="009852CA"/>
    <w:rsid w:val="00985602"/>
    <w:rsid w:val="009857A8"/>
    <w:rsid w:val="00985F2D"/>
    <w:rsid w:val="00985F69"/>
    <w:rsid w:val="009861E7"/>
    <w:rsid w:val="00986564"/>
    <w:rsid w:val="00986AAC"/>
    <w:rsid w:val="00987508"/>
    <w:rsid w:val="0098767A"/>
    <w:rsid w:val="009879A4"/>
    <w:rsid w:val="00987D55"/>
    <w:rsid w:val="00987DB4"/>
    <w:rsid w:val="00990268"/>
    <w:rsid w:val="0099113A"/>
    <w:rsid w:val="00991DB9"/>
    <w:rsid w:val="009923E0"/>
    <w:rsid w:val="00992582"/>
    <w:rsid w:val="009925DC"/>
    <w:rsid w:val="009927AC"/>
    <w:rsid w:val="009928D1"/>
    <w:rsid w:val="00993511"/>
    <w:rsid w:val="00993742"/>
    <w:rsid w:val="00993AE3"/>
    <w:rsid w:val="009941BA"/>
    <w:rsid w:val="0099451F"/>
    <w:rsid w:val="00994890"/>
    <w:rsid w:val="00995585"/>
    <w:rsid w:val="00996FAE"/>
    <w:rsid w:val="009A0278"/>
    <w:rsid w:val="009A0428"/>
    <w:rsid w:val="009A0B87"/>
    <w:rsid w:val="009A1DA2"/>
    <w:rsid w:val="009A36A8"/>
    <w:rsid w:val="009A3704"/>
    <w:rsid w:val="009A3771"/>
    <w:rsid w:val="009A3DD8"/>
    <w:rsid w:val="009A4739"/>
    <w:rsid w:val="009A4C40"/>
    <w:rsid w:val="009A5476"/>
    <w:rsid w:val="009A602C"/>
    <w:rsid w:val="009A665B"/>
    <w:rsid w:val="009A674F"/>
    <w:rsid w:val="009A72DE"/>
    <w:rsid w:val="009A72E0"/>
    <w:rsid w:val="009A7CC8"/>
    <w:rsid w:val="009B02B0"/>
    <w:rsid w:val="009B0C07"/>
    <w:rsid w:val="009B0C32"/>
    <w:rsid w:val="009B0D1C"/>
    <w:rsid w:val="009B1664"/>
    <w:rsid w:val="009B1694"/>
    <w:rsid w:val="009B16F1"/>
    <w:rsid w:val="009B199C"/>
    <w:rsid w:val="009B1CBD"/>
    <w:rsid w:val="009B2528"/>
    <w:rsid w:val="009B2777"/>
    <w:rsid w:val="009B29F7"/>
    <w:rsid w:val="009B2C0D"/>
    <w:rsid w:val="009B3735"/>
    <w:rsid w:val="009B3C8C"/>
    <w:rsid w:val="009B3DA4"/>
    <w:rsid w:val="009B3EBA"/>
    <w:rsid w:val="009B4611"/>
    <w:rsid w:val="009B48CE"/>
    <w:rsid w:val="009B4964"/>
    <w:rsid w:val="009B4B37"/>
    <w:rsid w:val="009B4F34"/>
    <w:rsid w:val="009B5102"/>
    <w:rsid w:val="009B61F1"/>
    <w:rsid w:val="009B6276"/>
    <w:rsid w:val="009B62E0"/>
    <w:rsid w:val="009B783B"/>
    <w:rsid w:val="009C038D"/>
    <w:rsid w:val="009C0DAF"/>
    <w:rsid w:val="009C154C"/>
    <w:rsid w:val="009C1697"/>
    <w:rsid w:val="009C1B53"/>
    <w:rsid w:val="009C1B7E"/>
    <w:rsid w:val="009C202D"/>
    <w:rsid w:val="009C21D5"/>
    <w:rsid w:val="009C2DE2"/>
    <w:rsid w:val="009C2F2B"/>
    <w:rsid w:val="009C3206"/>
    <w:rsid w:val="009C320E"/>
    <w:rsid w:val="009C3D88"/>
    <w:rsid w:val="009C402E"/>
    <w:rsid w:val="009C43CA"/>
    <w:rsid w:val="009C45D1"/>
    <w:rsid w:val="009C49E7"/>
    <w:rsid w:val="009C4B8F"/>
    <w:rsid w:val="009C5297"/>
    <w:rsid w:val="009C5497"/>
    <w:rsid w:val="009C73F1"/>
    <w:rsid w:val="009C7508"/>
    <w:rsid w:val="009D077D"/>
    <w:rsid w:val="009D084C"/>
    <w:rsid w:val="009D0D79"/>
    <w:rsid w:val="009D1161"/>
    <w:rsid w:val="009D1496"/>
    <w:rsid w:val="009D18B8"/>
    <w:rsid w:val="009D1BB6"/>
    <w:rsid w:val="009D265A"/>
    <w:rsid w:val="009D2B5B"/>
    <w:rsid w:val="009D2EF1"/>
    <w:rsid w:val="009D3159"/>
    <w:rsid w:val="009D473D"/>
    <w:rsid w:val="009D47A4"/>
    <w:rsid w:val="009D4C4A"/>
    <w:rsid w:val="009D4D7D"/>
    <w:rsid w:val="009D4FCB"/>
    <w:rsid w:val="009D5C4A"/>
    <w:rsid w:val="009D6A61"/>
    <w:rsid w:val="009D6BC9"/>
    <w:rsid w:val="009D6C4B"/>
    <w:rsid w:val="009D74E9"/>
    <w:rsid w:val="009E00EF"/>
    <w:rsid w:val="009E20A8"/>
    <w:rsid w:val="009E2189"/>
    <w:rsid w:val="009E2533"/>
    <w:rsid w:val="009E3030"/>
    <w:rsid w:val="009E3858"/>
    <w:rsid w:val="009E39E0"/>
    <w:rsid w:val="009E3A0C"/>
    <w:rsid w:val="009E4048"/>
    <w:rsid w:val="009E4C06"/>
    <w:rsid w:val="009E4F5F"/>
    <w:rsid w:val="009E572D"/>
    <w:rsid w:val="009E584D"/>
    <w:rsid w:val="009E5AC6"/>
    <w:rsid w:val="009E5BE6"/>
    <w:rsid w:val="009E5F1B"/>
    <w:rsid w:val="009E6BC6"/>
    <w:rsid w:val="009E70DD"/>
    <w:rsid w:val="009E7252"/>
    <w:rsid w:val="009E769A"/>
    <w:rsid w:val="009E789C"/>
    <w:rsid w:val="009F035E"/>
    <w:rsid w:val="009F09D5"/>
    <w:rsid w:val="009F0E1D"/>
    <w:rsid w:val="009F144D"/>
    <w:rsid w:val="009F1D58"/>
    <w:rsid w:val="009F1E4D"/>
    <w:rsid w:val="009F2473"/>
    <w:rsid w:val="009F2BF6"/>
    <w:rsid w:val="009F2ED9"/>
    <w:rsid w:val="009F30F4"/>
    <w:rsid w:val="009F3231"/>
    <w:rsid w:val="009F332E"/>
    <w:rsid w:val="009F3B81"/>
    <w:rsid w:val="009F3BFA"/>
    <w:rsid w:val="009F46B3"/>
    <w:rsid w:val="009F4848"/>
    <w:rsid w:val="009F4F1A"/>
    <w:rsid w:val="009F53B1"/>
    <w:rsid w:val="009F5B35"/>
    <w:rsid w:val="009F5C2E"/>
    <w:rsid w:val="009F5C58"/>
    <w:rsid w:val="009F70FA"/>
    <w:rsid w:val="009F715E"/>
    <w:rsid w:val="009F71D7"/>
    <w:rsid w:val="009F73CA"/>
    <w:rsid w:val="00A002E6"/>
    <w:rsid w:val="00A0065F"/>
    <w:rsid w:val="00A00C9B"/>
    <w:rsid w:val="00A013EF"/>
    <w:rsid w:val="00A019DD"/>
    <w:rsid w:val="00A01D42"/>
    <w:rsid w:val="00A02025"/>
    <w:rsid w:val="00A021D0"/>
    <w:rsid w:val="00A023A0"/>
    <w:rsid w:val="00A024D6"/>
    <w:rsid w:val="00A0268A"/>
    <w:rsid w:val="00A02E91"/>
    <w:rsid w:val="00A02F1E"/>
    <w:rsid w:val="00A03672"/>
    <w:rsid w:val="00A0367A"/>
    <w:rsid w:val="00A03951"/>
    <w:rsid w:val="00A03DD0"/>
    <w:rsid w:val="00A043E7"/>
    <w:rsid w:val="00A0460C"/>
    <w:rsid w:val="00A04992"/>
    <w:rsid w:val="00A060C8"/>
    <w:rsid w:val="00A0708E"/>
    <w:rsid w:val="00A079A3"/>
    <w:rsid w:val="00A079F7"/>
    <w:rsid w:val="00A07B86"/>
    <w:rsid w:val="00A07E09"/>
    <w:rsid w:val="00A10D4D"/>
    <w:rsid w:val="00A10D64"/>
    <w:rsid w:val="00A111F8"/>
    <w:rsid w:val="00A1147D"/>
    <w:rsid w:val="00A11824"/>
    <w:rsid w:val="00A1189B"/>
    <w:rsid w:val="00A11F91"/>
    <w:rsid w:val="00A12573"/>
    <w:rsid w:val="00A12F6F"/>
    <w:rsid w:val="00A146DB"/>
    <w:rsid w:val="00A14AA3"/>
    <w:rsid w:val="00A14E33"/>
    <w:rsid w:val="00A15023"/>
    <w:rsid w:val="00A1562B"/>
    <w:rsid w:val="00A15A0C"/>
    <w:rsid w:val="00A16ACB"/>
    <w:rsid w:val="00A170F4"/>
    <w:rsid w:val="00A17399"/>
    <w:rsid w:val="00A179FE"/>
    <w:rsid w:val="00A2010F"/>
    <w:rsid w:val="00A2053F"/>
    <w:rsid w:val="00A209DB"/>
    <w:rsid w:val="00A20F69"/>
    <w:rsid w:val="00A211B1"/>
    <w:rsid w:val="00A21223"/>
    <w:rsid w:val="00A214E4"/>
    <w:rsid w:val="00A217CD"/>
    <w:rsid w:val="00A21F02"/>
    <w:rsid w:val="00A2273E"/>
    <w:rsid w:val="00A22A80"/>
    <w:rsid w:val="00A22C83"/>
    <w:rsid w:val="00A22F84"/>
    <w:rsid w:val="00A230FA"/>
    <w:rsid w:val="00A2338B"/>
    <w:rsid w:val="00A240F8"/>
    <w:rsid w:val="00A243E1"/>
    <w:rsid w:val="00A24E08"/>
    <w:rsid w:val="00A2586A"/>
    <w:rsid w:val="00A25EBF"/>
    <w:rsid w:val="00A25ECE"/>
    <w:rsid w:val="00A25EF4"/>
    <w:rsid w:val="00A25FD9"/>
    <w:rsid w:val="00A27ACF"/>
    <w:rsid w:val="00A27D6E"/>
    <w:rsid w:val="00A30339"/>
    <w:rsid w:val="00A3037D"/>
    <w:rsid w:val="00A303DC"/>
    <w:rsid w:val="00A3046A"/>
    <w:rsid w:val="00A30879"/>
    <w:rsid w:val="00A30BE4"/>
    <w:rsid w:val="00A30C88"/>
    <w:rsid w:val="00A30CEC"/>
    <w:rsid w:val="00A30E8C"/>
    <w:rsid w:val="00A31A8B"/>
    <w:rsid w:val="00A31C86"/>
    <w:rsid w:val="00A3254E"/>
    <w:rsid w:val="00A325EC"/>
    <w:rsid w:val="00A3262A"/>
    <w:rsid w:val="00A32788"/>
    <w:rsid w:val="00A32D8A"/>
    <w:rsid w:val="00A332D3"/>
    <w:rsid w:val="00A3336C"/>
    <w:rsid w:val="00A339A2"/>
    <w:rsid w:val="00A34F62"/>
    <w:rsid w:val="00A350BA"/>
    <w:rsid w:val="00A35177"/>
    <w:rsid w:val="00A359DF"/>
    <w:rsid w:val="00A35AF2"/>
    <w:rsid w:val="00A35E1D"/>
    <w:rsid w:val="00A36361"/>
    <w:rsid w:val="00A3677E"/>
    <w:rsid w:val="00A36DE0"/>
    <w:rsid w:val="00A37DCB"/>
    <w:rsid w:val="00A37F1A"/>
    <w:rsid w:val="00A37F65"/>
    <w:rsid w:val="00A40CDA"/>
    <w:rsid w:val="00A41813"/>
    <w:rsid w:val="00A41D84"/>
    <w:rsid w:val="00A42344"/>
    <w:rsid w:val="00A43160"/>
    <w:rsid w:val="00A43393"/>
    <w:rsid w:val="00A433A1"/>
    <w:rsid w:val="00A43556"/>
    <w:rsid w:val="00A4367E"/>
    <w:rsid w:val="00A4379A"/>
    <w:rsid w:val="00A43C7B"/>
    <w:rsid w:val="00A446DE"/>
    <w:rsid w:val="00A449BF"/>
    <w:rsid w:val="00A449F1"/>
    <w:rsid w:val="00A44BD6"/>
    <w:rsid w:val="00A44FE1"/>
    <w:rsid w:val="00A45BE2"/>
    <w:rsid w:val="00A45CBC"/>
    <w:rsid w:val="00A46301"/>
    <w:rsid w:val="00A467B5"/>
    <w:rsid w:val="00A468CB"/>
    <w:rsid w:val="00A46BA8"/>
    <w:rsid w:val="00A4731E"/>
    <w:rsid w:val="00A47634"/>
    <w:rsid w:val="00A47BF5"/>
    <w:rsid w:val="00A50504"/>
    <w:rsid w:val="00A506A2"/>
    <w:rsid w:val="00A50F2E"/>
    <w:rsid w:val="00A5105D"/>
    <w:rsid w:val="00A51896"/>
    <w:rsid w:val="00A525AF"/>
    <w:rsid w:val="00A530D9"/>
    <w:rsid w:val="00A5342E"/>
    <w:rsid w:val="00A5383A"/>
    <w:rsid w:val="00A53BC9"/>
    <w:rsid w:val="00A54B7C"/>
    <w:rsid w:val="00A55468"/>
    <w:rsid w:val="00A556B1"/>
    <w:rsid w:val="00A56237"/>
    <w:rsid w:val="00A566DD"/>
    <w:rsid w:val="00A56746"/>
    <w:rsid w:val="00A568C7"/>
    <w:rsid w:val="00A56B03"/>
    <w:rsid w:val="00A56F5B"/>
    <w:rsid w:val="00A573E6"/>
    <w:rsid w:val="00A575BB"/>
    <w:rsid w:val="00A57651"/>
    <w:rsid w:val="00A57EE5"/>
    <w:rsid w:val="00A60ABB"/>
    <w:rsid w:val="00A6103B"/>
    <w:rsid w:val="00A612FE"/>
    <w:rsid w:val="00A61A9E"/>
    <w:rsid w:val="00A61FDA"/>
    <w:rsid w:val="00A6246F"/>
    <w:rsid w:val="00A62BE7"/>
    <w:rsid w:val="00A62CA7"/>
    <w:rsid w:val="00A63337"/>
    <w:rsid w:val="00A64146"/>
    <w:rsid w:val="00A6429F"/>
    <w:rsid w:val="00A649FD"/>
    <w:rsid w:val="00A65BF5"/>
    <w:rsid w:val="00A65F08"/>
    <w:rsid w:val="00A66B4A"/>
    <w:rsid w:val="00A66EB3"/>
    <w:rsid w:val="00A66F0B"/>
    <w:rsid w:val="00A672BA"/>
    <w:rsid w:val="00A674AD"/>
    <w:rsid w:val="00A70068"/>
    <w:rsid w:val="00A706B0"/>
    <w:rsid w:val="00A71878"/>
    <w:rsid w:val="00A71E93"/>
    <w:rsid w:val="00A724EC"/>
    <w:rsid w:val="00A72713"/>
    <w:rsid w:val="00A72F3D"/>
    <w:rsid w:val="00A73D5C"/>
    <w:rsid w:val="00A74511"/>
    <w:rsid w:val="00A74896"/>
    <w:rsid w:val="00A74C35"/>
    <w:rsid w:val="00A74F80"/>
    <w:rsid w:val="00A7533F"/>
    <w:rsid w:val="00A75D3F"/>
    <w:rsid w:val="00A75FAA"/>
    <w:rsid w:val="00A7624F"/>
    <w:rsid w:val="00A76E36"/>
    <w:rsid w:val="00A77792"/>
    <w:rsid w:val="00A7794E"/>
    <w:rsid w:val="00A8000E"/>
    <w:rsid w:val="00A80346"/>
    <w:rsid w:val="00A80B78"/>
    <w:rsid w:val="00A814E7"/>
    <w:rsid w:val="00A824E4"/>
    <w:rsid w:val="00A82838"/>
    <w:rsid w:val="00A82DC6"/>
    <w:rsid w:val="00A82E31"/>
    <w:rsid w:val="00A82F9B"/>
    <w:rsid w:val="00A8338C"/>
    <w:rsid w:val="00A846FC"/>
    <w:rsid w:val="00A8484B"/>
    <w:rsid w:val="00A84D61"/>
    <w:rsid w:val="00A851A6"/>
    <w:rsid w:val="00A85530"/>
    <w:rsid w:val="00A85EEC"/>
    <w:rsid w:val="00A860E8"/>
    <w:rsid w:val="00A86C6D"/>
    <w:rsid w:val="00A874B8"/>
    <w:rsid w:val="00A879D4"/>
    <w:rsid w:val="00A8888A"/>
    <w:rsid w:val="00A90374"/>
    <w:rsid w:val="00A91A72"/>
    <w:rsid w:val="00A91A96"/>
    <w:rsid w:val="00A91D2F"/>
    <w:rsid w:val="00A91D63"/>
    <w:rsid w:val="00A91D93"/>
    <w:rsid w:val="00A92289"/>
    <w:rsid w:val="00A93370"/>
    <w:rsid w:val="00A93E14"/>
    <w:rsid w:val="00A94CB0"/>
    <w:rsid w:val="00A9563E"/>
    <w:rsid w:val="00A95AB4"/>
    <w:rsid w:val="00A95B6F"/>
    <w:rsid w:val="00A95F4E"/>
    <w:rsid w:val="00A96424"/>
    <w:rsid w:val="00A9665B"/>
    <w:rsid w:val="00A969ED"/>
    <w:rsid w:val="00A96D82"/>
    <w:rsid w:val="00A96DF4"/>
    <w:rsid w:val="00A96F4D"/>
    <w:rsid w:val="00A97082"/>
    <w:rsid w:val="00A97C22"/>
    <w:rsid w:val="00A97E24"/>
    <w:rsid w:val="00AA04ED"/>
    <w:rsid w:val="00AA05E7"/>
    <w:rsid w:val="00AA0A7F"/>
    <w:rsid w:val="00AA0E99"/>
    <w:rsid w:val="00AA0F0C"/>
    <w:rsid w:val="00AA1649"/>
    <w:rsid w:val="00AA17A2"/>
    <w:rsid w:val="00AA17AF"/>
    <w:rsid w:val="00AA265B"/>
    <w:rsid w:val="00AA26B8"/>
    <w:rsid w:val="00AA2991"/>
    <w:rsid w:val="00AA2A9F"/>
    <w:rsid w:val="00AA2AEE"/>
    <w:rsid w:val="00AA2F18"/>
    <w:rsid w:val="00AA2F7E"/>
    <w:rsid w:val="00AA3394"/>
    <w:rsid w:val="00AA34BA"/>
    <w:rsid w:val="00AA35B8"/>
    <w:rsid w:val="00AA433B"/>
    <w:rsid w:val="00AA4621"/>
    <w:rsid w:val="00AA4A02"/>
    <w:rsid w:val="00AA4F54"/>
    <w:rsid w:val="00AA5032"/>
    <w:rsid w:val="00AA62FC"/>
    <w:rsid w:val="00AA6AA2"/>
    <w:rsid w:val="00AA6AC8"/>
    <w:rsid w:val="00AA6CA8"/>
    <w:rsid w:val="00AA7078"/>
    <w:rsid w:val="00AA7110"/>
    <w:rsid w:val="00AA7C9B"/>
    <w:rsid w:val="00AB0076"/>
    <w:rsid w:val="00AB01ED"/>
    <w:rsid w:val="00AB058C"/>
    <w:rsid w:val="00AB0731"/>
    <w:rsid w:val="00AB0DC4"/>
    <w:rsid w:val="00AB0F5C"/>
    <w:rsid w:val="00AB12E9"/>
    <w:rsid w:val="00AB1316"/>
    <w:rsid w:val="00AB137D"/>
    <w:rsid w:val="00AB1A2D"/>
    <w:rsid w:val="00AB1CFA"/>
    <w:rsid w:val="00AB1DF8"/>
    <w:rsid w:val="00AB23C4"/>
    <w:rsid w:val="00AB2728"/>
    <w:rsid w:val="00AB2CB8"/>
    <w:rsid w:val="00AB370D"/>
    <w:rsid w:val="00AB3785"/>
    <w:rsid w:val="00AB3E48"/>
    <w:rsid w:val="00AB3FE2"/>
    <w:rsid w:val="00AB4362"/>
    <w:rsid w:val="00AB4C03"/>
    <w:rsid w:val="00AB4D02"/>
    <w:rsid w:val="00AB543D"/>
    <w:rsid w:val="00AB55D4"/>
    <w:rsid w:val="00AB5DB0"/>
    <w:rsid w:val="00AB600E"/>
    <w:rsid w:val="00AB625E"/>
    <w:rsid w:val="00AB66EC"/>
    <w:rsid w:val="00AB6808"/>
    <w:rsid w:val="00AB6836"/>
    <w:rsid w:val="00AB6CA8"/>
    <w:rsid w:val="00AC05B0"/>
    <w:rsid w:val="00AC1210"/>
    <w:rsid w:val="00AC146C"/>
    <w:rsid w:val="00AC2FF5"/>
    <w:rsid w:val="00AC3427"/>
    <w:rsid w:val="00AC3B0F"/>
    <w:rsid w:val="00AC4009"/>
    <w:rsid w:val="00AC46C8"/>
    <w:rsid w:val="00AC46D0"/>
    <w:rsid w:val="00AC4749"/>
    <w:rsid w:val="00AC518C"/>
    <w:rsid w:val="00AC529E"/>
    <w:rsid w:val="00AC557C"/>
    <w:rsid w:val="00AC5A7B"/>
    <w:rsid w:val="00AC5FA6"/>
    <w:rsid w:val="00AC6383"/>
    <w:rsid w:val="00AC716E"/>
    <w:rsid w:val="00AC7B26"/>
    <w:rsid w:val="00AC7BAA"/>
    <w:rsid w:val="00AD0533"/>
    <w:rsid w:val="00AD05B1"/>
    <w:rsid w:val="00AD0CB5"/>
    <w:rsid w:val="00AD0DA7"/>
    <w:rsid w:val="00AD2385"/>
    <w:rsid w:val="00AD24B9"/>
    <w:rsid w:val="00AD278C"/>
    <w:rsid w:val="00AD365B"/>
    <w:rsid w:val="00AD3AB1"/>
    <w:rsid w:val="00AD3C6B"/>
    <w:rsid w:val="00AD4790"/>
    <w:rsid w:val="00AD502D"/>
    <w:rsid w:val="00AD5254"/>
    <w:rsid w:val="00AD5411"/>
    <w:rsid w:val="00AD56B9"/>
    <w:rsid w:val="00AD56EA"/>
    <w:rsid w:val="00AD58C2"/>
    <w:rsid w:val="00AD6429"/>
    <w:rsid w:val="00AD7949"/>
    <w:rsid w:val="00AD7D8E"/>
    <w:rsid w:val="00AD7E4E"/>
    <w:rsid w:val="00AD7F89"/>
    <w:rsid w:val="00ADFCFA"/>
    <w:rsid w:val="00AE0403"/>
    <w:rsid w:val="00AE04CF"/>
    <w:rsid w:val="00AE13C3"/>
    <w:rsid w:val="00AE1767"/>
    <w:rsid w:val="00AE1CB6"/>
    <w:rsid w:val="00AE3193"/>
    <w:rsid w:val="00AE36A2"/>
    <w:rsid w:val="00AE36B4"/>
    <w:rsid w:val="00AE4DC3"/>
    <w:rsid w:val="00AE5199"/>
    <w:rsid w:val="00AE5387"/>
    <w:rsid w:val="00AE5905"/>
    <w:rsid w:val="00AE62D8"/>
    <w:rsid w:val="00AE6806"/>
    <w:rsid w:val="00AE6B96"/>
    <w:rsid w:val="00AE78A2"/>
    <w:rsid w:val="00AE7922"/>
    <w:rsid w:val="00AE7AA5"/>
    <w:rsid w:val="00AF06FE"/>
    <w:rsid w:val="00AF0819"/>
    <w:rsid w:val="00AF0FB1"/>
    <w:rsid w:val="00AF1A96"/>
    <w:rsid w:val="00AF1EA4"/>
    <w:rsid w:val="00AF1FFB"/>
    <w:rsid w:val="00AF2079"/>
    <w:rsid w:val="00AF27D6"/>
    <w:rsid w:val="00AF2A1E"/>
    <w:rsid w:val="00AF3107"/>
    <w:rsid w:val="00AF3B4C"/>
    <w:rsid w:val="00AF3B8A"/>
    <w:rsid w:val="00AF3C3C"/>
    <w:rsid w:val="00AF401E"/>
    <w:rsid w:val="00AF45E5"/>
    <w:rsid w:val="00AF4D58"/>
    <w:rsid w:val="00AF4EF9"/>
    <w:rsid w:val="00AF51C1"/>
    <w:rsid w:val="00AF5E8B"/>
    <w:rsid w:val="00AF5EA6"/>
    <w:rsid w:val="00AF65AD"/>
    <w:rsid w:val="00AF6666"/>
    <w:rsid w:val="00AF682F"/>
    <w:rsid w:val="00AF694F"/>
    <w:rsid w:val="00AF70F2"/>
    <w:rsid w:val="00AF730C"/>
    <w:rsid w:val="00AF7C89"/>
    <w:rsid w:val="00AF7EFA"/>
    <w:rsid w:val="00AF7F08"/>
    <w:rsid w:val="00B00529"/>
    <w:rsid w:val="00B00DA1"/>
    <w:rsid w:val="00B01182"/>
    <w:rsid w:val="00B01220"/>
    <w:rsid w:val="00B012C7"/>
    <w:rsid w:val="00B016BE"/>
    <w:rsid w:val="00B02023"/>
    <w:rsid w:val="00B02414"/>
    <w:rsid w:val="00B0298F"/>
    <w:rsid w:val="00B03277"/>
    <w:rsid w:val="00B0368B"/>
    <w:rsid w:val="00B038F4"/>
    <w:rsid w:val="00B04343"/>
    <w:rsid w:val="00B04B1C"/>
    <w:rsid w:val="00B05C5A"/>
    <w:rsid w:val="00B062A2"/>
    <w:rsid w:val="00B07101"/>
    <w:rsid w:val="00B07692"/>
    <w:rsid w:val="00B07A79"/>
    <w:rsid w:val="00B10294"/>
    <w:rsid w:val="00B10DDD"/>
    <w:rsid w:val="00B1164D"/>
    <w:rsid w:val="00B11DC8"/>
    <w:rsid w:val="00B11F48"/>
    <w:rsid w:val="00B1270A"/>
    <w:rsid w:val="00B13611"/>
    <w:rsid w:val="00B139C5"/>
    <w:rsid w:val="00B1438D"/>
    <w:rsid w:val="00B14D87"/>
    <w:rsid w:val="00B14F64"/>
    <w:rsid w:val="00B15DC2"/>
    <w:rsid w:val="00B15E7F"/>
    <w:rsid w:val="00B16240"/>
    <w:rsid w:val="00B16FA8"/>
    <w:rsid w:val="00B1711C"/>
    <w:rsid w:val="00B17457"/>
    <w:rsid w:val="00B175FB"/>
    <w:rsid w:val="00B17C82"/>
    <w:rsid w:val="00B21161"/>
    <w:rsid w:val="00B21309"/>
    <w:rsid w:val="00B21FE1"/>
    <w:rsid w:val="00B222C0"/>
    <w:rsid w:val="00B22CA3"/>
    <w:rsid w:val="00B22CBB"/>
    <w:rsid w:val="00B23D3C"/>
    <w:rsid w:val="00B244C3"/>
    <w:rsid w:val="00B24ADC"/>
    <w:rsid w:val="00B24E80"/>
    <w:rsid w:val="00B259BE"/>
    <w:rsid w:val="00B25A16"/>
    <w:rsid w:val="00B25C2D"/>
    <w:rsid w:val="00B2606A"/>
    <w:rsid w:val="00B2630E"/>
    <w:rsid w:val="00B27B1A"/>
    <w:rsid w:val="00B302DC"/>
    <w:rsid w:val="00B304F0"/>
    <w:rsid w:val="00B3063B"/>
    <w:rsid w:val="00B30818"/>
    <w:rsid w:val="00B30AF5"/>
    <w:rsid w:val="00B31754"/>
    <w:rsid w:val="00B317CE"/>
    <w:rsid w:val="00B31813"/>
    <w:rsid w:val="00B31BE3"/>
    <w:rsid w:val="00B31EE7"/>
    <w:rsid w:val="00B321A5"/>
    <w:rsid w:val="00B324F3"/>
    <w:rsid w:val="00B3279C"/>
    <w:rsid w:val="00B32ECA"/>
    <w:rsid w:val="00B3344B"/>
    <w:rsid w:val="00B33896"/>
    <w:rsid w:val="00B3394E"/>
    <w:rsid w:val="00B33A49"/>
    <w:rsid w:val="00B33C3C"/>
    <w:rsid w:val="00B34095"/>
    <w:rsid w:val="00B348C7"/>
    <w:rsid w:val="00B34C2C"/>
    <w:rsid w:val="00B35364"/>
    <w:rsid w:val="00B361C7"/>
    <w:rsid w:val="00B363A7"/>
    <w:rsid w:val="00B365A7"/>
    <w:rsid w:val="00B37114"/>
    <w:rsid w:val="00B37E17"/>
    <w:rsid w:val="00B4081A"/>
    <w:rsid w:val="00B40A7D"/>
    <w:rsid w:val="00B41012"/>
    <w:rsid w:val="00B4124C"/>
    <w:rsid w:val="00B412B7"/>
    <w:rsid w:val="00B415CF"/>
    <w:rsid w:val="00B41847"/>
    <w:rsid w:val="00B419F0"/>
    <w:rsid w:val="00B42653"/>
    <w:rsid w:val="00B427EB"/>
    <w:rsid w:val="00B42FFD"/>
    <w:rsid w:val="00B43974"/>
    <w:rsid w:val="00B43E24"/>
    <w:rsid w:val="00B43FFB"/>
    <w:rsid w:val="00B44AD6"/>
    <w:rsid w:val="00B44F6B"/>
    <w:rsid w:val="00B45395"/>
    <w:rsid w:val="00B460F1"/>
    <w:rsid w:val="00B46382"/>
    <w:rsid w:val="00B46A38"/>
    <w:rsid w:val="00B46C7D"/>
    <w:rsid w:val="00B46CC6"/>
    <w:rsid w:val="00B473A5"/>
    <w:rsid w:val="00B47633"/>
    <w:rsid w:val="00B476C6"/>
    <w:rsid w:val="00B47956"/>
    <w:rsid w:val="00B47B49"/>
    <w:rsid w:val="00B50013"/>
    <w:rsid w:val="00B5024F"/>
    <w:rsid w:val="00B503C2"/>
    <w:rsid w:val="00B50658"/>
    <w:rsid w:val="00B50DBE"/>
    <w:rsid w:val="00B51DC4"/>
    <w:rsid w:val="00B51E5B"/>
    <w:rsid w:val="00B51F94"/>
    <w:rsid w:val="00B52D4B"/>
    <w:rsid w:val="00B52F16"/>
    <w:rsid w:val="00B53341"/>
    <w:rsid w:val="00B5349D"/>
    <w:rsid w:val="00B53B9C"/>
    <w:rsid w:val="00B54A3C"/>
    <w:rsid w:val="00B54D0B"/>
    <w:rsid w:val="00B558CA"/>
    <w:rsid w:val="00B5677F"/>
    <w:rsid w:val="00B5706A"/>
    <w:rsid w:val="00B577EC"/>
    <w:rsid w:val="00B57B41"/>
    <w:rsid w:val="00B60AA0"/>
    <w:rsid w:val="00B60CB1"/>
    <w:rsid w:val="00B60DFA"/>
    <w:rsid w:val="00B61B1D"/>
    <w:rsid w:val="00B61C18"/>
    <w:rsid w:val="00B61F30"/>
    <w:rsid w:val="00B62296"/>
    <w:rsid w:val="00B62383"/>
    <w:rsid w:val="00B62B9F"/>
    <w:rsid w:val="00B62E3A"/>
    <w:rsid w:val="00B647B0"/>
    <w:rsid w:val="00B64913"/>
    <w:rsid w:val="00B64996"/>
    <w:rsid w:val="00B64B15"/>
    <w:rsid w:val="00B650EC"/>
    <w:rsid w:val="00B6512B"/>
    <w:rsid w:val="00B65322"/>
    <w:rsid w:val="00B6538E"/>
    <w:rsid w:val="00B65B1D"/>
    <w:rsid w:val="00B65EFB"/>
    <w:rsid w:val="00B66289"/>
    <w:rsid w:val="00B664E3"/>
    <w:rsid w:val="00B6668F"/>
    <w:rsid w:val="00B66804"/>
    <w:rsid w:val="00B6726F"/>
    <w:rsid w:val="00B67647"/>
    <w:rsid w:val="00B67974"/>
    <w:rsid w:val="00B67F2E"/>
    <w:rsid w:val="00B700D5"/>
    <w:rsid w:val="00B7123C"/>
    <w:rsid w:val="00B71EAD"/>
    <w:rsid w:val="00B72432"/>
    <w:rsid w:val="00B72882"/>
    <w:rsid w:val="00B72958"/>
    <w:rsid w:val="00B72F52"/>
    <w:rsid w:val="00B730C0"/>
    <w:rsid w:val="00B73493"/>
    <w:rsid w:val="00B73603"/>
    <w:rsid w:val="00B7385B"/>
    <w:rsid w:val="00B7397B"/>
    <w:rsid w:val="00B739C0"/>
    <w:rsid w:val="00B7447E"/>
    <w:rsid w:val="00B7458E"/>
    <w:rsid w:val="00B74CAB"/>
    <w:rsid w:val="00B74D72"/>
    <w:rsid w:val="00B74E8A"/>
    <w:rsid w:val="00B74F3D"/>
    <w:rsid w:val="00B750E3"/>
    <w:rsid w:val="00B7530C"/>
    <w:rsid w:val="00B75603"/>
    <w:rsid w:val="00B769A3"/>
    <w:rsid w:val="00B76A98"/>
    <w:rsid w:val="00B77799"/>
    <w:rsid w:val="00B77D20"/>
    <w:rsid w:val="00B802AF"/>
    <w:rsid w:val="00B80592"/>
    <w:rsid w:val="00B8082B"/>
    <w:rsid w:val="00B80FEE"/>
    <w:rsid w:val="00B8160B"/>
    <w:rsid w:val="00B81B44"/>
    <w:rsid w:val="00B81BF9"/>
    <w:rsid w:val="00B81ECB"/>
    <w:rsid w:val="00B81FFB"/>
    <w:rsid w:val="00B82521"/>
    <w:rsid w:val="00B82A49"/>
    <w:rsid w:val="00B82FAF"/>
    <w:rsid w:val="00B836D0"/>
    <w:rsid w:val="00B839C2"/>
    <w:rsid w:val="00B83B3F"/>
    <w:rsid w:val="00B83E1A"/>
    <w:rsid w:val="00B83EC4"/>
    <w:rsid w:val="00B83F06"/>
    <w:rsid w:val="00B8444D"/>
    <w:rsid w:val="00B84979"/>
    <w:rsid w:val="00B84A45"/>
    <w:rsid w:val="00B84BB9"/>
    <w:rsid w:val="00B86750"/>
    <w:rsid w:val="00B872CA"/>
    <w:rsid w:val="00B87B4F"/>
    <w:rsid w:val="00B87C2C"/>
    <w:rsid w:val="00B87F3B"/>
    <w:rsid w:val="00B9053B"/>
    <w:rsid w:val="00B9071E"/>
    <w:rsid w:val="00B90EC0"/>
    <w:rsid w:val="00B9106A"/>
    <w:rsid w:val="00B912F2"/>
    <w:rsid w:val="00B9132E"/>
    <w:rsid w:val="00B91505"/>
    <w:rsid w:val="00B9155E"/>
    <w:rsid w:val="00B9174A"/>
    <w:rsid w:val="00B91807"/>
    <w:rsid w:val="00B91869"/>
    <w:rsid w:val="00B91910"/>
    <w:rsid w:val="00B919E7"/>
    <w:rsid w:val="00B926DC"/>
    <w:rsid w:val="00B92890"/>
    <w:rsid w:val="00B93353"/>
    <w:rsid w:val="00B9352B"/>
    <w:rsid w:val="00B93889"/>
    <w:rsid w:val="00B94AA3"/>
    <w:rsid w:val="00B950EE"/>
    <w:rsid w:val="00B95517"/>
    <w:rsid w:val="00B95AF7"/>
    <w:rsid w:val="00B95D0C"/>
    <w:rsid w:val="00B96066"/>
    <w:rsid w:val="00B962E2"/>
    <w:rsid w:val="00B96472"/>
    <w:rsid w:val="00BA021B"/>
    <w:rsid w:val="00BA17E2"/>
    <w:rsid w:val="00BA1938"/>
    <w:rsid w:val="00BA2095"/>
    <w:rsid w:val="00BA2AAE"/>
    <w:rsid w:val="00BA3F3D"/>
    <w:rsid w:val="00BA3F98"/>
    <w:rsid w:val="00BA400D"/>
    <w:rsid w:val="00BA404E"/>
    <w:rsid w:val="00BA44F8"/>
    <w:rsid w:val="00BA47A9"/>
    <w:rsid w:val="00BA4E02"/>
    <w:rsid w:val="00BA5FE6"/>
    <w:rsid w:val="00BA609A"/>
    <w:rsid w:val="00BA6EF1"/>
    <w:rsid w:val="00BA787F"/>
    <w:rsid w:val="00BA7E9D"/>
    <w:rsid w:val="00BB0744"/>
    <w:rsid w:val="00BB0F22"/>
    <w:rsid w:val="00BB1110"/>
    <w:rsid w:val="00BB1728"/>
    <w:rsid w:val="00BB1767"/>
    <w:rsid w:val="00BB23D8"/>
    <w:rsid w:val="00BB28E1"/>
    <w:rsid w:val="00BB32C9"/>
    <w:rsid w:val="00BB36F3"/>
    <w:rsid w:val="00BB3976"/>
    <w:rsid w:val="00BB3BC9"/>
    <w:rsid w:val="00BB3C61"/>
    <w:rsid w:val="00BB4287"/>
    <w:rsid w:val="00BB4C99"/>
    <w:rsid w:val="00BB58BE"/>
    <w:rsid w:val="00BB5C64"/>
    <w:rsid w:val="00BB5D1F"/>
    <w:rsid w:val="00BB5EAD"/>
    <w:rsid w:val="00BB6F27"/>
    <w:rsid w:val="00BB77F1"/>
    <w:rsid w:val="00BB7D88"/>
    <w:rsid w:val="00BC0330"/>
    <w:rsid w:val="00BC0465"/>
    <w:rsid w:val="00BC05A0"/>
    <w:rsid w:val="00BC0D74"/>
    <w:rsid w:val="00BC1032"/>
    <w:rsid w:val="00BC1724"/>
    <w:rsid w:val="00BC1D18"/>
    <w:rsid w:val="00BC2279"/>
    <w:rsid w:val="00BC284D"/>
    <w:rsid w:val="00BC28E5"/>
    <w:rsid w:val="00BC2E8E"/>
    <w:rsid w:val="00BC3222"/>
    <w:rsid w:val="00BC3249"/>
    <w:rsid w:val="00BC3422"/>
    <w:rsid w:val="00BC3452"/>
    <w:rsid w:val="00BC352A"/>
    <w:rsid w:val="00BC457E"/>
    <w:rsid w:val="00BC464A"/>
    <w:rsid w:val="00BC4A1A"/>
    <w:rsid w:val="00BC4B45"/>
    <w:rsid w:val="00BC50D2"/>
    <w:rsid w:val="00BC51D1"/>
    <w:rsid w:val="00BC5472"/>
    <w:rsid w:val="00BC5B2A"/>
    <w:rsid w:val="00BC6914"/>
    <w:rsid w:val="00BC69F1"/>
    <w:rsid w:val="00BC6F41"/>
    <w:rsid w:val="00BC7650"/>
    <w:rsid w:val="00BD0ECC"/>
    <w:rsid w:val="00BD10AE"/>
    <w:rsid w:val="00BD11A4"/>
    <w:rsid w:val="00BD1718"/>
    <w:rsid w:val="00BD1C3D"/>
    <w:rsid w:val="00BD2343"/>
    <w:rsid w:val="00BD23A1"/>
    <w:rsid w:val="00BD2734"/>
    <w:rsid w:val="00BD28DC"/>
    <w:rsid w:val="00BD379E"/>
    <w:rsid w:val="00BD4730"/>
    <w:rsid w:val="00BD48D8"/>
    <w:rsid w:val="00BD5D52"/>
    <w:rsid w:val="00BD63CD"/>
    <w:rsid w:val="00BD7F5A"/>
    <w:rsid w:val="00BE0291"/>
    <w:rsid w:val="00BE05C3"/>
    <w:rsid w:val="00BE1462"/>
    <w:rsid w:val="00BE1486"/>
    <w:rsid w:val="00BE175F"/>
    <w:rsid w:val="00BE1A97"/>
    <w:rsid w:val="00BE21C8"/>
    <w:rsid w:val="00BE2BE1"/>
    <w:rsid w:val="00BE2C93"/>
    <w:rsid w:val="00BE3F5B"/>
    <w:rsid w:val="00BE4013"/>
    <w:rsid w:val="00BE480D"/>
    <w:rsid w:val="00BE51C7"/>
    <w:rsid w:val="00BE5DAA"/>
    <w:rsid w:val="00BE5F3A"/>
    <w:rsid w:val="00BE60D5"/>
    <w:rsid w:val="00BE64B5"/>
    <w:rsid w:val="00BE6863"/>
    <w:rsid w:val="00BE68D1"/>
    <w:rsid w:val="00BE6A85"/>
    <w:rsid w:val="00BE746B"/>
    <w:rsid w:val="00BE79DC"/>
    <w:rsid w:val="00BE7B59"/>
    <w:rsid w:val="00BF05CE"/>
    <w:rsid w:val="00BF0CD2"/>
    <w:rsid w:val="00BF0D87"/>
    <w:rsid w:val="00BF11FF"/>
    <w:rsid w:val="00BF1489"/>
    <w:rsid w:val="00BF1698"/>
    <w:rsid w:val="00BF2A8A"/>
    <w:rsid w:val="00BF2BEB"/>
    <w:rsid w:val="00BF406C"/>
    <w:rsid w:val="00BF407B"/>
    <w:rsid w:val="00BF4437"/>
    <w:rsid w:val="00BF4D49"/>
    <w:rsid w:val="00BF590A"/>
    <w:rsid w:val="00BF64A3"/>
    <w:rsid w:val="00BF6544"/>
    <w:rsid w:val="00BF6994"/>
    <w:rsid w:val="00BF6A20"/>
    <w:rsid w:val="00C00493"/>
    <w:rsid w:val="00C00C1E"/>
    <w:rsid w:val="00C012BC"/>
    <w:rsid w:val="00C01398"/>
    <w:rsid w:val="00C015B9"/>
    <w:rsid w:val="00C0183C"/>
    <w:rsid w:val="00C01EE5"/>
    <w:rsid w:val="00C022F9"/>
    <w:rsid w:val="00C02D44"/>
    <w:rsid w:val="00C02D60"/>
    <w:rsid w:val="00C032EA"/>
    <w:rsid w:val="00C0333B"/>
    <w:rsid w:val="00C03357"/>
    <w:rsid w:val="00C0343C"/>
    <w:rsid w:val="00C03585"/>
    <w:rsid w:val="00C0368B"/>
    <w:rsid w:val="00C03D76"/>
    <w:rsid w:val="00C050D0"/>
    <w:rsid w:val="00C051CE"/>
    <w:rsid w:val="00C06304"/>
    <w:rsid w:val="00C06492"/>
    <w:rsid w:val="00C06EB5"/>
    <w:rsid w:val="00C07456"/>
    <w:rsid w:val="00C0786C"/>
    <w:rsid w:val="00C078C8"/>
    <w:rsid w:val="00C07BF9"/>
    <w:rsid w:val="00C07F23"/>
    <w:rsid w:val="00C102AF"/>
    <w:rsid w:val="00C104A2"/>
    <w:rsid w:val="00C107BF"/>
    <w:rsid w:val="00C10ADD"/>
    <w:rsid w:val="00C11125"/>
    <w:rsid w:val="00C1145F"/>
    <w:rsid w:val="00C118F3"/>
    <w:rsid w:val="00C11A05"/>
    <w:rsid w:val="00C11B10"/>
    <w:rsid w:val="00C12149"/>
    <w:rsid w:val="00C12998"/>
    <w:rsid w:val="00C12CAB"/>
    <w:rsid w:val="00C1323F"/>
    <w:rsid w:val="00C136D1"/>
    <w:rsid w:val="00C137EA"/>
    <w:rsid w:val="00C13EDF"/>
    <w:rsid w:val="00C14228"/>
    <w:rsid w:val="00C148B5"/>
    <w:rsid w:val="00C14F64"/>
    <w:rsid w:val="00C15005"/>
    <w:rsid w:val="00C15264"/>
    <w:rsid w:val="00C156E1"/>
    <w:rsid w:val="00C15894"/>
    <w:rsid w:val="00C15EA3"/>
    <w:rsid w:val="00C1671E"/>
    <w:rsid w:val="00C1680B"/>
    <w:rsid w:val="00C16A28"/>
    <w:rsid w:val="00C16BF6"/>
    <w:rsid w:val="00C179B0"/>
    <w:rsid w:val="00C179F9"/>
    <w:rsid w:val="00C202AB"/>
    <w:rsid w:val="00C20416"/>
    <w:rsid w:val="00C20707"/>
    <w:rsid w:val="00C20BBE"/>
    <w:rsid w:val="00C22FD5"/>
    <w:rsid w:val="00C2387D"/>
    <w:rsid w:val="00C24C32"/>
    <w:rsid w:val="00C25876"/>
    <w:rsid w:val="00C259A0"/>
    <w:rsid w:val="00C25E9F"/>
    <w:rsid w:val="00C26930"/>
    <w:rsid w:val="00C26C38"/>
    <w:rsid w:val="00C26EF7"/>
    <w:rsid w:val="00C270F3"/>
    <w:rsid w:val="00C27875"/>
    <w:rsid w:val="00C27DBF"/>
    <w:rsid w:val="00C27FB6"/>
    <w:rsid w:val="00C30276"/>
    <w:rsid w:val="00C303C8"/>
    <w:rsid w:val="00C30AAE"/>
    <w:rsid w:val="00C30AEC"/>
    <w:rsid w:val="00C313D6"/>
    <w:rsid w:val="00C31A12"/>
    <w:rsid w:val="00C31A23"/>
    <w:rsid w:val="00C31AE7"/>
    <w:rsid w:val="00C31BB8"/>
    <w:rsid w:val="00C33B95"/>
    <w:rsid w:val="00C33FF1"/>
    <w:rsid w:val="00C35252"/>
    <w:rsid w:val="00C35469"/>
    <w:rsid w:val="00C359C3"/>
    <w:rsid w:val="00C35CE8"/>
    <w:rsid w:val="00C36A74"/>
    <w:rsid w:val="00C36B51"/>
    <w:rsid w:val="00C36D76"/>
    <w:rsid w:val="00C37696"/>
    <w:rsid w:val="00C37AD9"/>
    <w:rsid w:val="00C40853"/>
    <w:rsid w:val="00C410DF"/>
    <w:rsid w:val="00C41CB8"/>
    <w:rsid w:val="00C41E33"/>
    <w:rsid w:val="00C42016"/>
    <w:rsid w:val="00C42310"/>
    <w:rsid w:val="00C4231C"/>
    <w:rsid w:val="00C42404"/>
    <w:rsid w:val="00C42C38"/>
    <w:rsid w:val="00C4384D"/>
    <w:rsid w:val="00C43FCD"/>
    <w:rsid w:val="00C45109"/>
    <w:rsid w:val="00C45F8F"/>
    <w:rsid w:val="00C47057"/>
    <w:rsid w:val="00C4784B"/>
    <w:rsid w:val="00C4786E"/>
    <w:rsid w:val="00C47E2A"/>
    <w:rsid w:val="00C500F8"/>
    <w:rsid w:val="00C509EA"/>
    <w:rsid w:val="00C50A1D"/>
    <w:rsid w:val="00C50C64"/>
    <w:rsid w:val="00C513ED"/>
    <w:rsid w:val="00C51703"/>
    <w:rsid w:val="00C51A9F"/>
    <w:rsid w:val="00C5232D"/>
    <w:rsid w:val="00C52F02"/>
    <w:rsid w:val="00C52F4B"/>
    <w:rsid w:val="00C53318"/>
    <w:rsid w:val="00C547F0"/>
    <w:rsid w:val="00C55478"/>
    <w:rsid w:val="00C55E5D"/>
    <w:rsid w:val="00C560FD"/>
    <w:rsid w:val="00C5613F"/>
    <w:rsid w:val="00C56253"/>
    <w:rsid w:val="00C5676A"/>
    <w:rsid w:val="00C56CB8"/>
    <w:rsid w:val="00C56FAD"/>
    <w:rsid w:val="00C57D12"/>
    <w:rsid w:val="00C602B8"/>
    <w:rsid w:val="00C603C8"/>
    <w:rsid w:val="00C605CA"/>
    <w:rsid w:val="00C60EE7"/>
    <w:rsid w:val="00C614C6"/>
    <w:rsid w:val="00C6157F"/>
    <w:rsid w:val="00C61ABB"/>
    <w:rsid w:val="00C62225"/>
    <w:rsid w:val="00C62641"/>
    <w:rsid w:val="00C62B17"/>
    <w:rsid w:val="00C62BDD"/>
    <w:rsid w:val="00C62E59"/>
    <w:rsid w:val="00C63586"/>
    <w:rsid w:val="00C637E1"/>
    <w:rsid w:val="00C64DE0"/>
    <w:rsid w:val="00C64F84"/>
    <w:rsid w:val="00C651E3"/>
    <w:rsid w:val="00C6536D"/>
    <w:rsid w:val="00C654ED"/>
    <w:rsid w:val="00C65C74"/>
    <w:rsid w:val="00C65CE9"/>
    <w:rsid w:val="00C668B1"/>
    <w:rsid w:val="00C66C6C"/>
    <w:rsid w:val="00C66D53"/>
    <w:rsid w:val="00C66E1F"/>
    <w:rsid w:val="00C66E37"/>
    <w:rsid w:val="00C6D2AC"/>
    <w:rsid w:val="00C708D1"/>
    <w:rsid w:val="00C70D15"/>
    <w:rsid w:val="00C70D50"/>
    <w:rsid w:val="00C7167E"/>
    <w:rsid w:val="00C71DA3"/>
    <w:rsid w:val="00C7200C"/>
    <w:rsid w:val="00C72072"/>
    <w:rsid w:val="00C727E0"/>
    <w:rsid w:val="00C7341B"/>
    <w:rsid w:val="00C737E4"/>
    <w:rsid w:val="00C7404E"/>
    <w:rsid w:val="00C746A1"/>
    <w:rsid w:val="00C7477B"/>
    <w:rsid w:val="00C74B24"/>
    <w:rsid w:val="00C74E33"/>
    <w:rsid w:val="00C75673"/>
    <w:rsid w:val="00C75E51"/>
    <w:rsid w:val="00C76E73"/>
    <w:rsid w:val="00C76F26"/>
    <w:rsid w:val="00C77859"/>
    <w:rsid w:val="00C77D25"/>
    <w:rsid w:val="00C77D46"/>
    <w:rsid w:val="00C77D4D"/>
    <w:rsid w:val="00C8023B"/>
    <w:rsid w:val="00C80450"/>
    <w:rsid w:val="00C80747"/>
    <w:rsid w:val="00C8187A"/>
    <w:rsid w:val="00C82730"/>
    <w:rsid w:val="00C82BA5"/>
    <w:rsid w:val="00C84387"/>
    <w:rsid w:val="00C8481A"/>
    <w:rsid w:val="00C84B88"/>
    <w:rsid w:val="00C853DE"/>
    <w:rsid w:val="00C8635B"/>
    <w:rsid w:val="00C868D5"/>
    <w:rsid w:val="00C86F59"/>
    <w:rsid w:val="00C87061"/>
    <w:rsid w:val="00C8762A"/>
    <w:rsid w:val="00C87D56"/>
    <w:rsid w:val="00C907D7"/>
    <w:rsid w:val="00C91EFA"/>
    <w:rsid w:val="00C9201D"/>
    <w:rsid w:val="00C92338"/>
    <w:rsid w:val="00C92367"/>
    <w:rsid w:val="00C92A2F"/>
    <w:rsid w:val="00C92B4E"/>
    <w:rsid w:val="00C92CD2"/>
    <w:rsid w:val="00C932A2"/>
    <w:rsid w:val="00C940C2"/>
    <w:rsid w:val="00C947AE"/>
    <w:rsid w:val="00C94C69"/>
    <w:rsid w:val="00C94E93"/>
    <w:rsid w:val="00C951F4"/>
    <w:rsid w:val="00C95A75"/>
    <w:rsid w:val="00C95D00"/>
    <w:rsid w:val="00C95D6E"/>
    <w:rsid w:val="00C96043"/>
    <w:rsid w:val="00C96BC1"/>
    <w:rsid w:val="00C96C5F"/>
    <w:rsid w:val="00C96F0E"/>
    <w:rsid w:val="00C97D88"/>
    <w:rsid w:val="00CA0057"/>
    <w:rsid w:val="00CA0DF3"/>
    <w:rsid w:val="00CA0FA4"/>
    <w:rsid w:val="00CA135A"/>
    <w:rsid w:val="00CA13AB"/>
    <w:rsid w:val="00CA140E"/>
    <w:rsid w:val="00CA1EFD"/>
    <w:rsid w:val="00CA2556"/>
    <w:rsid w:val="00CA31D3"/>
    <w:rsid w:val="00CA3936"/>
    <w:rsid w:val="00CA3A57"/>
    <w:rsid w:val="00CA3F3F"/>
    <w:rsid w:val="00CA44E5"/>
    <w:rsid w:val="00CA48F2"/>
    <w:rsid w:val="00CA4A59"/>
    <w:rsid w:val="00CA520E"/>
    <w:rsid w:val="00CA699C"/>
    <w:rsid w:val="00CA6A32"/>
    <w:rsid w:val="00CA6B29"/>
    <w:rsid w:val="00CA74F9"/>
    <w:rsid w:val="00CA7A2A"/>
    <w:rsid w:val="00CA7C3A"/>
    <w:rsid w:val="00CB01F6"/>
    <w:rsid w:val="00CB0206"/>
    <w:rsid w:val="00CB0AC4"/>
    <w:rsid w:val="00CB107E"/>
    <w:rsid w:val="00CB1519"/>
    <w:rsid w:val="00CB161A"/>
    <w:rsid w:val="00CB22E1"/>
    <w:rsid w:val="00CB2370"/>
    <w:rsid w:val="00CB2EB1"/>
    <w:rsid w:val="00CB30BD"/>
    <w:rsid w:val="00CB367C"/>
    <w:rsid w:val="00CB377B"/>
    <w:rsid w:val="00CB3A4E"/>
    <w:rsid w:val="00CB4627"/>
    <w:rsid w:val="00CB47D6"/>
    <w:rsid w:val="00CB483F"/>
    <w:rsid w:val="00CB4B7D"/>
    <w:rsid w:val="00CB4EFD"/>
    <w:rsid w:val="00CB4F5F"/>
    <w:rsid w:val="00CB533F"/>
    <w:rsid w:val="00CB6095"/>
    <w:rsid w:val="00CB63D6"/>
    <w:rsid w:val="00CB6E78"/>
    <w:rsid w:val="00CB7A22"/>
    <w:rsid w:val="00CB7AA1"/>
    <w:rsid w:val="00CB7FE2"/>
    <w:rsid w:val="00CC02B7"/>
    <w:rsid w:val="00CC08D3"/>
    <w:rsid w:val="00CC0B8A"/>
    <w:rsid w:val="00CC14A6"/>
    <w:rsid w:val="00CC1CFC"/>
    <w:rsid w:val="00CC1D27"/>
    <w:rsid w:val="00CC1EC0"/>
    <w:rsid w:val="00CC1F68"/>
    <w:rsid w:val="00CC2040"/>
    <w:rsid w:val="00CC210A"/>
    <w:rsid w:val="00CC21E9"/>
    <w:rsid w:val="00CC2A65"/>
    <w:rsid w:val="00CC3564"/>
    <w:rsid w:val="00CC382A"/>
    <w:rsid w:val="00CC3A0A"/>
    <w:rsid w:val="00CC45E9"/>
    <w:rsid w:val="00CC4631"/>
    <w:rsid w:val="00CC4B22"/>
    <w:rsid w:val="00CC4B24"/>
    <w:rsid w:val="00CC5554"/>
    <w:rsid w:val="00CC627B"/>
    <w:rsid w:val="00CC62EE"/>
    <w:rsid w:val="00CC631B"/>
    <w:rsid w:val="00CC66B8"/>
    <w:rsid w:val="00CC69CA"/>
    <w:rsid w:val="00CC6FF2"/>
    <w:rsid w:val="00CC720D"/>
    <w:rsid w:val="00CC7741"/>
    <w:rsid w:val="00CD007E"/>
    <w:rsid w:val="00CD0307"/>
    <w:rsid w:val="00CD1193"/>
    <w:rsid w:val="00CD13A2"/>
    <w:rsid w:val="00CD1F2C"/>
    <w:rsid w:val="00CD29CA"/>
    <w:rsid w:val="00CD2AB4"/>
    <w:rsid w:val="00CD2B29"/>
    <w:rsid w:val="00CD3C7D"/>
    <w:rsid w:val="00CD3D1B"/>
    <w:rsid w:val="00CD3FAF"/>
    <w:rsid w:val="00CD4129"/>
    <w:rsid w:val="00CD43DF"/>
    <w:rsid w:val="00CD4D3E"/>
    <w:rsid w:val="00CD4D65"/>
    <w:rsid w:val="00CD4D85"/>
    <w:rsid w:val="00CD4D90"/>
    <w:rsid w:val="00CD555F"/>
    <w:rsid w:val="00CD5C59"/>
    <w:rsid w:val="00CD62D4"/>
    <w:rsid w:val="00CD65A2"/>
    <w:rsid w:val="00CD68A3"/>
    <w:rsid w:val="00CD6AEE"/>
    <w:rsid w:val="00CD6F14"/>
    <w:rsid w:val="00CD743D"/>
    <w:rsid w:val="00CD783D"/>
    <w:rsid w:val="00CE05F7"/>
    <w:rsid w:val="00CE07ED"/>
    <w:rsid w:val="00CE0E9F"/>
    <w:rsid w:val="00CE108F"/>
    <w:rsid w:val="00CE189B"/>
    <w:rsid w:val="00CE1B7C"/>
    <w:rsid w:val="00CE2266"/>
    <w:rsid w:val="00CE2356"/>
    <w:rsid w:val="00CE2969"/>
    <w:rsid w:val="00CE2E7E"/>
    <w:rsid w:val="00CE369E"/>
    <w:rsid w:val="00CE3C40"/>
    <w:rsid w:val="00CE3E30"/>
    <w:rsid w:val="00CE4309"/>
    <w:rsid w:val="00CE4431"/>
    <w:rsid w:val="00CE4591"/>
    <w:rsid w:val="00CE46A2"/>
    <w:rsid w:val="00CE4773"/>
    <w:rsid w:val="00CE4C5F"/>
    <w:rsid w:val="00CE50CE"/>
    <w:rsid w:val="00CE545A"/>
    <w:rsid w:val="00CE5935"/>
    <w:rsid w:val="00CE5E0B"/>
    <w:rsid w:val="00CE648D"/>
    <w:rsid w:val="00CE6D52"/>
    <w:rsid w:val="00CE7050"/>
    <w:rsid w:val="00CE70AE"/>
    <w:rsid w:val="00CE7138"/>
    <w:rsid w:val="00CE71E8"/>
    <w:rsid w:val="00CE7FD9"/>
    <w:rsid w:val="00CF0505"/>
    <w:rsid w:val="00CF12AD"/>
    <w:rsid w:val="00CF194B"/>
    <w:rsid w:val="00CF2EAC"/>
    <w:rsid w:val="00CF3446"/>
    <w:rsid w:val="00CF37AF"/>
    <w:rsid w:val="00CF3C27"/>
    <w:rsid w:val="00CF3E89"/>
    <w:rsid w:val="00CF46B6"/>
    <w:rsid w:val="00CF513F"/>
    <w:rsid w:val="00CF5243"/>
    <w:rsid w:val="00CF5D70"/>
    <w:rsid w:val="00CF5ED5"/>
    <w:rsid w:val="00CF6890"/>
    <w:rsid w:val="00CF6E9E"/>
    <w:rsid w:val="00CF7546"/>
    <w:rsid w:val="00CF7857"/>
    <w:rsid w:val="00CF7AC9"/>
    <w:rsid w:val="00CF7B49"/>
    <w:rsid w:val="00CF7BB8"/>
    <w:rsid w:val="00CFC428"/>
    <w:rsid w:val="00D000F7"/>
    <w:rsid w:val="00D003C9"/>
    <w:rsid w:val="00D007A7"/>
    <w:rsid w:val="00D010FF"/>
    <w:rsid w:val="00D01636"/>
    <w:rsid w:val="00D021DC"/>
    <w:rsid w:val="00D0250D"/>
    <w:rsid w:val="00D02A69"/>
    <w:rsid w:val="00D02D38"/>
    <w:rsid w:val="00D02EE5"/>
    <w:rsid w:val="00D030BC"/>
    <w:rsid w:val="00D03133"/>
    <w:rsid w:val="00D031AD"/>
    <w:rsid w:val="00D03500"/>
    <w:rsid w:val="00D03588"/>
    <w:rsid w:val="00D03B1C"/>
    <w:rsid w:val="00D04076"/>
    <w:rsid w:val="00D0427E"/>
    <w:rsid w:val="00D045BB"/>
    <w:rsid w:val="00D04777"/>
    <w:rsid w:val="00D0484B"/>
    <w:rsid w:val="00D04B03"/>
    <w:rsid w:val="00D04C04"/>
    <w:rsid w:val="00D052BB"/>
    <w:rsid w:val="00D05337"/>
    <w:rsid w:val="00D0569C"/>
    <w:rsid w:val="00D056DE"/>
    <w:rsid w:val="00D057B5"/>
    <w:rsid w:val="00D065B6"/>
    <w:rsid w:val="00D067FD"/>
    <w:rsid w:val="00D06953"/>
    <w:rsid w:val="00D07528"/>
    <w:rsid w:val="00D07648"/>
    <w:rsid w:val="00D11022"/>
    <w:rsid w:val="00D1111A"/>
    <w:rsid w:val="00D11BDC"/>
    <w:rsid w:val="00D121A6"/>
    <w:rsid w:val="00D1224B"/>
    <w:rsid w:val="00D1226F"/>
    <w:rsid w:val="00D122BF"/>
    <w:rsid w:val="00D12438"/>
    <w:rsid w:val="00D127F2"/>
    <w:rsid w:val="00D12F6C"/>
    <w:rsid w:val="00D1353B"/>
    <w:rsid w:val="00D1412A"/>
    <w:rsid w:val="00D144DA"/>
    <w:rsid w:val="00D146AF"/>
    <w:rsid w:val="00D14904"/>
    <w:rsid w:val="00D149DF"/>
    <w:rsid w:val="00D14AAC"/>
    <w:rsid w:val="00D14F44"/>
    <w:rsid w:val="00D15329"/>
    <w:rsid w:val="00D157F1"/>
    <w:rsid w:val="00D15C11"/>
    <w:rsid w:val="00D166FE"/>
    <w:rsid w:val="00D16828"/>
    <w:rsid w:val="00D16EFA"/>
    <w:rsid w:val="00D174FF"/>
    <w:rsid w:val="00D17A4D"/>
    <w:rsid w:val="00D17A7D"/>
    <w:rsid w:val="00D2168E"/>
    <w:rsid w:val="00D21833"/>
    <w:rsid w:val="00D21F33"/>
    <w:rsid w:val="00D2218F"/>
    <w:rsid w:val="00D22585"/>
    <w:rsid w:val="00D2312F"/>
    <w:rsid w:val="00D23578"/>
    <w:rsid w:val="00D23FB5"/>
    <w:rsid w:val="00D24418"/>
    <w:rsid w:val="00D24755"/>
    <w:rsid w:val="00D24945"/>
    <w:rsid w:val="00D24B8A"/>
    <w:rsid w:val="00D24D54"/>
    <w:rsid w:val="00D24E68"/>
    <w:rsid w:val="00D24FB0"/>
    <w:rsid w:val="00D257B0"/>
    <w:rsid w:val="00D25AEA"/>
    <w:rsid w:val="00D25F64"/>
    <w:rsid w:val="00D2611F"/>
    <w:rsid w:val="00D264CB"/>
    <w:rsid w:val="00D266C1"/>
    <w:rsid w:val="00D269C1"/>
    <w:rsid w:val="00D269D8"/>
    <w:rsid w:val="00D27611"/>
    <w:rsid w:val="00D2776A"/>
    <w:rsid w:val="00D27805"/>
    <w:rsid w:val="00D2788C"/>
    <w:rsid w:val="00D27AE4"/>
    <w:rsid w:val="00D27B2A"/>
    <w:rsid w:val="00D27F34"/>
    <w:rsid w:val="00D303A1"/>
    <w:rsid w:val="00D3055F"/>
    <w:rsid w:val="00D30B7E"/>
    <w:rsid w:val="00D30C21"/>
    <w:rsid w:val="00D316E8"/>
    <w:rsid w:val="00D317F4"/>
    <w:rsid w:val="00D31819"/>
    <w:rsid w:val="00D319D0"/>
    <w:rsid w:val="00D31DB6"/>
    <w:rsid w:val="00D32189"/>
    <w:rsid w:val="00D321E2"/>
    <w:rsid w:val="00D324D4"/>
    <w:rsid w:val="00D329CA"/>
    <w:rsid w:val="00D32A42"/>
    <w:rsid w:val="00D32A9A"/>
    <w:rsid w:val="00D33289"/>
    <w:rsid w:val="00D3388E"/>
    <w:rsid w:val="00D34647"/>
    <w:rsid w:val="00D34703"/>
    <w:rsid w:val="00D34A58"/>
    <w:rsid w:val="00D35853"/>
    <w:rsid w:val="00D35D22"/>
    <w:rsid w:val="00D36BF6"/>
    <w:rsid w:val="00D37196"/>
    <w:rsid w:val="00D374E6"/>
    <w:rsid w:val="00D3750C"/>
    <w:rsid w:val="00D37CA3"/>
    <w:rsid w:val="00D405B3"/>
    <w:rsid w:val="00D40CCE"/>
    <w:rsid w:val="00D41107"/>
    <w:rsid w:val="00D41266"/>
    <w:rsid w:val="00D41319"/>
    <w:rsid w:val="00D41B40"/>
    <w:rsid w:val="00D41FC4"/>
    <w:rsid w:val="00D42232"/>
    <w:rsid w:val="00D42280"/>
    <w:rsid w:val="00D4248C"/>
    <w:rsid w:val="00D42566"/>
    <w:rsid w:val="00D426C4"/>
    <w:rsid w:val="00D42D0D"/>
    <w:rsid w:val="00D42DF5"/>
    <w:rsid w:val="00D43030"/>
    <w:rsid w:val="00D4349D"/>
    <w:rsid w:val="00D436F2"/>
    <w:rsid w:val="00D43F91"/>
    <w:rsid w:val="00D43FFC"/>
    <w:rsid w:val="00D44953"/>
    <w:rsid w:val="00D44E93"/>
    <w:rsid w:val="00D4534E"/>
    <w:rsid w:val="00D46561"/>
    <w:rsid w:val="00D4656B"/>
    <w:rsid w:val="00D46D88"/>
    <w:rsid w:val="00D47C9F"/>
    <w:rsid w:val="00D5066F"/>
    <w:rsid w:val="00D50E47"/>
    <w:rsid w:val="00D50F06"/>
    <w:rsid w:val="00D510C1"/>
    <w:rsid w:val="00D51460"/>
    <w:rsid w:val="00D51A2A"/>
    <w:rsid w:val="00D524AA"/>
    <w:rsid w:val="00D52BAB"/>
    <w:rsid w:val="00D530DE"/>
    <w:rsid w:val="00D53310"/>
    <w:rsid w:val="00D53C96"/>
    <w:rsid w:val="00D542F3"/>
    <w:rsid w:val="00D54548"/>
    <w:rsid w:val="00D545A9"/>
    <w:rsid w:val="00D54D16"/>
    <w:rsid w:val="00D55338"/>
    <w:rsid w:val="00D55413"/>
    <w:rsid w:val="00D555BC"/>
    <w:rsid w:val="00D55799"/>
    <w:rsid w:val="00D5644B"/>
    <w:rsid w:val="00D56763"/>
    <w:rsid w:val="00D56A78"/>
    <w:rsid w:val="00D56CF5"/>
    <w:rsid w:val="00D56E25"/>
    <w:rsid w:val="00D57217"/>
    <w:rsid w:val="00D5794D"/>
    <w:rsid w:val="00D57C43"/>
    <w:rsid w:val="00D57CCB"/>
    <w:rsid w:val="00D61AAF"/>
    <w:rsid w:val="00D61FFB"/>
    <w:rsid w:val="00D620C3"/>
    <w:rsid w:val="00D623FB"/>
    <w:rsid w:val="00D6360C"/>
    <w:rsid w:val="00D637F1"/>
    <w:rsid w:val="00D64A47"/>
    <w:rsid w:val="00D64A58"/>
    <w:rsid w:val="00D64C00"/>
    <w:rsid w:val="00D65665"/>
    <w:rsid w:val="00D659C8"/>
    <w:rsid w:val="00D661BB"/>
    <w:rsid w:val="00D661E7"/>
    <w:rsid w:val="00D66DDD"/>
    <w:rsid w:val="00D67614"/>
    <w:rsid w:val="00D67A04"/>
    <w:rsid w:val="00D67CB2"/>
    <w:rsid w:val="00D70A52"/>
    <w:rsid w:val="00D7107F"/>
    <w:rsid w:val="00D7115B"/>
    <w:rsid w:val="00D71705"/>
    <w:rsid w:val="00D718D7"/>
    <w:rsid w:val="00D71B08"/>
    <w:rsid w:val="00D72586"/>
    <w:rsid w:val="00D726E9"/>
    <w:rsid w:val="00D72BD9"/>
    <w:rsid w:val="00D72E24"/>
    <w:rsid w:val="00D73224"/>
    <w:rsid w:val="00D733DA"/>
    <w:rsid w:val="00D73645"/>
    <w:rsid w:val="00D73DBB"/>
    <w:rsid w:val="00D74638"/>
    <w:rsid w:val="00D752C5"/>
    <w:rsid w:val="00D75824"/>
    <w:rsid w:val="00D76117"/>
    <w:rsid w:val="00D761AD"/>
    <w:rsid w:val="00D76240"/>
    <w:rsid w:val="00D762DC"/>
    <w:rsid w:val="00D762E5"/>
    <w:rsid w:val="00D7634D"/>
    <w:rsid w:val="00D7672B"/>
    <w:rsid w:val="00D76786"/>
    <w:rsid w:val="00D768C5"/>
    <w:rsid w:val="00D76933"/>
    <w:rsid w:val="00D7777C"/>
    <w:rsid w:val="00D77ACB"/>
    <w:rsid w:val="00D80278"/>
    <w:rsid w:val="00D80813"/>
    <w:rsid w:val="00D814B7"/>
    <w:rsid w:val="00D8157F"/>
    <w:rsid w:val="00D81BC9"/>
    <w:rsid w:val="00D81C91"/>
    <w:rsid w:val="00D81E76"/>
    <w:rsid w:val="00D82035"/>
    <w:rsid w:val="00D826C2"/>
    <w:rsid w:val="00D834C6"/>
    <w:rsid w:val="00D835FC"/>
    <w:rsid w:val="00D83AAC"/>
    <w:rsid w:val="00D83C23"/>
    <w:rsid w:val="00D83E4B"/>
    <w:rsid w:val="00D846A8"/>
    <w:rsid w:val="00D85E38"/>
    <w:rsid w:val="00D8717D"/>
    <w:rsid w:val="00D90387"/>
    <w:rsid w:val="00D90688"/>
    <w:rsid w:val="00D91071"/>
    <w:rsid w:val="00D92242"/>
    <w:rsid w:val="00D92E43"/>
    <w:rsid w:val="00D92E95"/>
    <w:rsid w:val="00D937A9"/>
    <w:rsid w:val="00D93FE9"/>
    <w:rsid w:val="00D951F8"/>
    <w:rsid w:val="00D958A8"/>
    <w:rsid w:val="00D961F7"/>
    <w:rsid w:val="00D96CA0"/>
    <w:rsid w:val="00D9724B"/>
    <w:rsid w:val="00D979B8"/>
    <w:rsid w:val="00D97E28"/>
    <w:rsid w:val="00D97F69"/>
    <w:rsid w:val="00DA075D"/>
    <w:rsid w:val="00DA0912"/>
    <w:rsid w:val="00DA0A67"/>
    <w:rsid w:val="00DA0B7D"/>
    <w:rsid w:val="00DA1128"/>
    <w:rsid w:val="00DA14B9"/>
    <w:rsid w:val="00DA16BE"/>
    <w:rsid w:val="00DA194A"/>
    <w:rsid w:val="00DA1C0A"/>
    <w:rsid w:val="00DA1DCA"/>
    <w:rsid w:val="00DA29D5"/>
    <w:rsid w:val="00DA2A83"/>
    <w:rsid w:val="00DA38FA"/>
    <w:rsid w:val="00DA3AAD"/>
    <w:rsid w:val="00DA3AC4"/>
    <w:rsid w:val="00DA3C30"/>
    <w:rsid w:val="00DA4225"/>
    <w:rsid w:val="00DA4A25"/>
    <w:rsid w:val="00DA4AC1"/>
    <w:rsid w:val="00DA50F3"/>
    <w:rsid w:val="00DA5316"/>
    <w:rsid w:val="00DA5320"/>
    <w:rsid w:val="00DA5A9A"/>
    <w:rsid w:val="00DA6A06"/>
    <w:rsid w:val="00DA75EF"/>
    <w:rsid w:val="00DA7ADD"/>
    <w:rsid w:val="00DB1710"/>
    <w:rsid w:val="00DB22CF"/>
    <w:rsid w:val="00DB299F"/>
    <w:rsid w:val="00DB29B9"/>
    <w:rsid w:val="00DB2A08"/>
    <w:rsid w:val="00DB2AF8"/>
    <w:rsid w:val="00DB312B"/>
    <w:rsid w:val="00DB3BBA"/>
    <w:rsid w:val="00DB4091"/>
    <w:rsid w:val="00DB4137"/>
    <w:rsid w:val="00DB4899"/>
    <w:rsid w:val="00DB515A"/>
    <w:rsid w:val="00DB585B"/>
    <w:rsid w:val="00DB5C7E"/>
    <w:rsid w:val="00DB5D73"/>
    <w:rsid w:val="00DB61CE"/>
    <w:rsid w:val="00DB6556"/>
    <w:rsid w:val="00DB6C2F"/>
    <w:rsid w:val="00DB712A"/>
    <w:rsid w:val="00DB7269"/>
    <w:rsid w:val="00DB7733"/>
    <w:rsid w:val="00DC01ED"/>
    <w:rsid w:val="00DC14EB"/>
    <w:rsid w:val="00DC1569"/>
    <w:rsid w:val="00DC1C83"/>
    <w:rsid w:val="00DC1F0C"/>
    <w:rsid w:val="00DC23B5"/>
    <w:rsid w:val="00DC270C"/>
    <w:rsid w:val="00DC27AB"/>
    <w:rsid w:val="00DC2A88"/>
    <w:rsid w:val="00DC2EC2"/>
    <w:rsid w:val="00DC331F"/>
    <w:rsid w:val="00DC3F37"/>
    <w:rsid w:val="00DC4008"/>
    <w:rsid w:val="00DC478B"/>
    <w:rsid w:val="00DC50A5"/>
    <w:rsid w:val="00DC5654"/>
    <w:rsid w:val="00DC5A66"/>
    <w:rsid w:val="00DC610F"/>
    <w:rsid w:val="00DC658F"/>
    <w:rsid w:val="00DC67A9"/>
    <w:rsid w:val="00DC69A0"/>
    <w:rsid w:val="00DD1396"/>
    <w:rsid w:val="00DD153A"/>
    <w:rsid w:val="00DD1DAC"/>
    <w:rsid w:val="00DD3BB3"/>
    <w:rsid w:val="00DD3F61"/>
    <w:rsid w:val="00DD423F"/>
    <w:rsid w:val="00DD4388"/>
    <w:rsid w:val="00DD48D1"/>
    <w:rsid w:val="00DD4A01"/>
    <w:rsid w:val="00DD51B9"/>
    <w:rsid w:val="00DD5700"/>
    <w:rsid w:val="00DD5C80"/>
    <w:rsid w:val="00DD5CE2"/>
    <w:rsid w:val="00DD6704"/>
    <w:rsid w:val="00DD674B"/>
    <w:rsid w:val="00DD67AA"/>
    <w:rsid w:val="00DD735D"/>
    <w:rsid w:val="00DD7416"/>
    <w:rsid w:val="00DD7BD6"/>
    <w:rsid w:val="00DE14E9"/>
    <w:rsid w:val="00DE1739"/>
    <w:rsid w:val="00DE268F"/>
    <w:rsid w:val="00DE3735"/>
    <w:rsid w:val="00DE38D3"/>
    <w:rsid w:val="00DE3974"/>
    <w:rsid w:val="00DE4B08"/>
    <w:rsid w:val="00DE4E46"/>
    <w:rsid w:val="00DE53CC"/>
    <w:rsid w:val="00DE55C9"/>
    <w:rsid w:val="00DE599D"/>
    <w:rsid w:val="00DE5F0B"/>
    <w:rsid w:val="00DE60CC"/>
    <w:rsid w:val="00DE6552"/>
    <w:rsid w:val="00DE68EA"/>
    <w:rsid w:val="00DE6F41"/>
    <w:rsid w:val="00DE7169"/>
    <w:rsid w:val="00DE74EE"/>
    <w:rsid w:val="00DE7575"/>
    <w:rsid w:val="00DE7B1D"/>
    <w:rsid w:val="00DE7D3E"/>
    <w:rsid w:val="00DF08D2"/>
    <w:rsid w:val="00DF0F27"/>
    <w:rsid w:val="00DF12FD"/>
    <w:rsid w:val="00DF1603"/>
    <w:rsid w:val="00DF2228"/>
    <w:rsid w:val="00DF23D6"/>
    <w:rsid w:val="00DF2662"/>
    <w:rsid w:val="00DF2E7B"/>
    <w:rsid w:val="00DF3637"/>
    <w:rsid w:val="00DF3797"/>
    <w:rsid w:val="00DF3DAC"/>
    <w:rsid w:val="00DF4385"/>
    <w:rsid w:val="00DF45C6"/>
    <w:rsid w:val="00DF47BD"/>
    <w:rsid w:val="00DF4D66"/>
    <w:rsid w:val="00DF4E87"/>
    <w:rsid w:val="00DF52A8"/>
    <w:rsid w:val="00DF5538"/>
    <w:rsid w:val="00DF596C"/>
    <w:rsid w:val="00DF5D8A"/>
    <w:rsid w:val="00DF5DAB"/>
    <w:rsid w:val="00DF6024"/>
    <w:rsid w:val="00DF6601"/>
    <w:rsid w:val="00DF735D"/>
    <w:rsid w:val="00DF7446"/>
    <w:rsid w:val="00DF777C"/>
    <w:rsid w:val="00DF7D6C"/>
    <w:rsid w:val="00E00494"/>
    <w:rsid w:val="00E00B3A"/>
    <w:rsid w:val="00E01173"/>
    <w:rsid w:val="00E01749"/>
    <w:rsid w:val="00E0233E"/>
    <w:rsid w:val="00E024B6"/>
    <w:rsid w:val="00E02C73"/>
    <w:rsid w:val="00E033A7"/>
    <w:rsid w:val="00E03DEB"/>
    <w:rsid w:val="00E03F7C"/>
    <w:rsid w:val="00E044CB"/>
    <w:rsid w:val="00E048E9"/>
    <w:rsid w:val="00E05A2A"/>
    <w:rsid w:val="00E06078"/>
    <w:rsid w:val="00E0609B"/>
    <w:rsid w:val="00E063E5"/>
    <w:rsid w:val="00E068B3"/>
    <w:rsid w:val="00E07523"/>
    <w:rsid w:val="00E07AE2"/>
    <w:rsid w:val="00E07E70"/>
    <w:rsid w:val="00E1002A"/>
    <w:rsid w:val="00E1071A"/>
    <w:rsid w:val="00E10B5A"/>
    <w:rsid w:val="00E111D3"/>
    <w:rsid w:val="00E11981"/>
    <w:rsid w:val="00E11EE2"/>
    <w:rsid w:val="00E122E2"/>
    <w:rsid w:val="00E12433"/>
    <w:rsid w:val="00E12950"/>
    <w:rsid w:val="00E12A2F"/>
    <w:rsid w:val="00E12F66"/>
    <w:rsid w:val="00E143E4"/>
    <w:rsid w:val="00E14EAF"/>
    <w:rsid w:val="00E1579E"/>
    <w:rsid w:val="00E157D7"/>
    <w:rsid w:val="00E15B19"/>
    <w:rsid w:val="00E1666C"/>
    <w:rsid w:val="00E1691A"/>
    <w:rsid w:val="00E16BF0"/>
    <w:rsid w:val="00E16E9A"/>
    <w:rsid w:val="00E170EC"/>
    <w:rsid w:val="00E179A3"/>
    <w:rsid w:val="00E17A8F"/>
    <w:rsid w:val="00E17F11"/>
    <w:rsid w:val="00E2000D"/>
    <w:rsid w:val="00E203ED"/>
    <w:rsid w:val="00E20ABB"/>
    <w:rsid w:val="00E214E0"/>
    <w:rsid w:val="00E218BF"/>
    <w:rsid w:val="00E219F9"/>
    <w:rsid w:val="00E229FA"/>
    <w:rsid w:val="00E22B6B"/>
    <w:rsid w:val="00E22F5E"/>
    <w:rsid w:val="00E2462C"/>
    <w:rsid w:val="00E248C6"/>
    <w:rsid w:val="00E25BE7"/>
    <w:rsid w:val="00E25D46"/>
    <w:rsid w:val="00E25DAF"/>
    <w:rsid w:val="00E2689D"/>
    <w:rsid w:val="00E26B32"/>
    <w:rsid w:val="00E26C3B"/>
    <w:rsid w:val="00E276AA"/>
    <w:rsid w:val="00E2B5FA"/>
    <w:rsid w:val="00E30287"/>
    <w:rsid w:val="00E30DFE"/>
    <w:rsid w:val="00E31485"/>
    <w:rsid w:val="00E31698"/>
    <w:rsid w:val="00E3229C"/>
    <w:rsid w:val="00E324EC"/>
    <w:rsid w:val="00E3338F"/>
    <w:rsid w:val="00E3361B"/>
    <w:rsid w:val="00E33F68"/>
    <w:rsid w:val="00E34135"/>
    <w:rsid w:val="00E342CF"/>
    <w:rsid w:val="00E34348"/>
    <w:rsid w:val="00E344FB"/>
    <w:rsid w:val="00E3457F"/>
    <w:rsid w:val="00E34939"/>
    <w:rsid w:val="00E352EF"/>
    <w:rsid w:val="00E35D55"/>
    <w:rsid w:val="00E36CBD"/>
    <w:rsid w:val="00E36E2A"/>
    <w:rsid w:val="00E36FFA"/>
    <w:rsid w:val="00E40130"/>
    <w:rsid w:val="00E40738"/>
    <w:rsid w:val="00E407B6"/>
    <w:rsid w:val="00E40AFE"/>
    <w:rsid w:val="00E40EAB"/>
    <w:rsid w:val="00E41010"/>
    <w:rsid w:val="00E413B9"/>
    <w:rsid w:val="00E41EF1"/>
    <w:rsid w:val="00E42942"/>
    <w:rsid w:val="00E42C03"/>
    <w:rsid w:val="00E42C1F"/>
    <w:rsid w:val="00E43036"/>
    <w:rsid w:val="00E43376"/>
    <w:rsid w:val="00E4396A"/>
    <w:rsid w:val="00E43C0E"/>
    <w:rsid w:val="00E4435C"/>
    <w:rsid w:val="00E45238"/>
    <w:rsid w:val="00E45B80"/>
    <w:rsid w:val="00E4609B"/>
    <w:rsid w:val="00E461BB"/>
    <w:rsid w:val="00E467EE"/>
    <w:rsid w:val="00E46FFA"/>
    <w:rsid w:val="00E47D9C"/>
    <w:rsid w:val="00E47EC4"/>
    <w:rsid w:val="00E47F47"/>
    <w:rsid w:val="00E50091"/>
    <w:rsid w:val="00E50286"/>
    <w:rsid w:val="00E5079B"/>
    <w:rsid w:val="00E509FF"/>
    <w:rsid w:val="00E51313"/>
    <w:rsid w:val="00E51436"/>
    <w:rsid w:val="00E519A0"/>
    <w:rsid w:val="00E51AD3"/>
    <w:rsid w:val="00E535C3"/>
    <w:rsid w:val="00E537CA"/>
    <w:rsid w:val="00E53DF4"/>
    <w:rsid w:val="00E545AF"/>
    <w:rsid w:val="00E55177"/>
    <w:rsid w:val="00E55632"/>
    <w:rsid w:val="00E55B8D"/>
    <w:rsid w:val="00E562E9"/>
    <w:rsid w:val="00E57192"/>
    <w:rsid w:val="00E5742F"/>
    <w:rsid w:val="00E57F29"/>
    <w:rsid w:val="00E6061C"/>
    <w:rsid w:val="00E61072"/>
    <w:rsid w:val="00E6155D"/>
    <w:rsid w:val="00E615AB"/>
    <w:rsid w:val="00E61F98"/>
    <w:rsid w:val="00E62514"/>
    <w:rsid w:val="00E62C44"/>
    <w:rsid w:val="00E62C50"/>
    <w:rsid w:val="00E63175"/>
    <w:rsid w:val="00E63981"/>
    <w:rsid w:val="00E63A65"/>
    <w:rsid w:val="00E64271"/>
    <w:rsid w:val="00E651A8"/>
    <w:rsid w:val="00E653F4"/>
    <w:rsid w:val="00E6558A"/>
    <w:rsid w:val="00E658CC"/>
    <w:rsid w:val="00E66D00"/>
    <w:rsid w:val="00E67501"/>
    <w:rsid w:val="00E67A13"/>
    <w:rsid w:val="00E67FFE"/>
    <w:rsid w:val="00E7054F"/>
    <w:rsid w:val="00E70767"/>
    <w:rsid w:val="00E71715"/>
    <w:rsid w:val="00E71826"/>
    <w:rsid w:val="00E7190F"/>
    <w:rsid w:val="00E71AA1"/>
    <w:rsid w:val="00E71BDF"/>
    <w:rsid w:val="00E71F12"/>
    <w:rsid w:val="00E72172"/>
    <w:rsid w:val="00E72572"/>
    <w:rsid w:val="00E73253"/>
    <w:rsid w:val="00E73953"/>
    <w:rsid w:val="00E73A81"/>
    <w:rsid w:val="00E73CA2"/>
    <w:rsid w:val="00E73EB6"/>
    <w:rsid w:val="00E74203"/>
    <w:rsid w:val="00E74382"/>
    <w:rsid w:val="00E752D4"/>
    <w:rsid w:val="00E7568B"/>
    <w:rsid w:val="00E75DA8"/>
    <w:rsid w:val="00E75F16"/>
    <w:rsid w:val="00E76478"/>
    <w:rsid w:val="00E76F07"/>
    <w:rsid w:val="00E7718F"/>
    <w:rsid w:val="00E77451"/>
    <w:rsid w:val="00E77468"/>
    <w:rsid w:val="00E8083A"/>
    <w:rsid w:val="00E80890"/>
    <w:rsid w:val="00E80925"/>
    <w:rsid w:val="00E81326"/>
    <w:rsid w:val="00E81CEC"/>
    <w:rsid w:val="00E8256E"/>
    <w:rsid w:val="00E82AB3"/>
    <w:rsid w:val="00E82D82"/>
    <w:rsid w:val="00E83CA7"/>
    <w:rsid w:val="00E83EB7"/>
    <w:rsid w:val="00E83ED0"/>
    <w:rsid w:val="00E8419D"/>
    <w:rsid w:val="00E84238"/>
    <w:rsid w:val="00E84AEB"/>
    <w:rsid w:val="00E84BE3"/>
    <w:rsid w:val="00E85194"/>
    <w:rsid w:val="00E869A9"/>
    <w:rsid w:val="00E86DAE"/>
    <w:rsid w:val="00E8757A"/>
    <w:rsid w:val="00E8791A"/>
    <w:rsid w:val="00E90110"/>
    <w:rsid w:val="00E9066C"/>
    <w:rsid w:val="00E90C85"/>
    <w:rsid w:val="00E90C98"/>
    <w:rsid w:val="00E90D6C"/>
    <w:rsid w:val="00E91C86"/>
    <w:rsid w:val="00E92896"/>
    <w:rsid w:val="00E92913"/>
    <w:rsid w:val="00E93082"/>
    <w:rsid w:val="00E93937"/>
    <w:rsid w:val="00E94102"/>
    <w:rsid w:val="00E9459E"/>
    <w:rsid w:val="00E94F6D"/>
    <w:rsid w:val="00E951F8"/>
    <w:rsid w:val="00E9702E"/>
    <w:rsid w:val="00E976DD"/>
    <w:rsid w:val="00E977B3"/>
    <w:rsid w:val="00E97984"/>
    <w:rsid w:val="00EA09A7"/>
    <w:rsid w:val="00EA09AF"/>
    <w:rsid w:val="00EA0EA4"/>
    <w:rsid w:val="00EA1505"/>
    <w:rsid w:val="00EA19E7"/>
    <w:rsid w:val="00EA1BBF"/>
    <w:rsid w:val="00EA1D73"/>
    <w:rsid w:val="00EA268B"/>
    <w:rsid w:val="00EA30D9"/>
    <w:rsid w:val="00EA3400"/>
    <w:rsid w:val="00EA34B3"/>
    <w:rsid w:val="00EA35DF"/>
    <w:rsid w:val="00EA4173"/>
    <w:rsid w:val="00EA4AA9"/>
    <w:rsid w:val="00EA4C2B"/>
    <w:rsid w:val="00EA59FA"/>
    <w:rsid w:val="00EA5FFA"/>
    <w:rsid w:val="00EA66E1"/>
    <w:rsid w:val="00EA7025"/>
    <w:rsid w:val="00EA7B5C"/>
    <w:rsid w:val="00EB0239"/>
    <w:rsid w:val="00EB02A1"/>
    <w:rsid w:val="00EB087C"/>
    <w:rsid w:val="00EB0B4E"/>
    <w:rsid w:val="00EB18C7"/>
    <w:rsid w:val="00EB1BFD"/>
    <w:rsid w:val="00EB2285"/>
    <w:rsid w:val="00EB24E3"/>
    <w:rsid w:val="00EB286C"/>
    <w:rsid w:val="00EB2945"/>
    <w:rsid w:val="00EB29CC"/>
    <w:rsid w:val="00EB309D"/>
    <w:rsid w:val="00EB39D3"/>
    <w:rsid w:val="00EB3D5E"/>
    <w:rsid w:val="00EB3F5A"/>
    <w:rsid w:val="00EB4425"/>
    <w:rsid w:val="00EB5968"/>
    <w:rsid w:val="00EB5E05"/>
    <w:rsid w:val="00EB6457"/>
    <w:rsid w:val="00EB647A"/>
    <w:rsid w:val="00EB797E"/>
    <w:rsid w:val="00EB79DE"/>
    <w:rsid w:val="00EC09A6"/>
    <w:rsid w:val="00EC0FB1"/>
    <w:rsid w:val="00EC1415"/>
    <w:rsid w:val="00EC18B7"/>
    <w:rsid w:val="00EC191F"/>
    <w:rsid w:val="00EC19EC"/>
    <w:rsid w:val="00EC1F78"/>
    <w:rsid w:val="00EC209C"/>
    <w:rsid w:val="00EC2470"/>
    <w:rsid w:val="00EC250B"/>
    <w:rsid w:val="00EC285B"/>
    <w:rsid w:val="00EC2F7E"/>
    <w:rsid w:val="00EC3151"/>
    <w:rsid w:val="00EC321D"/>
    <w:rsid w:val="00EC3DBE"/>
    <w:rsid w:val="00EC4240"/>
    <w:rsid w:val="00EC48A0"/>
    <w:rsid w:val="00EC4975"/>
    <w:rsid w:val="00EC4B8A"/>
    <w:rsid w:val="00EC4C82"/>
    <w:rsid w:val="00EC55C3"/>
    <w:rsid w:val="00EC6DF2"/>
    <w:rsid w:val="00EC7151"/>
    <w:rsid w:val="00EC7220"/>
    <w:rsid w:val="00EC744E"/>
    <w:rsid w:val="00EC778D"/>
    <w:rsid w:val="00EC7FB9"/>
    <w:rsid w:val="00ED0304"/>
    <w:rsid w:val="00ED0796"/>
    <w:rsid w:val="00ED0B7B"/>
    <w:rsid w:val="00ED13A0"/>
    <w:rsid w:val="00ED304E"/>
    <w:rsid w:val="00ED3AC8"/>
    <w:rsid w:val="00ED3EBA"/>
    <w:rsid w:val="00ED44F8"/>
    <w:rsid w:val="00ED45BF"/>
    <w:rsid w:val="00ED46C5"/>
    <w:rsid w:val="00ED487E"/>
    <w:rsid w:val="00ED53C4"/>
    <w:rsid w:val="00ED5479"/>
    <w:rsid w:val="00ED55E2"/>
    <w:rsid w:val="00ED5DB7"/>
    <w:rsid w:val="00ED676D"/>
    <w:rsid w:val="00ED6C10"/>
    <w:rsid w:val="00ED6C21"/>
    <w:rsid w:val="00ED74FB"/>
    <w:rsid w:val="00ED7DDE"/>
    <w:rsid w:val="00ED7F5D"/>
    <w:rsid w:val="00EE054A"/>
    <w:rsid w:val="00EE07A0"/>
    <w:rsid w:val="00EE09D1"/>
    <w:rsid w:val="00EE0AC6"/>
    <w:rsid w:val="00EE0DC3"/>
    <w:rsid w:val="00EE1577"/>
    <w:rsid w:val="00EE2078"/>
    <w:rsid w:val="00EE39C0"/>
    <w:rsid w:val="00EE3F72"/>
    <w:rsid w:val="00EE4046"/>
    <w:rsid w:val="00EE41D2"/>
    <w:rsid w:val="00EE476C"/>
    <w:rsid w:val="00EE487F"/>
    <w:rsid w:val="00EE5167"/>
    <w:rsid w:val="00EE542F"/>
    <w:rsid w:val="00EE5D20"/>
    <w:rsid w:val="00EE640C"/>
    <w:rsid w:val="00EE750E"/>
    <w:rsid w:val="00EE7A0D"/>
    <w:rsid w:val="00EF0199"/>
    <w:rsid w:val="00EF0BEF"/>
    <w:rsid w:val="00EF1610"/>
    <w:rsid w:val="00EF1EEC"/>
    <w:rsid w:val="00EF28F4"/>
    <w:rsid w:val="00EF3490"/>
    <w:rsid w:val="00EF37EC"/>
    <w:rsid w:val="00EF4454"/>
    <w:rsid w:val="00EF4456"/>
    <w:rsid w:val="00EF4E18"/>
    <w:rsid w:val="00EF4E64"/>
    <w:rsid w:val="00EF55A4"/>
    <w:rsid w:val="00EF5E39"/>
    <w:rsid w:val="00EF62F0"/>
    <w:rsid w:val="00EF6319"/>
    <w:rsid w:val="00EF6576"/>
    <w:rsid w:val="00EF6720"/>
    <w:rsid w:val="00EF6C6B"/>
    <w:rsid w:val="00EF72B9"/>
    <w:rsid w:val="00EF75CF"/>
    <w:rsid w:val="00F00216"/>
    <w:rsid w:val="00F00369"/>
    <w:rsid w:val="00F01623"/>
    <w:rsid w:val="00F0195A"/>
    <w:rsid w:val="00F020D6"/>
    <w:rsid w:val="00F02545"/>
    <w:rsid w:val="00F02A5B"/>
    <w:rsid w:val="00F02CAC"/>
    <w:rsid w:val="00F03439"/>
    <w:rsid w:val="00F04188"/>
    <w:rsid w:val="00F04D03"/>
    <w:rsid w:val="00F04F86"/>
    <w:rsid w:val="00F05381"/>
    <w:rsid w:val="00F05CA7"/>
    <w:rsid w:val="00F062B3"/>
    <w:rsid w:val="00F0657B"/>
    <w:rsid w:val="00F06911"/>
    <w:rsid w:val="00F06C85"/>
    <w:rsid w:val="00F06CE9"/>
    <w:rsid w:val="00F0705C"/>
    <w:rsid w:val="00F07531"/>
    <w:rsid w:val="00F07AB6"/>
    <w:rsid w:val="00F1048F"/>
    <w:rsid w:val="00F10C8B"/>
    <w:rsid w:val="00F1169A"/>
    <w:rsid w:val="00F12FBB"/>
    <w:rsid w:val="00F12FE3"/>
    <w:rsid w:val="00F13A29"/>
    <w:rsid w:val="00F13B32"/>
    <w:rsid w:val="00F13E27"/>
    <w:rsid w:val="00F14C85"/>
    <w:rsid w:val="00F15439"/>
    <w:rsid w:val="00F15604"/>
    <w:rsid w:val="00F160B3"/>
    <w:rsid w:val="00F16341"/>
    <w:rsid w:val="00F1682D"/>
    <w:rsid w:val="00F16980"/>
    <w:rsid w:val="00F170A1"/>
    <w:rsid w:val="00F17A47"/>
    <w:rsid w:val="00F17CE1"/>
    <w:rsid w:val="00F20330"/>
    <w:rsid w:val="00F20BA6"/>
    <w:rsid w:val="00F20E0A"/>
    <w:rsid w:val="00F2115C"/>
    <w:rsid w:val="00F21364"/>
    <w:rsid w:val="00F21442"/>
    <w:rsid w:val="00F21D28"/>
    <w:rsid w:val="00F229F5"/>
    <w:rsid w:val="00F22ABA"/>
    <w:rsid w:val="00F231B7"/>
    <w:rsid w:val="00F23719"/>
    <w:rsid w:val="00F23C59"/>
    <w:rsid w:val="00F24408"/>
    <w:rsid w:val="00F244A9"/>
    <w:rsid w:val="00F24626"/>
    <w:rsid w:val="00F252E2"/>
    <w:rsid w:val="00F26047"/>
    <w:rsid w:val="00F2655B"/>
    <w:rsid w:val="00F2674B"/>
    <w:rsid w:val="00F26BF5"/>
    <w:rsid w:val="00F26C40"/>
    <w:rsid w:val="00F26CB5"/>
    <w:rsid w:val="00F26F1A"/>
    <w:rsid w:val="00F26FD0"/>
    <w:rsid w:val="00F27D78"/>
    <w:rsid w:val="00F30083"/>
    <w:rsid w:val="00F3015B"/>
    <w:rsid w:val="00F30C55"/>
    <w:rsid w:val="00F30F4C"/>
    <w:rsid w:val="00F314F5"/>
    <w:rsid w:val="00F315A7"/>
    <w:rsid w:val="00F31911"/>
    <w:rsid w:val="00F31E2C"/>
    <w:rsid w:val="00F33077"/>
    <w:rsid w:val="00F33F2D"/>
    <w:rsid w:val="00F3458E"/>
    <w:rsid w:val="00F345B2"/>
    <w:rsid w:val="00F345D3"/>
    <w:rsid w:val="00F34668"/>
    <w:rsid w:val="00F34747"/>
    <w:rsid w:val="00F348AA"/>
    <w:rsid w:val="00F34E62"/>
    <w:rsid w:val="00F34EF8"/>
    <w:rsid w:val="00F355E1"/>
    <w:rsid w:val="00F3650A"/>
    <w:rsid w:val="00F36B12"/>
    <w:rsid w:val="00F36C11"/>
    <w:rsid w:val="00F36D1A"/>
    <w:rsid w:val="00F36E94"/>
    <w:rsid w:val="00F375CE"/>
    <w:rsid w:val="00F4051A"/>
    <w:rsid w:val="00F409EC"/>
    <w:rsid w:val="00F40B88"/>
    <w:rsid w:val="00F4158D"/>
    <w:rsid w:val="00F41859"/>
    <w:rsid w:val="00F41B28"/>
    <w:rsid w:val="00F41BD4"/>
    <w:rsid w:val="00F41C26"/>
    <w:rsid w:val="00F41D5F"/>
    <w:rsid w:val="00F41F26"/>
    <w:rsid w:val="00F41F7F"/>
    <w:rsid w:val="00F4210C"/>
    <w:rsid w:val="00F4274B"/>
    <w:rsid w:val="00F42981"/>
    <w:rsid w:val="00F44DEB"/>
    <w:rsid w:val="00F44F13"/>
    <w:rsid w:val="00F45706"/>
    <w:rsid w:val="00F45B13"/>
    <w:rsid w:val="00F46283"/>
    <w:rsid w:val="00F46C34"/>
    <w:rsid w:val="00F46D5E"/>
    <w:rsid w:val="00F4795E"/>
    <w:rsid w:val="00F50FEA"/>
    <w:rsid w:val="00F510DA"/>
    <w:rsid w:val="00F51183"/>
    <w:rsid w:val="00F5133C"/>
    <w:rsid w:val="00F51DCE"/>
    <w:rsid w:val="00F51F66"/>
    <w:rsid w:val="00F52150"/>
    <w:rsid w:val="00F5220B"/>
    <w:rsid w:val="00F5249B"/>
    <w:rsid w:val="00F528D3"/>
    <w:rsid w:val="00F52A52"/>
    <w:rsid w:val="00F52A6F"/>
    <w:rsid w:val="00F52A9A"/>
    <w:rsid w:val="00F52F10"/>
    <w:rsid w:val="00F53ED2"/>
    <w:rsid w:val="00F53EEC"/>
    <w:rsid w:val="00F5457F"/>
    <w:rsid w:val="00F549B2"/>
    <w:rsid w:val="00F54E45"/>
    <w:rsid w:val="00F55770"/>
    <w:rsid w:val="00F5619C"/>
    <w:rsid w:val="00F562D9"/>
    <w:rsid w:val="00F56352"/>
    <w:rsid w:val="00F56E2B"/>
    <w:rsid w:val="00F575B0"/>
    <w:rsid w:val="00F57CCA"/>
    <w:rsid w:val="00F57D6A"/>
    <w:rsid w:val="00F60A0F"/>
    <w:rsid w:val="00F60C56"/>
    <w:rsid w:val="00F60F4D"/>
    <w:rsid w:val="00F60F9F"/>
    <w:rsid w:val="00F611E0"/>
    <w:rsid w:val="00F61296"/>
    <w:rsid w:val="00F61D2F"/>
    <w:rsid w:val="00F626FD"/>
    <w:rsid w:val="00F62705"/>
    <w:rsid w:val="00F6273B"/>
    <w:rsid w:val="00F62C0B"/>
    <w:rsid w:val="00F63BBD"/>
    <w:rsid w:val="00F63F58"/>
    <w:rsid w:val="00F64448"/>
    <w:rsid w:val="00F6468D"/>
    <w:rsid w:val="00F64F08"/>
    <w:rsid w:val="00F6504A"/>
    <w:rsid w:val="00F65972"/>
    <w:rsid w:val="00F66506"/>
    <w:rsid w:val="00F66575"/>
    <w:rsid w:val="00F668CD"/>
    <w:rsid w:val="00F66C83"/>
    <w:rsid w:val="00F66DAB"/>
    <w:rsid w:val="00F70860"/>
    <w:rsid w:val="00F70EF3"/>
    <w:rsid w:val="00F70F0E"/>
    <w:rsid w:val="00F70FD7"/>
    <w:rsid w:val="00F714A0"/>
    <w:rsid w:val="00F7160D"/>
    <w:rsid w:val="00F7172F"/>
    <w:rsid w:val="00F725DA"/>
    <w:rsid w:val="00F72B65"/>
    <w:rsid w:val="00F73364"/>
    <w:rsid w:val="00F734F5"/>
    <w:rsid w:val="00F73552"/>
    <w:rsid w:val="00F7379F"/>
    <w:rsid w:val="00F7392C"/>
    <w:rsid w:val="00F74A3D"/>
    <w:rsid w:val="00F74B69"/>
    <w:rsid w:val="00F74C5C"/>
    <w:rsid w:val="00F7514C"/>
    <w:rsid w:val="00F75959"/>
    <w:rsid w:val="00F762F7"/>
    <w:rsid w:val="00F767A6"/>
    <w:rsid w:val="00F7695C"/>
    <w:rsid w:val="00F76E02"/>
    <w:rsid w:val="00F77FD8"/>
    <w:rsid w:val="00F804C9"/>
    <w:rsid w:val="00F80568"/>
    <w:rsid w:val="00F814CF"/>
    <w:rsid w:val="00F81511"/>
    <w:rsid w:val="00F818EC"/>
    <w:rsid w:val="00F81D60"/>
    <w:rsid w:val="00F82878"/>
    <w:rsid w:val="00F82A96"/>
    <w:rsid w:val="00F83094"/>
    <w:rsid w:val="00F8352B"/>
    <w:rsid w:val="00F835FF"/>
    <w:rsid w:val="00F83EFF"/>
    <w:rsid w:val="00F8414A"/>
    <w:rsid w:val="00F84902"/>
    <w:rsid w:val="00F84C0B"/>
    <w:rsid w:val="00F85B63"/>
    <w:rsid w:val="00F865D9"/>
    <w:rsid w:val="00F86E3F"/>
    <w:rsid w:val="00F873EA"/>
    <w:rsid w:val="00F87946"/>
    <w:rsid w:val="00F8D442"/>
    <w:rsid w:val="00F9006C"/>
    <w:rsid w:val="00F90088"/>
    <w:rsid w:val="00F90A89"/>
    <w:rsid w:val="00F90BF4"/>
    <w:rsid w:val="00F91F37"/>
    <w:rsid w:val="00F91F7E"/>
    <w:rsid w:val="00F92290"/>
    <w:rsid w:val="00F923B7"/>
    <w:rsid w:val="00F92A8D"/>
    <w:rsid w:val="00F93AD0"/>
    <w:rsid w:val="00F93EF1"/>
    <w:rsid w:val="00F949FE"/>
    <w:rsid w:val="00F954D5"/>
    <w:rsid w:val="00F954F6"/>
    <w:rsid w:val="00F958A7"/>
    <w:rsid w:val="00F9666D"/>
    <w:rsid w:val="00F966B1"/>
    <w:rsid w:val="00F96EBE"/>
    <w:rsid w:val="00F9705C"/>
    <w:rsid w:val="00F9708D"/>
    <w:rsid w:val="00F9742A"/>
    <w:rsid w:val="00F97D48"/>
    <w:rsid w:val="00F97E28"/>
    <w:rsid w:val="00F9FD67"/>
    <w:rsid w:val="00FA0311"/>
    <w:rsid w:val="00FA0698"/>
    <w:rsid w:val="00FA1448"/>
    <w:rsid w:val="00FA14AA"/>
    <w:rsid w:val="00FA1D15"/>
    <w:rsid w:val="00FA2347"/>
    <w:rsid w:val="00FA2389"/>
    <w:rsid w:val="00FA27A3"/>
    <w:rsid w:val="00FA28EE"/>
    <w:rsid w:val="00FA3635"/>
    <w:rsid w:val="00FA3C02"/>
    <w:rsid w:val="00FA3D13"/>
    <w:rsid w:val="00FA4C45"/>
    <w:rsid w:val="00FA5446"/>
    <w:rsid w:val="00FA6264"/>
    <w:rsid w:val="00FA640C"/>
    <w:rsid w:val="00FA6477"/>
    <w:rsid w:val="00FA695E"/>
    <w:rsid w:val="00FA6CBC"/>
    <w:rsid w:val="00FA7BDC"/>
    <w:rsid w:val="00FB10D4"/>
    <w:rsid w:val="00FB1A72"/>
    <w:rsid w:val="00FB1CAC"/>
    <w:rsid w:val="00FB20E1"/>
    <w:rsid w:val="00FB277C"/>
    <w:rsid w:val="00FB293B"/>
    <w:rsid w:val="00FB2C23"/>
    <w:rsid w:val="00FB2D4E"/>
    <w:rsid w:val="00FB39E2"/>
    <w:rsid w:val="00FB3F65"/>
    <w:rsid w:val="00FB4366"/>
    <w:rsid w:val="00FB4602"/>
    <w:rsid w:val="00FB4C71"/>
    <w:rsid w:val="00FB59D5"/>
    <w:rsid w:val="00FB5A71"/>
    <w:rsid w:val="00FB6E5B"/>
    <w:rsid w:val="00FB70DE"/>
    <w:rsid w:val="00FB779E"/>
    <w:rsid w:val="00FC0A77"/>
    <w:rsid w:val="00FC0D63"/>
    <w:rsid w:val="00FC1086"/>
    <w:rsid w:val="00FC14BF"/>
    <w:rsid w:val="00FC1567"/>
    <w:rsid w:val="00FC1ACD"/>
    <w:rsid w:val="00FC1C99"/>
    <w:rsid w:val="00FC1D7B"/>
    <w:rsid w:val="00FC248B"/>
    <w:rsid w:val="00FC3638"/>
    <w:rsid w:val="00FC3761"/>
    <w:rsid w:val="00FC4353"/>
    <w:rsid w:val="00FC5868"/>
    <w:rsid w:val="00FC5912"/>
    <w:rsid w:val="00FC5ACA"/>
    <w:rsid w:val="00FC64B6"/>
    <w:rsid w:val="00FC683B"/>
    <w:rsid w:val="00FC6AA1"/>
    <w:rsid w:val="00FC6F0B"/>
    <w:rsid w:val="00FC71BC"/>
    <w:rsid w:val="00FC7270"/>
    <w:rsid w:val="00FC78BD"/>
    <w:rsid w:val="00FC7B02"/>
    <w:rsid w:val="00FC7D3E"/>
    <w:rsid w:val="00FC7D90"/>
    <w:rsid w:val="00FD0040"/>
    <w:rsid w:val="00FD0788"/>
    <w:rsid w:val="00FD0BF7"/>
    <w:rsid w:val="00FD1578"/>
    <w:rsid w:val="00FD15E8"/>
    <w:rsid w:val="00FD196D"/>
    <w:rsid w:val="00FD1E44"/>
    <w:rsid w:val="00FD236C"/>
    <w:rsid w:val="00FD2549"/>
    <w:rsid w:val="00FD2D82"/>
    <w:rsid w:val="00FD318B"/>
    <w:rsid w:val="00FD318F"/>
    <w:rsid w:val="00FD3191"/>
    <w:rsid w:val="00FD3694"/>
    <w:rsid w:val="00FD39AA"/>
    <w:rsid w:val="00FD3C08"/>
    <w:rsid w:val="00FD3C7F"/>
    <w:rsid w:val="00FD4196"/>
    <w:rsid w:val="00FD43FA"/>
    <w:rsid w:val="00FD49AF"/>
    <w:rsid w:val="00FD4DD1"/>
    <w:rsid w:val="00FD4EB4"/>
    <w:rsid w:val="00FD5358"/>
    <w:rsid w:val="00FD640F"/>
    <w:rsid w:val="00FD6552"/>
    <w:rsid w:val="00FD67FA"/>
    <w:rsid w:val="00FD6B4C"/>
    <w:rsid w:val="00FD7089"/>
    <w:rsid w:val="00FD74D8"/>
    <w:rsid w:val="00FE14CA"/>
    <w:rsid w:val="00FE1AF8"/>
    <w:rsid w:val="00FE1C31"/>
    <w:rsid w:val="00FE1C49"/>
    <w:rsid w:val="00FE1CA6"/>
    <w:rsid w:val="00FE1E39"/>
    <w:rsid w:val="00FE1EA3"/>
    <w:rsid w:val="00FE28FD"/>
    <w:rsid w:val="00FE2971"/>
    <w:rsid w:val="00FE2D1D"/>
    <w:rsid w:val="00FE37EA"/>
    <w:rsid w:val="00FE39C1"/>
    <w:rsid w:val="00FE4101"/>
    <w:rsid w:val="00FE5865"/>
    <w:rsid w:val="00FE5994"/>
    <w:rsid w:val="00FE5B8F"/>
    <w:rsid w:val="00FE68CA"/>
    <w:rsid w:val="00FE6C58"/>
    <w:rsid w:val="00FE7C37"/>
    <w:rsid w:val="00FE7FBA"/>
    <w:rsid w:val="00FF0457"/>
    <w:rsid w:val="00FF05D6"/>
    <w:rsid w:val="00FF1001"/>
    <w:rsid w:val="00FF1BF9"/>
    <w:rsid w:val="00FF1C2A"/>
    <w:rsid w:val="00FF1CAD"/>
    <w:rsid w:val="00FF1D53"/>
    <w:rsid w:val="00FF253E"/>
    <w:rsid w:val="00FF2598"/>
    <w:rsid w:val="00FF340F"/>
    <w:rsid w:val="00FF42CE"/>
    <w:rsid w:val="00FF4728"/>
    <w:rsid w:val="00FF4C3A"/>
    <w:rsid w:val="00FF4E99"/>
    <w:rsid w:val="00FF553E"/>
    <w:rsid w:val="00FF5666"/>
    <w:rsid w:val="00FF583F"/>
    <w:rsid w:val="00FF6044"/>
    <w:rsid w:val="00FF653D"/>
    <w:rsid w:val="00FF65A9"/>
    <w:rsid w:val="00FF684A"/>
    <w:rsid w:val="00FF6855"/>
    <w:rsid w:val="00FF70C8"/>
    <w:rsid w:val="00FF748A"/>
    <w:rsid w:val="00FF74F9"/>
    <w:rsid w:val="00FF7FAC"/>
    <w:rsid w:val="00FF7FC0"/>
    <w:rsid w:val="010939AC"/>
    <w:rsid w:val="01138C2A"/>
    <w:rsid w:val="012022EE"/>
    <w:rsid w:val="01422477"/>
    <w:rsid w:val="01481DD3"/>
    <w:rsid w:val="014845D7"/>
    <w:rsid w:val="01551257"/>
    <w:rsid w:val="015D15F4"/>
    <w:rsid w:val="0161F189"/>
    <w:rsid w:val="01656E64"/>
    <w:rsid w:val="019675C6"/>
    <w:rsid w:val="0197ACF6"/>
    <w:rsid w:val="01A10F2E"/>
    <w:rsid w:val="01B7111B"/>
    <w:rsid w:val="01B93E59"/>
    <w:rsid w:val="01BD428B"/>
    <w:rsid w:val="01C06617"/>
    <w:rsid w:val="01D4A586"/>
    <w:rsid w:val="01D5566D"/>
    <w:rsid w:val="01DBE52F"/>
    <w:rsid w:val="01DD587D"/>
    <w:rsid w:val="01E20A3A"/>
    <w:rsid w:val="01E91AC5"/>
    <w:rsid w:val="01F24E43"/>
    <w:rsid w:val="01FC18AD"/>
    <w:rsid w:val="020E4BA3"/>
    <w:rsid w:val="02197B78"/>
    <w:rsid w:val="021E06AC"/>
    <w:rsid w:val="021E6657"/>
    <w:rsid w:val="0223113F"/>
    <w:rsid w:val="023DED58"/>
    <w:rsid w:val="02478897"/>
    <w:rsid w:val="024F9B4B"/>
    <w:rsid w:val="02536C58"/>
    <w:rsid w:val="02539E86"/>
    <w:rsid w:val="0253FC86"/>
    <w:rsid w:val="025C9025"/>
    <w:rsid w:val="02691A83"/>
    <w:rsid w:val="027368B8"/>
    <w:rsid w:val="0273A478"/>
    <w:rsid w:val="02762D8C"/>
    <w:rsid w:val="0277D990"/>
    <w:rsid w:val="02877372"/>
    <w:rsid w:val="029CB41D"/>
    <w:rsid w:val="02A19765"/>
    <w:rsid w:val="02A2E8E2"/>
    <w:rsid w:val="02AD86FE"/>
    <w:rsid w:val="02B314DE"/>
    <w:rsid w:val="02B5C0F9"/>
    <w:rsid w:val="02CB0F55"/>
    <w:rsid w:val="02DED08A"/>
    <w:rsid w:val="02E1507C"/>
    <w:rsid w:val="02F989D4"/>
    <w:rsid w:val="0302B208"/>
    <w:rsid w:val="0316EA47"/>
    <w:rsid w:val="031B3D5F"/>
    <w:rsid w:val="032E87C3"/>
    <w:rsid w:val="032FA3F7"/>
    <w:rsid w:val="0338422E"/>
    <w:rsid w:val="034BFE1B"/>
    <w:rsid w:val="0350ED3F"/>
    <w:rsid w:val="035314C2"/>
    <w:rsid w:val="0354CBB4"/>
    <w:rsid w:val="035F0E9C"/>
    <w:rsid w:val="0372D5A2"/>
    <w:rsid w:val="03738F8C"/>
    <w:rsid w:val="03796BEE"/>
    <w:rsid w:val="0383F2C9"/>
    <w:rsid w:val="0384863F"/>
    <w:rsid w:val="03887A11"/>
    <w:rsid w:val="03A91530"/>
    <w:rsid w:val="03AA748E"/>
    <w:rsid w:val="03B268C5"/>
    <w:rsid w:val="03C223FD"/>
    <w:rsid w:val="03C6AA57"/>
    <w:rsid w:val="03E0C01C"/>
    <w:rsid w:val="03E0D8E8"/>
    <w:rsid w:val="03FD9D1E"/>
    <w:rsid w:val="04021134"/>
    <w:rsid w:val="04026469"/>
    <w:rsid w:val="0407CE98"/>
    <w:rsid w:val="04097B9A"/>
    <w:rsid w:val="0411FDED"/>
    <w:rsid w:val="04131239"/>
    <w:rsid w:val="0417A52F"/>
    <w:rsid w:val="04246C97"/>
    <w:rsid w:val="04261D89"/>
    <w:rsid w:val="0428F0B0"/>
    <w:rsid w:val="042DFA0B"/>
    <w:rsid w:val="0430C1D6"/>
    <w:rsid w:val="04330527"/>
    <w:rsid w:val="0436CFD1"/>
    <w:rsid w:val="044FC1A0"/>
    <w:rsid w:val="045AAEC6"/>
    <w:rsid w:val="04613AEF"/>
    <w:rsid w:val="047CE530"/>
    <w:rsid w:val="048849B8"/>
    <w:rsid w:val="048B118A"/>
    <w:rsid w:val="0499924B"/>
    <w:rsid w:val="049BEDE7"/>
    <w:rsid w:val="04A710E2"/>
    <w:rsid w:val="04B07E73"/>
    <w:rsid w:val="04BAB95D"/>
    <w:rsid w:val="04BC7618"/>
    <w:rsid w:val="04C2D3D5"/>
    <w:rsid w:val="04FF61C2"/>
    <w:rsid w:val="050EAB2A"/>
    <w:rsid w:val="051057EF"/>
    <w:rsid w:val="051F93D3"/>
    <w:rsid w:val="0529A747"/>
    <w:rsid w:val="0534CF18"/>
    <w:rsid w:val="053B48D0"/>
    <w:rsid w:val="053E6CE6"/>
    <w:rsid w:val="05425C66"/>
    <w:rsid w:val="0543E5FE"/>
    <w:rsid w:val="05502FEC"/>
    <w:rsid w:val="05510D6C"/>
    <w:rsid w:val="0572D77D"/>
    <w:rsid w:val="05785AC5"/>
    <w:rsid w:val="057A680C"/>
    <w:rsid w:val="05817D74"/>
    <w:rsid w:val="0583A883"/>
    <w:rsid w:val="058E3625"/>
    <w:rsid w:val="0591B80C"/>
    <w:rsid w:val="0599A769"/>
    <w:rsid w:val="059E4F6E"/>
    <w:rsid w:val="05A67BA7"/>
    <w:rsid w:val="05A92CB7"/>
    <w:rsid w:val="05AABC7B"/>
    <w:rsid w:val="05AAE92C"/>
    <w:rsid w:val="05BEAD45"/>
    <w:rsid w:val="05C181FD"/>
    <w:rsid w:val="05C581F5"/>
    <w:rsid w:val="05CFC765"/>
    <w:rsid w:val="05DC3D92"/>
    <w:rsid w:val="05E94168"/>
    <w:rsid w:val="05EF62EB"/>
    <w:rsid w:val="05EF8509"/>
    <w:rsid w:val="05F82A29"/>
    <w:rsid w:val="05F86C25"/>
    <w:rsid w:val="05F9E768"/>
    <w:rsid w:val="05FE3494"/>
    <w:rsid w:val="05FE8A66"/>
    <w:rsid w:val="0619D422"/>
    <w:rsid w:val="062966E1"/>
    <w:rsid w:val="06323CF2"/>
    <w:rsid w:val="06345223"/>
    <w:rsid w:val="06476C04"/>
    <w:rsid w:val="064F36E6"/>
    <w:rsid w:val="0660A359"/>
    <w:rsid w:val="0662B1A4"/>
    <w:rsid w:val="066F7E09"/>
    <w:rsid w:val="0670C1FC"/>
    <w:rsid w:val="0671A604"/>
    <w:rsid w:val="0674CF09"/>
    <w:rsid w:val="0677D67D"/>
    <w:rsid w:val="06864A19"/>
    <w:rsid w:val="0687DCFA"/>
    <w:rsid w:val="0696AF5E"/>
    <w:rsid w:val="069AA238"/>
    <w:rsid w:val="069BD279"/>
    <w:rsid w:val="069C1BC0"/>
    <w:rsid w:val="069D4A1B"/>
    <w:rsid w:val="069F62F0"/>
    <w:rsid w:val="06AC3262"/>
    <w:rsid w:val="06AF690E"/>
    <w:rsid w:val="06B027D1"/>
    <w:rsid w:val="06B57FC7"/>
    <w:rsid w:val="06B73776"/>
    <w:rsid w:val="06BC5DBE"/>
    <w:rsid w:val="06C57E0D"/>
    <w:rsid w:val="06D24F0C"/>
    <w:rsid w:val="06DF7A42"/>
    <w:rsid w:val="06E0A849"/>
    <w:rsid w:val="06EF5211"/>
    <w:rsid w:val="06F17DBA"/>
    <w:rsid w:val="06FE6872"/>
    <w:rsid w:val="07028CA4"/>
    <w:rsid w:val="07136CEC"/>
    <w:rsid w:val="071D4DD5"/>
    <w:rsid w:val="071E635C"/>
    <w:rsid w:val="071FB3B1"/>
    <w:rsid w:val="071FE69D"/>
    <w:rsid w:val="072F652A"/>
    <w:rsid w:val="072F7C05"/>
    <w:rsid w:val="072FCE69"/>
    <w:rsid w:val="0730F63C"/>
    <w:rsid w:val="073872CD"/>
    <w:rsid w:val="0741BED5"/>
    <w:rsid w:val="07482E1D"/>
    <w:rsid w:val="074B0A26"/>
    <w:rsid w:val="074CA5AF"/>
    <w:rsid w:val="07552A69"/>
    <w:rsid w:val="075B58B8"/>
    <w:rsid w:val="075D39AF"/>
    <w:rsid w:val="07666755"/>
    <w:rsid w:val="0767CB08"/>
    <w:rsid w:val="0786B4E1"/>
    <w:rsid w:val="078C0C8A"/>
    <w:rsid w:val="078F9835"/>
    <w:rsid w:val="07A653B2"/>
    <w:rsid w:val="07AAC82B"/>
    <w:rsid w:val="07AAD84A"/>
    <w:rsid w:val="07ACFC0C"/>
    <w:rsid w:val="07C564FE"/>
    <w:rsid w:val="07CF60C0"/>
    <w:rsid w:val="07CFE3CD"/>
    <w:rsid w:val="07DC9A49"/>
    <w:rsid w:val="07DCF9CA"/>
    <w:rsid w:val="07DD849F"/>
    <w:rsid w:val="07DE7B23"/>
    <w:rsid w:val="07DFA5DA"/>
    <w:rsid w:val="07E086D2"/>
    <w:rsid w:val="07F63C3C"/>
    <w:rsid w:val="07F71C99"/>
    <w:rsid w:val="07FB93C8"/>
    <w:rsid w:val="080294FE"/>
    <w:rsid w:val="0805D1DB"/>
    <w:rsid w:val="0807D750"/>
    <w:rsid w:val="080CCCDF"/>
    <w:rsid w:val="0821D82A"/>
    <w:rsid w:val="08391FD7"/>
    <w:rsid w:val="084010F9"/>
    <w:rsid w:val="084369B1"/>
    <w:rsid w:val="0845A2CA"/>
    <w:rsid w:val="084DBAEF"/>
    <w:rsid w:val="085E1C4D"/>
    <w:rsid w:val="085FF9D2"/>
    <w:rsid w:val="0867496B"/>
    <w:rsid w:val="086E6884"/>
    <w:rsid w:val="087022DE"/>
    <w:rsid w:val="087CFC6F"/>
    <w:rsid w:val="087D5666"/>
    <w:rsid w:val="08857A91"/>
    <w:rsid w:val="088DF318"/>
    <w:rsid w:val="08ADB702"/>
    <w:rsid w:val="08BFEB41"/>
    <w:rsid w:val="08C66694"/>
    <w:rsid w:val="08CB2EE1"/>
    <w:rsid w:val="08CCEBFB"/>
    <w:rsid w:val="08CD5D1A"/>
    <w:rsid w:val="08DAB1BD"/>
    <w:rsid w:val="08E37D5F"/>
    <w:rsid w:val="08E923A2"/>
    <w:rsid w:val="08F55531"/>
    <w:rsid w:val="08F64EC3"/>
    <w:rsid w:val="08F846F3"/>
    <w:rsid w:val="08F9984A"/>
    <w:rsid w:val="0907797D"/>
    <w:rsid w:val="090C07D2"/>
    <w:rsid w:val="090DAD97"/>
    <w:rsid w:val="091C65BC"/>
    <w:rsid w:val="091CADC8"/>
    <w:rsid w:val="09214013"/>
    <w:rsid w:val="09239174"/>
    <w:rsid w:val="09271F44"/>
    <w:rsid w:val="0927E088"/>
    <w:rsid w:val="0928798F"/>
    <w:rsid w:val="09287D42"/>
    <w:rsid w:val="092A7CEA"/>
    <w:rsid w:val="092B47D4"/>
    <w:rsid w:val="0944E8F2"/>
    <w:rsid w:val="09540184"/>
    <w:rsid w:val="095474C3"/>
    <w:rsid w:val="095B1436"/>
    <w:rsid w:val="095BEFD5"/>
    <w:rsid w:val="0963194A"/>
    <w:rsid w:val="096D036E"/>
    <w:rsid w:val="098EE0EF"/>
    <w:rsid w:val="098FE0DB"/>
    <w:rsid w:val="0992ADF5"/>
    <w:rsid w:val="0994DB35"/>
    <w:rsid w:val="09985CC1"/>
    <w:rsid w:val="099CE943"/>
    <w:rsid w:val="09A42635"/>
    <w:rsid w:val="09A5FBF4"/>
    <w:rsid w:val="09A99D8F"/>
    <w:rsid w:val="09AF5273"/>
    <w:rsid w:val="09AFC44D"/>
    <w:rsid w:val="09C22293"/>
    <w:rsid w:val="09E6F714"/>
    <w:rsid w:val="09E77D8C"/>
    <w:rsid w:val="09E96E0F"/>
    <w:rsid w:val="09EF605A"/>
    <w:rsid w:val="09F03C84"/>
    <w:rsid w:val="0A2A282D"/>
    <w:rsid w:val="0A2F16A8"/>
    <w:rsid w:val="0A2F53B0"/>
    <w:rsid w:val="0A3C88D9"/>
    <w:rsid w:val="0A5034F5"/>
    <w:rsid w:val="0A60B4E0"/>
    <w:rsid w:val="0A6FC758"/>
    <w:rsid w:val="0A7F3CC2"/>
    <w:rsid w:val="0A83E7FE"/>
    <w:rsid w:val="0A849450"/>
    <w:rsid w:val="0A889BF7"/>
    <w:rsid w:val="0A89D57F"/>
    <w:rsid w:val="0A8E731B"/>
    <w:rsid w:val="0A9809EE"/>
    <w:rsid w:val="0A9BA28C"/>
    <w:rsid w:val="0A9CB8E8"/>
    <w:rsid w:val="0AA3F093"/>
    <w:rsid w:val="0AAB8528"/>
    <w:rsid w:val="0AACAA7E"/>
    <w:rsid w:val="0AACB94F"/>
    <w:rsid w:val="0AAD36FF"/>
    <w:rsid w:val="0AB94B7D"/>
    <w:rsid w:val="0AC2826C"/>
    <w:rsid w:val="0ACE5505"/>
    <w:rsid w:val="0AD237A1"/>
    <w:rsid w:val="0AE475E9"/>
    <w:rsid w:val="0AF796DD"/>
    <w:rsid w:val="0AFC62A4"/>
    <w:rsid w:val="0AFDF8F1"/>
    <w:rsid w:val="0AFE3DAF"/>
    <w:rsid w:val="0B02AC20"/>
    <w:rsid w:val="0B078E36"/>
    <w:rsid w:val="0B13D508"/>
    <w:rsid w:val="0B1578DD"/>
    <w:rsid w:val="0B167CAE"/>
    <w:rsid w:val="0B175977"/>
    <w:rsid w:val="0B1DCA9D"/>
    <w:rsid w:val="0B216D07"/>
    <w:rsid w:val="0B2EFFD7"/>
    <w:rsid w:val="0B32E669"/>
    <w:rsid w:val="0B39B801"/>
    <w:rsid w:val="0B442CF8"/>
    <w:rsid w:val="0B497F0E"/>
    <w:rsid w:val="0B50899C"/>
    <w:rsid w:val="0B584E32"/>
    <w:rsid w:val="0B6759DA"/>
    <w:rsid w:val="0B67B510"/>
    <w:rsid w:val="0B6E30E3"/>
    <w:rsid w:val="0B773256"/>
    <w:rsid w:val="0B788A19"/>
    <w:rsid w:val="0B7E2BE1"/>
    <w:rsid w:val="0B91126F"/>
    <w:rsid w:val="0B92DA6B"/>
    <w:rsid w:val="0B96ECCD"/>
    <w:rsid w:val="0B9CDDDE"/>
    <w:rsid w:val="0B9DE4EC"/>
    <w:rsid w:val="0B9EAD86"/>
    <w:rsid w:val="0B9F5FF6"/>
    <w:rsid w:val="0BA0A6BF"/>
    <w:rsid w:val="0BB4ADEC"/>
    <w:rsid w:val="0BC452B6"/>
    <w:rsid w:val="0BC8A957"/>
    <w:rsid w:val="0BCB3FF8"/>
    <w:rsid w:val="0BD18A44"/>
    <w:rsid w:val="0BD1FF63"/>
    <w:rsid w:val="0BD27E49"/>
    <w:rsid w:val="0BD7AA49"/>
    <w:rsid w:val="0BD9F791"/>
    <w:rsid w:val="0BDA902A"/>
    <w:rsid w:val="0BDD2FF5"/>
    <w:rsid w:val="0BF0F4ED"/>
    <w:rsid w:val="0C04FDDC"/>
    <w:rsid w:val="0C0A2A14"/>
    <w:rsid w:val="0C0BFE75"/>
    <w:rsid w:val="0C0F3D25"/>
    <w:rsid w:val="0C0FDAB7"/>
    <w:rsid w:val="0C118B9D"/>
    <w:rsid w:val="0C15B23A"/>
    <w:rsid w:val="0C251414"/>
    <w:rsid w:val="0C29D5F9"/>
    <w:rsid w:val="0C3D61B9"/>
    <w:rsid w:val="0C3D8688"/>
    <w:rsid w:val="0C47FE1F"/>
    <w:rsid w:val="0C494A7E"/>
    <w:rsid w:val="0C59D6A3"/>
    <w:rsid w:val="0C71067F"/>
    <w:rsid w:val="0C768A68"/>
    <w:rsid w:val="0C798A82"/>
    <w:rsid w:val="0C7A3F3D"/>
    <w:rsid w:val="0C7B9CE9"/>
    <w:rsid w:val="0C7F44FC"/>
    <w:rsid w:val="0C7F4916"/>
    <w:rsid w:val="0C8AAD6C"/>
    <w:rsid w:val="0C9053DD"/>
    <w:rsid w:val="0C9F1046"/>
    <w:rsid w:val="0CA3754E"/>
    <w:rsid w:val="0CA575E7"/>
    <w:rsid w:val="0CB1AE68"/>
    <w:rsid w:val="0CBD3D68"/>
    <w:rsid w:val="0CC2CF26"/>
    <w:rsid w:val="0CCB1F8F"/>
    <w:rsid w:val="0CD231C4"/>
    <w:rsid w:val="0CD38C80"/>
    <w:rsid w:val="0CE2B13F"/>
    <w:rsid w:val="0CECC6AD"/>
    <w:rsid w:val="0CEE5EF4"/>
    <w:rsid w:val="0CEFC6B4"/>
    <w:rsid w:val="0CF1DE9A"/>
    <w:rsid w:val="0CF76AA0"/>
    <w:rsid w:val="0CF91D1B"/>
    <w:rsid w:val="0D1302B7"/>
    <w:rsid w:val="0D17824B"/>
    <w:rsid w:val="0D1B9C20"/>
    <w:rsid w:val="0D2145DB"/>
    <w:rsid w:val="0D2E3999"/>
    <w:rsid w:val="0D2F983F"/>
    <w:rsid w:val="0D31E0E6"/>
    <w:rsid w:val="0D3FD022"/>
    <w:rsid w:val="0D496309"/>
    <w:rsid w:val="0D4F4F81"/>
    <w:rsid w:val="0D53F633"/>
    <w:rsid w:val="0D54E906"/>
    <w:rsid w:val="0D5AADFC"/>
    <w:rsid w:val="0D6A108F"/>
    <w:rsid w:val="0D6C45B8"/>
    <w:rsid w:val="0D6C9C99"/>
    <w:rsid w:val="0D723C09"/>
    <w:rsid w:val="0D8A5F1F"/>
    <w:rsid w:val="0D9B9343"/>
    <w:rsid w:val="0D9F3027"/>
    <w:rsid w:val="0DA47647"/>
    <w:rsid w:val="0DAD015F"/>
    <w:rsid w:val="0DAFAF24"/>
    <w:rsid w:val="0DAFED18"/>
    <w:rsid w:val="0DB2CF67"/>
    <w:rsid w:val="0DC9D54E"/>
    <w:rsid w:val="0DD093E4"/>
    <w:rsid w:val="0DD8BCE9"/>
    <w:rsid w:val="0DDBD71F"/>
    <w:rsid w:val="0DDCFC0D"/>
    <w:rsid w:val="0DDD2F83"/>
    <w:rsid w:val="0DE59F8A"/>
    <w:rsid w:val="0DF69628"/>
    <w:rsid w:val="0DFB9410"/>
    <w:rsid w:val="0DFCEDCE"/>
    <w:rsid w:val="0E0425D4"/>
    <w:rsid w:val="0E04CAAD"/>
    <w:rsid w:val="0E05847A"/>
    <w:rsid w:val="0E06243D"/>
    <w:rsid w:val="0E06F36B"/>
    <w:rsid w:val="0E125AC9"/>
    <w:rsid w:val="0E1D4D18"/>
    <w:rsid w:val="0E211D07"/>
    <w:rsid w:val="0E283901"/>
    <w:rsid w:val="0E287C1F"/>
    <w:rsid w:val="0E2F60F8"/>
    <w:rsid w:val="0E365580"/>
    <w:rsid w:val="0E48B4D8"/>
    <w:rsid w:val="0E4B9979"/>
    <w:rsid w:val="0E635DFA"/>
    <w:rsid w:val="0E6A7536"/>
    <w:rsid w:val="0E6ED8FD"/>
    <w:rsid w:val="0E70DB94"/>
    <w:rsid w:val="0E70F8AB"/>
    <w:rsid w:val="0E83CE81"/>
    <w:rsid w:val="0E92FB54"/>
    <w:rsid w:val="0E93C9B1"/>
    <w:rsid w:val="0EAEF648"/>
    <w:rsid w:val="0EAFF9AF"/>
    <w:rsid w:val="0EB5C3ED"/>
    <w:rsid w:val="0EB8D749"/>
    <w:rsid w:val="0EC69744"/>
    <w:rsid w:val="0ED15987"/>
    <w:rsid w:val="0ED3C26A"/>
    <w:rsid w:val="0ED84DE4"/>
    <w:rsid w:val="0EEBAE88"/>
    <w:rsid w:val="0F042669"/>
    <w:rsid w:val="0F0E4D19"/>
    <w:rsid w:val="0F124471"/>
    <w:rsid w:val="0F1BA470"/>
    <w:rsid w:val="0F28A5AA"/>
    <w:rsid w:val="0F2B833E"/>
    <w:rsid w:val="0F35ACCA"/>
    <w:rsid w:val="0F3AFEAB"/>
    <w:rsid w:val="0F4E5D98"/>
    <w:rsid w:val="0F5116AA"/>
    <w:rsid w:val="0F60CD8D"/>
    <w:rsid w:val="0F651BB0"/>
    <w:rsid w:val="0F685628"/>
    <w:rsid w:val="0F801874"/>
    <w:rsid w:val="0F8322A4"/>
    <w:rsid w:val="0F95FC11"/>
    <w:rsid w:val="0F9B2611"/>
    <w:rsid w:val="0F9C24F5"/>
    <w:rsid w:val="0F9E6B78"/>
    <w:rsid w:val="0FA67506"/>
    <w:rsid w:val="0FB2D9FD"/>
    <w:rsid w:val="0FBE6CF8"/>
    <w:rsid w:val="0FC2F416"/>
    <w:rsid w:val="0FC3F37D"/>
    <w:rsid w:val="0FC64DC1"/>
    <w:rsid w:val="0FC73E11"/>
    <w:rsid w:val="0FC80A7C"/>
    <w:rsid w:val="0FCE4409"/>
    <w:rsid w:val="0FDAAF00"/>
    <w:rsid w:val="0FDE48E4"/>
    <w:rsid w:val="0FDF802D"/>
    <w:rsid w:val="0FE4159F"/>
    <w:rsid w:val="0FF260DB"/>
    <w:rsid w:val="0FF7C458"/>
    <w:rsid w:val="1011F179"/>
    <w:rsid w:val="101307FE"/>
    <w:rsid w:val="101B29B2"/>
    <w:rsid w:val="101D6E6A"/>
    <w:rsid w:val="101D851A"/>
    <w:rsid w:val="10246947"/>
    <w:rsid w:val="10292645"/>
    <w:rsid w:val="102D6EED"/>
    <w:rsid w:val="104B87E1"/>
    <w:rsid w:val="104D4784"/>
    <w:rsid w:val="104E8DBD"/>
    <w:rsid w:val="105198CF"/>
    <w:rsid w:val="1054429A"/>
    <w:rsid w:val="10548D1A"/>
    <w:rsid w:val="1071F2B8"/>
    <w:rsid w:val="1075431B"/>
    <w:rsid w:val="107AC38C"/>
    <w:rsid w:val="1088C62D"/>
    <w:rsid w:val="109002EC"/>
    <w:rsid w:val="10A4A663"/>
    <w:rsid w:val="10C0A974"/>
    <w:rsid w:val="10C298C2"/>
    <w:rsid w:val="10CAA6D7"/>
    <w:rsid w:val="10CF1443"/>
    <w:rsid w:val="10D6D0E9"/>
    <w:rsid w:val="10D93DEB"/>
    <w:rsid w:val="10E24A98"/>
    <w:rsid w:val="10E461F1"/>
    <w:rsid w:val="10E641F4"/>
    <w:rsid w:val="11072216"/>
    <w:rsid w:val="110EEBED"/>
    <w:rsid w:val="111A05F2"/>
    <w:rsid w:val="112707AD"/>
    <w:rsid w:val="112B5927"/>
    <w:rsid w:val="1131B31F"/>
    <w:rsid w:val="1132B470"/>
    <w:rsid w:val="1133178F"/>
    <w:rsid w:val="11399B58"/>
    <w:rsid w:val="113DBE45"/>
    <w:rsid w:val="113DF61C"/>
    <w:rsid w:val="114295E6"/>
    <w:rsid w:val="11485762"/>
    <w:rsid w:val="11651CA1"/>
    <w:rsid w:val="116FA1E7"/>
    <w:rsid w:val="11731B4A"/>
    <w:rsid w:val="11778E51"/>
    <w:rsid w:val="11781553"/>
    <w:rsid w:val="118925A6"/>
    <w:rsid w:val="1189624E"/>
    <w:rsid w:val="118B412E"/>
    <w:rsid w:val="118D8122"/>
    <w:rsid w:val="1195655D"/>
    <w:rsid w:val="11958161"/>
    <w:rsid w:val="11A9C1B0"/>
    <w:rsid w:val="11B930B3"/>
    <w:rsid w:val="11C7035F"/>
    <w:rsid w:val="11C74B5F"/>
    <w:rsid w:val="11C92568"/>
    <w:rsid w:val="11CD4B7D"/>
    <w:rsid w:val="11CEFBCB"/>
    <w:rsid w:val="11DA53B3"/>
    <w:rsid w:val="11DA5E24"/>
    <w:rsid w:val="11E31A77"/>
    <w:rsid w:val="11E3946F"/>
    <w:rsid w:val="11E8A4BF"/>
    <w:rsid w:val="11EC4063"/>
    <w:rsid w:val="11EDD1FC"/>
    <w:rsid w:val="11F69C9A"/>
    <w:rsid w:val="11FFF2A6"/>
    <w:rsid w:val="12094582"/>
    <w:rsid w:val="12202C39"/>
    <w:rsid w:val="122669B5"/>
    <w:rsid w:val="1226780E"/>
    <w:rsid w:val="12321C94"/>
    <w:rsid w:val="12325551"/>
    <w:rsid w:val="12366504"/>
    <w:rsid w:val="1237DEF6"/>
    <w:rsid w:val="123804E3"/>
    <w:rsid w:val="124119C7"/>
    <w:rsid w:val="1241D47C"/>
    <w:rsid w:val="1243472C"/>
    <w:rsid w:val="124E9C3B"/>
    <w:rsid w:val="125F2881"/>
    <w:rsid w:val="12689786"/>
    <w:rsid w:val="128C97DB"/>
    <w:rsid w:val="128DCDFA"/>
    <w:rsid w:val="12917853"/>
    <w:rsid w:val="12957BF8"/>
    <w:rsid w:val="129A1168"/>
    <w:rsid w:val="12A2F277"/>
    <w:rsid w:val="12AFC023"/>
    <w:rsid w:val="12B8FFBA"/>
    <w:rsid w:val="12C83BC2"/>
    <w:rsid w:val="12C896DA"/>
    <w:rsid w:val="12CD05A6"/>
    <w:rsid w:val="12CFB925"/>
    <w:rsid w:val="12D1E87D"/>
    <w:rsid w:val="12D5C245"/>
    <w:rsid w:val="12D91652"/>
    <w:rsid w:val="12DDDE66"/>
    <w:rsid w:val="12E04803"/>
    <w:rsid w:val="12E0A00D"/>
    <w:rsid w:val="12E7FD8A"/>
    <w:rsid w:val="12ED6195"/>
    <w:rsid w:val="12F4D54C"/>
    <w:rsid w:val="1302F3AD"/>
    <w:rsid w:val="1316778D"/>
    <w:rsid w:val="1322121E"/>
    <w:rsid w:val="133E129D"/>
    <w:rsid w:val="133FA6FC"/>
    <w:rsid w:val="1349ECC1"/>
    <w:rsid w:val="135CFB52"/>
    <w:rsid w:val="135FC971"/>
    <w:rsid w:val="13655803"/>
    <w:rsid w:val="1368207F"/>
    <w:rsid w:val="136E5F50"/>
    <w:rsid w:val="136EE867"/>
    <w:rsid w:val="1377117E"/>
    <w:rsid w:val="137D268E"/>
    <w:rsid w:val="138D5990"/>
    <w:rsid w:val="1391EF58"/>
    <w:rsid w:val="139FD208"/>
    <w:rsid w:val="13B021BF"/>
    <w:rsid w:val="13B5A7D9"/>
    <w:rsid w:val="13CD5FDE"/>
    <w:rsid w:val="13D2F679"/>
    <w:rsid w:val="13D6B84A"/>
    <w:rsid w:val="13D871A2"/>
    <w:rsid w:val="13F18618"/>
    <w:rsid w:val="13FACC68"/>
    <w:rsid w:val="13FEA691"/>
    <w:rsid w:val="13FEC29F"/>
    <w:rsid w:val="1403E8C5"/>
    <w:rsid w:val="14133CA7"/>
    <w:rsid w:val="141D7549"/>
    <w:rsid w:val="14259ED3"/>
    <w:rsid w:val="14307702"/>
    <w:rsid w:val="144989DE"/>
    <w:rsid w:val="1458C218"/>
    <w:rsid w:val="1462F007"/>
    <w:rsid w:val="1466495B"/>
    <w:rsid w:val="14699B1E"/>
    <w:rsid w:val="1473DE1A"/>
    <w:rsid w:val="1474BE3F"/>
    <w:rsid w:val="1477EB29"/>
    <w:rsid w:val="1484C2F5"/>
    <w:rsid w:val="1485B63E"/>
    <w:rsid w:val="1486B178"/>
    <w:rsid w:val="148F5BE0"/>
    <w:rsid w:val="149647D6"/>
    <w:rsid w:val="149B4981"/>
    <w:rsid w:val="14B243C2"/>
    <w:rsid w:val="14B44F18"/>
    <w:rsid w:val="14B845AB"/>
    <w:rsid w:val="14BC6B10"/>
    <w:rsid w:val="14BDCA46"/>
    <w:rsid w:val="14BE1BE3"/>
    <w:rsid w:val="14D13218"/>
    <w:rsid w:val="14E02381"/>
    <w:rsid w:val="14E79413"/>
    <w:rsid w:val="14E8FEA9"/>
    <w:rsid w:val="1503B124"/>
    <w:rsid w:val="15070E62"/>
    <w:rsid w:val="151404FC"/>
    <w:rsid w:val="1518ACFD"/>
    <w:rsid w:val="1519E361"/>
    <w:rsid w:val="1525AB4C"/>
    <w:rsid w:val="1526B6C4"/>
    <w:rsid w:val="153472FD"/>
    <w:rsid w:val="153CEBE4"/>
    <w:rsid w:val="15506B0C"/>
    <w:rsid w:val="1552A6B3"/>
    <w:rsid w:val="15557A78"/>
    <w:rsid w:val="1560216E"/>
    <w:rsid w:val="156277AA"/>
    <w:rsid w:val="1562E1AC"/>
    <w:rsid w:val="1568A3F5"/>
    <w:rsid w:val="15698641"/>
    <w:rsid w:val="156DE3CB"/>
    <w:rsid w:val="156DEA34"/>
    <w:rsid w:val="1572A170"/>
    <w:rsid w:val="15765105"/>
    <w:rsid w:val="15765DE7"/>
    <w:rsid w:val="157B6E42"/>
    <w:rsid w:val="157EF55E"/>
    <w:rsid w:val="1595A3F6"/>
    <w:rsid w:val="15984271"/>
    <w:rsid w:val="1599607D"/>
    <w:rsid w:val="15BC954F"/>
    <w:rsid w:val="15BE956A"/>
    <w:rsid w:val="15D5BAF5"/>
    <w:rsid w:val="15DFBB3B"/>
    <w:rsid w:val="15E09E86"/>
    <w:rsid w:val="15E1262D"/>
    <w:rsid w:val="15EDE5EB"/>
    <w:rsid w:val="15F21D44"/>
    <w:rsid w:val="15FBA68E"/>
    <w:rsid w:val="1601F2A4"/>
    <w:rsid w:val="16081431"/>
    <w:rsid w:val="1608197C"/>
    <w:rsid w:val="160B7837"/>
    <w:rsid w:val="1611E2B0"/>
    <w:rsid w:val="1617B952"/>
    <w:rsid w:val="1619CDC6"/>
    <w:rsid w:val="161BF8E8"/>
    <w:rsid w:val="161D9E84"/>
    <w:rsid w:val="16223532"/>
    <w:rsid w:val="16253459"/>
    <w:rsid w:val="1626ACB0"/>
    <w:rsid w:val="162787C9"/>
    <w:rsid w:val="1636938A"/>
    <w:rsid w:val="163C9906"/>
    <w:rsid w:val="164149DF"/>
    <w:rsid w:val="1643EB67"/>
    <w:rsid w:val="164FB6DC"/>
    <w:rsid w:val="165C176C"/>
    <w:rsid w:val="165E0296"/>
    <w:rsid w:val="16647881"/>
    <w:rsid w:val="16654329"/>
    <w:rsid w:val="166E140F"/>
    <w:rsid w:val="166F606D"/>
    <w:rsid w:val="167A73E1"/>
    <w:rsid w:val="16882B0A"/>
    <w:rsid w:val="16A16182"/>
    <w:rsid w:val="16A749CD"/>
    <w:rsid w:val="16B0FB58"/>
    <w:rsid w:val="16C34564"/>
    <w:rsid w:val="16CD9D94"/>
    <w:rsid w:val="16E2A666"/>
    <w:rsid w:val="16E53DFA"/>
    <w:rsid w:val="16EFC117"/>
    <w:rsid w:val="16F0E806"/>
    <w:rsid w:val="16F89BAE"/>
    <w:rsid w:val="16FB81ED"/>
    <w:rsid w:val="170701E2"/>
    <w:rsid w:val="170998F8"/>
    <w:rsid w:val="170A0B9F"/>
    <w:rsid w:val="170D3782"/>
    <w:rsid w:val="171A39F3"/>
    <w:rsid w:val="1746DEEE"/>
    <w:rsid w:val="174F7D26"/>
    <w:rsid w:val="1750A4E5"/>
    <w:rsid w:val="1756B4A1"/>
    <w:rsid w:val="175C2FC8"/>
    <w:rsid w:val="175E1FD5"/>
    <w:rsid w:val="177143C6"/>
    <w:rsid w:val="17809007"/>
    <w:rsid w:val="178C1AB7"/>
    <w:rsid w:val="17945EFD"/>
    <w:rsid w:val="179D9F41"/>
    <w:rsid w:val="179F7332"/>
    <w:rsid w:val="17A22E95"/>
    <w:rsid w:val="17AB8D43"/>
    <w:rsid w:val="17B63608"/>
    <w:rsid w:val="17B7B0E0"/>
    <w:rsid w:val="17BFEDAF"/>
    <w:rsid w:val="17C93877"/>
    <w:rsid w:val="17CAAB89"/>
    <w:rsid w:val="17CF4540"/>
    <w:rsid w:val="17DA2802"/>
    <w:rsid w:val="17EBE469"/>
    <w:rsid w:val="17F3F338"/>
    <w:rsid w:val="1803E54B"/>
    <w:rsid w:val="1813560B"/>
    <w:rsid w:val="18158A05"/>
    <w:rsid w:val="18256A4D"/>
    <w:rsid w:val="1826F309"/>
    <w:rsid w:val="182866A6"/>
    <w:rsid w:val="182A05CE"/>
    <w:rsid w:val="182D99C3"/>
    <w:rsid w:val="18355520"/>
    <w:rsid w:val="183BD015"/>
    <w:rsid w:val="183E4177"/>
    <w:rsid w:val="1844DCC5"/>
    <w:rsid w:val="1845EA39"/>
    <w:rsid w:val="184CA75F"/>
    <w:rsid w:val="1854A12E"/>
    <w:rsid w:val="1856ED43"/>
    <w:rsid w:val="18596628"/>
    <w:rsid w:val="1860BEE8"/>
    <w:rsid w:val="18617C53"/>
    <w:rsid w:val="186377AD"/>
    <w:rsid w:val="1867AD7F"/>
    <w:rsid w:val="186C902B"/>
    <w:rsid w:val="1875DA61"/>
    <w:rsid w:val="187FA117"/>
    <w:rsid w:val="1895B380"/>
    <w:rsid w:val="189E4C48"/>
    <w:rsid w:val="18A74667"/>
    <w:rsid w:val="18A7A46F"/>
    <w:rsid w:val="18C3BFE8"/>
    <w:rsid w:val="18C65B5A"/>
    <w:rsid w:val="18C8220F"/>
    <w:rsid w:val="18D12BB3"/>
    <w:rsid w:val="18DDB07E"/>
    <w:rsid w:val="18DFF181"/>
    <w:rsid w:val="18F5A968"/>
    <w:rsid w:val="1901C840"/>
    <w:rsid w:val="1906465E"/>
    <w:rsid w:val="19084998"/>
    <w:rsid w:val="190BD1B9"/>
    <w:rsid w:val="191442AA"/>
    <w:rsid w:val="1915FD57"/>
    <w:rsid w:val="19183054"/>
    <w:rsid w:val="191B5166"/>
    <w:rsid w:val="191C4F11"/>
    <w:rsid w:val="1921D26C"/>
    <w:rsid w:val="1922CD8B"/>
    <w:rsid w:val="192F4761"/>
    <w:rsid w:val="193BED0F"/>
    <w:rsid w:val="1948D372"/>
    <w:rsid w:val="194CA994"/>
    <w:rsid w:val="194E511F"/>
    <w:rsid w:val="19525367"/>
    <w:rsid w:val="1952D0B2"/>
    <w:rsid w:val="1959CCD2"/>
    <w:rsid w:val="196360C3"/>
    <w:rsid w:val="19710E9B"/>
    <w:rsid w:val="19779C87"/>
    <w:rsid w:val="19797B5C"/>
    <w:rsid w:val="1984499E"/>
    <w:rsid w:val="19860724"/>
    <w:rsid w:val="19AE3D3F"/>
    <w:rsid w:val="19B1E305"/>
    <w:rsid w:val="19B6FE1E"/>
    <w:rsid w:val="19BABC81"/>
    <w:rsid w:val="19BD8B1F"/>
    <w:rsid w:val="19C53002"/>
    <w:rsid w:val="19D10C09"/>
    <w:rsid w:val="19D62D70"/>
    <w:rsid w:val="19DA7CD0"/>
    <w:rsid w:val="19DF2064"/>
    <w:rsid w:val="19DF886F"/>
    <w:rsid w:val="19DFC4C5"/>
    <w:rsid w:val="19FF9529"/>
    <w:rsid w:val="1A00C1E5"/>
    <w:rsid w:val="1A05F6EE"/>
    <w:rsid w:val="1A08466B"/>
    <w:rsid w:val="1A0D3982"/>
    <w:rsid w:val="1A14CB3F"/>
    <w:rsid w:val="1A14D1F0"/>
    <w:rsid w:val="1A20325A"/>
    <w:rsid w:val="1A23070B"/>
    <w:rsid w:val="1A257DC2"/>
    <w:rsid w:val="1A25EA6F"/>
    <w:rsid w:val="1A331DCC"/>
    <w:rsid w:val="1A3324FF"/>
    <w:rsid w:val="1A42E487"/>
    <w:rsid w:val="1A49B7B9"/>
    <w:rsid w:val="1A555202"/>
    <w:rsid w:val="1A5F3977"/>
    <w:rsid w:val="1A6980F4"/>
    <w:rsid w:val="1A73E65E"/>
    <w:rsid w:val="1A8EF50F"/>
    <w:rsid w:val="1A9E02C7"/>
    <w:rsid w:val="1ABE960C"/>
    <w:rsid w:val="1AD2318B"/>
    <w:rsid w:val="1AD6530B"/>
    <w:rsid w:val="1ADDEFCE"/>
    <w:rsid w:val="1ADEC3A2"/>
    <w:rsid w:val="1AE19DC0"/>
    <w:rsid w:val="1AE51D93"/>
    <w:rsid w:val="1AF75F8F"/>
    <w:rsid w:val="1AF77CF3"/>
    <w:rsid w:val="1B011135"/>
    <w:rsid w:val="1B0209F8"/>
    <w:rsid w:val="1B08FFDF"/>
    <w:rsid w:val="1B12097E"/>
    <w:rsid w:val="1B13FBCF"/>
    <w:rsid w:val="1B152389"/>
    <w:rsid w:val="1B1D8946"/>
    <w:rsid w:val="1B2335AF"/>
    <w:rsid w:val="1B23E0F6"/>
    <w:rsid w:val="1B27920A"/>
    <w:rsid w:val="1B29DDE4"/>
    <w:rsid w:val="1B4C7719"/>
    <w:rsid w:val="1B4CF6DD"/>
    <w:rsid w:val="1B50D83F"/>
    <w:rsid w:val="1B59ECDF"/>
    <w:rsid w:val="1B625A9E"/>
    <w:rsid w:val="1B665A7C"/>
    <w:rsid w:val="1B6A17E8"/>
    <w:rsid w:val="1B78F5B0"/>
    <w:rsid w:val="1B797B44"/>
    <w:rsid w:val="1B82372E"/>
    <w:rsid w:val="1B846C7B"/>
    <w:rsid w:val="1B877D57"/>
    <w:rsid w:val="1B894965"/>
    <w:rsid w:val="1B93C380"/>
    <w:rsid w:val="1BBC604C"/>
    <w:rsid w:val="1BBCD97C"/>
    <w:rsid w:val="1BBF6E52"/>
    <w:rsid w:val="1BC81C5B"/>
    <w:rsid w:val="1BC9157A"/>
    <w:rsid w:val="1BCB3CB1"/>
    <w:rsid w:val="1BCC770E"/>
    <w:rsid w:val="1BD5A910"/>
    <w:rsid w:val="1BD8825F"/>
    <w:rsid w:val="1BDA3A80"/>
    <w:rsid w:val="1BDE88C0"/>
    <w:rsid w:val="1BE71D1D"/>
    <w:rsid w:val="1BEBDE0B"/>
    <w:rsid w:val="1BF0B9C3"/>
    <w:rsid w:val="1BF78F59"/>
    <w:rsid w:val="1C093965"/>
    <w:rsid w:val="1C0B7133"/>
    <w:rsid w:val="1C1660A8"/>
    <w:rsid w:val="1C1D70F9"/>
    <w:rsid w:val="1C22582A"/>
    <w:rsid w:val="1C261B30"/>
    <w:rsid w:val="1C28D77C"/>
    <w:rsid w:val="1C2EDFAF"/>
    <w:rsid w:val="1C3C7ACF"/>
    <w:rsid w:val="1C4AED2F"/>
    <w:rsid w:val="1C5A666D"/>
    <w:rsid w:val="1C5DDAB1"/>
    <w:rsid w:val="1C6DEAC3"/>
    <w:rsid w:val="1C6E01EC"/>
    <w:rsid w:val="1C70C954"/>
    <w:rsid w:val="1C736B90"/>
    <w:rsid w:val="1C842EC1"/>
    <w:rsid w:val="1C849E76"/>
    <w:rsid w:val="1C8A43EA"/>
    <w:rsid w:val="1C8BB916"/>
    <w:rsid w:val="1C8F34F0"/>
    <w:rsid w:val="1C8F7503"/>
    <w:rsid w:val="1C923763"/>
    <w:rsid w:val="1C92569D"/>
    <w:rsid w:val="1C94A244"/>
    <w:rsid w:val="1C96B37C"/>
    <w:rsid w:val="1C9EB06A"/>
    <w:rsid w:val="1C9F410C"/>
    <w:rsid w:val="1CB308E5"/>
    <w:rsid w:val="1CB9C56B"/>
    <w:rsid w:val="1CC1F5DE"/>
    <w:rsid w:val="1CC580D6"/>
    <w:rsid w:val="1CC6AAE4"/>
    <w:rsid w:val="1CE5AC51"/>
    <w:rsid w:val="1CF11BA7"/>
    <w:rsid w:val="1CF1B390"/>
    <w:rsid w:val="1CF261AB"/>
    <w:rsid w:val="1CF70B02"/>
    <w:rsid w:val="1CFB0EB8"/>
    <w:rsid w:val="1CFF098F"/>
    <w:rsid w:val="1D01A77F"/>
    <w:rsid w:val="1D1650F8"/>
    <w:rsid w:val="1D230AEB"/>
    <w:rsid w:val="1D23165C"/>
    <w:rsid w:val="1D2AEFDD"/>
    <w:rsid w:val="1D3571EA"/>
    <w:rsid w:val="1D413EEC"/>
    <w:rsid w:val="1D42B85F"/>
    <w:rsid w:val="1D4F8E2C"/>
    <w:rsid w:val="1D502254"/>
    <w:rsid w:val="1D51C54F"/>
    <w:rsid w:val="1D560D8E"/>
    <w:rsid w:val="1D5B8CDA"/>
    <w:rsid w:val="1D5DB172"/>
    <w:rsid w:val="1D5EDB4F"/>
    <w:rsid w:val="1D75C8E5"/>
    <w:rsid w:val="1D8B0981"/>
    <w:rsid w:val="1D954247"/>
    <w:rsid w:val="1D9B43AC"/>
    <w:rsid w:val="1DA23FAE"/>
    <w:rsid w:val="1DAAA0A9"/>
    <w:rsid w:val="1DAB58C8"/>
    <w:rsid w:val="1DACCBB8"/>
    <w:rsid w:val="1DB885B7"/>
    <w:rsid w:val="1DBF7C81"/>
    <w:rsid w:val="1DBFFAF5"/>
    <w:rsid w:val="1DC44819"/>
    <w:rsid w:val="1DC80A0A"/>
    <w:rsid w:val="1DCC8EB8"/>
    <w:rsid w:val="1DCD0E2E"/>
    <w:rsid w:val="1DD42FD8"/>
    <w:rsid w:val="1DD4F03A"/>
    <w:rsid w:val="1DD786AB"/>
    <w:rsid w:val="1DD82D6A"/>
    <w:rsid w:val="1DEA8222"/>
    <w:rsid w:val="1DEB5743"/>
    <w:rsid w:val="1DEEAD70"/>
    <w:rsid w:val="1DF6D0EC"/>
    <w:rsid w:val="1DFCEF82"/>
    <w:rsid w:val="1E04D15C"/>
    <w:rsid w:val="1E0F5636"/>
    <w:rsid w:val="1E234F00"/>
    <w:rsid w:val="1E2722A2"/>
    <w:rsid w:val="1E28A68B"/>
    <w:rsid w:val="1E2CCD97"/>
    <w:rsid w:val="1E2DF276"/>
    <w:rsid w:val="1E3BA39E"/>
    <w:rsid w:val="1E3D56AD"/>
    <w:rsid w:val="1E445F69"/>
    <w:rsid w:val="1E4ED946"/>
    <w:rsid w:val="1E50DD70"/>
    <w:rsid w:val="1E51A938"/>
    <w:rsid w:val="1E527B9F"/>
    <w:rsid w:val="1E7BCD52"/>
    <w:rsid w:val="1E8CC8E1"/>
    <w:rsid w:val="1E944E4D"/>
    <w:rsid w:val="1E994E0E"/>
    <w:rsid w:val="1EABB2A9"/>
    <w:rsid w:val="1EAF4E89"/>
    <w:rsid w:val="1EB0EA30"/>
    <w:rsid w:val="1EB19EC9"/>
    <w:rsid w:val="1EB7F851"/>
    <w:rsid w:val="1EC71F8C"/>
    <w:rsid w:val="1EDD0BB7"/>
    <w:rsid w:val="1EE0F455"/>
    <w:rsid w:val="1EE8284D"/>
    <w:rsid w:val="1EE9BC9F"/>
    <w:rsid w:val="1EEB5E8D"/>
    <w:rsid w:val="1EF1A80E"/>
    <w:rsid w:val="1EF53A56"/>
    <w:rsid w:val="1EF8EEE5"/>
    <w:rsid w:val="1F02A782"/>
    <w:rsid w:val="1F08C6CF"/>
    <w:rsid w:val="1F192BAE"/>
    <w:rsid w:val="1F1D641D"/>
    <w:rsid w:val="1F39FA3B"/>
    <w:rsid w:val="1F58638E"/>
    <w:rsid w:val="1F5A4F70"/>
    <w:rsid w:val="1F5E6AA2"/>
    <w:rsid w:val="1F619602"/>
    <w:rsid w:val="1F6C0831"/>
    <w:rsid w:val="1F71F163"/>
    <w:rsid w:val="1F7374A1"/>
    <w:rsid w:val="1F766A4A"/>
    <w:rsid w:val="1F7E79CD"/>
    <w:rsid w:val="1F7E90E1"/>
    <w:rsid w:val="1F879BE8"/>
    <w:rsid w:val="1F9CEC7C"/>
    <w:rsid w:val="1FAB2697"/>
    <w:rsid w:val="1FAC3E7D"/>
    <w:rsid w:val="1FB259F3"/>
    <w:rsid w:val="1FBB9149"/>
    <w:rsid w:val="1FBD29DA"/>
    <w:rsid w:val="1FBE0B9D"/>
    <w:rsid w:val="1FC232D6"/>
    <w:rsid w:val="1FCC8E3F"/>
    <w:rsid w:val="1FD63D31"/>
    <w:rsid w:val="1FD671AD"/>
    <w:rsid w:val="1FDA132B"/>
    <w:rsid w:val="1FE2AD1E"/>
    <w:rsid w:val="1FE4B824"/>
    <w:rsid w:val="1FE6B70D"/>
    <w:rsid w:val="1FE942A9"/>
    <w:rsid w:val="1FE99E24"/>
    <w:rsid w:val="1FF40C16"/>
    <w:rsid w:val="1FFDFFD7"/>
    <w:rsid w:val="20021B8F"/>
    <w:rsid w:val="20120977"/>
    <w:rsid w:val="2033BEB4"/>
    <w:rsid w:val="203E90E7"/>
    <w:rsid w:val="2049A423"/>
    <w:rsid w:val="20517458"/>
    <w:rsid w:val="20585D18"/>
    <w:rsid w:val="205ED341"/>
    <w:rsid w:val="205F3B7C"/>
    <w:rsid w:val="20683499"/>
    <w:rsid w:val="206C659A"/>
    <w:rsid w:val="20764F49"/>
    <w:rsid w:val="20768AF3"/>
    <w:rsid w:val="207A0A0A"/>
    <w:rsid w:val="2097A46D"/>
    <w:rsid w:val="209D1BA7"/>
    <w:rsid w:val="20A50B9A"/>
    <w:rsid w:val="20A50BE0"/>
    <w:rsid w:val="20AA3C79"/>
    <w:rsid w:val="20B17D3B"/>
    <w:rsid w:val="20B218EF"/>
    <w:rsid w:val="20B616D5"/>
    <w:rsid w:val="20CCA807"/>
    <w:rsid w:val="20D0492A"/>
    <w:rsid w:val="20E62BAF"/>
    <w:rsid w:val="20FBDF30"/>
    <w:rsid w:val="210097FD"/>
    <w:rsid w:val="21061577"/>
    <w:rsid w:val="21072DA8"/>
    <w:rsid w:val="210CADA5"/>
    <w:rsid w:val="210FB28A"/>
    <w:rsid w:val="211677F6"/>
    <w:rsid w:val="211B6248"/>
    <w:rsid w:val="212E6584"/>
    <w:rsid w:val="2132AE8A"/>
    <w:rsid w:val="21469E51"/>
    <w:rsid w:val="21696360"/>
    <w:rsid w:val="216BA8C5"/>
    <w:rsid w:val="217C57FD"/>
    <w:rsid w:val="217D362F"/>
    <w:rsid w:val="2182876E"/>
    <w:rsid w:val="219C4582"/>
    <w:rsid w:val="21A78C04"/>
    <w:rsid w:val="21AE9526"/>
    <w:rsid w:val="21B58ADD"/>
    <w:rsid w:val="21B7D386"/>
    <w:rsid w:val="21BA1CBA"/>
    <w:rsid w:val="21BC8BF0"/>
    <w:rsid w:val="21BDA985"/>
    <w:rsid w:val="21C2A47E"/>
    <w:rsid w:val="21D139E6"/>
    <w:rsid w:val="21D30149"/>
    <w:rsid w:val="21EB5CCD"/>
    <w:rsid w:val="21ED329A"/>
    <w:rsid w:val="21EFB5FF"/>
    <w:rsid w:val="21F56CC3"/>
    <w:rsid w:val="21F5FEA1"/>
    <w:rsid w:val="220E5834"/>
    <w:rsid w:val="221108D3"/>
    <w:rsid w:val="2212370E"/>
    <w:rsid w:val="221BCBF6"/>
    <w:rsid w:val="22299903"/>
    <w:rsid w:val="222DB702"/>
    <w:rsid w:val="2233BE9C"/>
    <w:rsid w:val="2236FE80"/>
    <w:rsid w:val="2239BF32"/>
    <w:rsid w:val="223C50AD"/>
    <w:rsid w:val="2242EECB"/>
    <w:rsid w:val="2246C349"/>
    <w:rsid w:val="224E64D8"/>
    <w:rsid w:val="225B2EAF"/>
    <w:rsid w:val="22686B29"/>
    <w:rsid w:val="226AC14A"/>
    <w:rsid w:val="227131B6"/>
    <w:rsid w:val="22875358"/>
    <w:rsid w:val="228BCCB2"/>
    <w:rsid w:val="228F3900"/>
    <w:rsid w:val="229C2669"/>
    <w:rsid w:val="22BBE49C"/>
    <w:rsid w:val="22C06220"/>
    <w:rsid w:val="22C5218E"/>
    <w:rsid w:val="22DA6138"/>
    <w:rsid w:val="22E444E1"/>
    <w:rsid w:val="22E63684"/>
    <w:rsid w:val="22FFE254"/>
    <w:rsid w:val="230F5A3C"/>
    <w:rsid w:val="231098C6"/>
    <w:rsid w:val="23189FB8"/>
    <w:rsid w:val="231D116F"/>
    <w:rsid w:val="232C7228"/>
    <w:rsid w:val="2334588A"/>
    <w:rsid w:val="23352A19"/>
    <w:rsid w:val="233958B3"/>
    <w:rsid w:val="2344A502"/>
    <w:rsid w:val="234586C6"/>
    <w:rsid w:val="2345E799"/>
    <w:rsid w:val="2347E063"/>
    <w:rsid w:val="23669252"/>
    <w:rsid w:val="236D020E"/>
    <w:rsid w:val="23790E3C"/>
    <w:rsid w:val="23923B9B"/>
    <w:rsid w:val="23A7A182"/>
    <w:rsid w:val="23AFC998"/>
    <w:rsid w:val="23BECFB0"/>
    <w:rsid w:val="23C15D33"/>
    <w:rsid w:val="23D7D32B"/>
    <w:rsid w:val="23DFB933"/>
    <w:rsid w:val="23EF4AF0"/>
    <w:rsid w:val="2403A9F9"/>
    <w:rsid w:val="240DDB58"/>
    <w:rsid w:val="24110F5B"/>
    <w:rsid w:val="24157E4C"/>
    <w:rsid w:val="2418D6CB"/>
    <w:rsid w:val="24226716"/>
    <w:rsid w:val="2435D7DD"/>
    <w:rsid w:val="243C7B5F"/>
    <w:rsid w:val="2441465D"/>
    <w:rsid w:val="24448833"/>
    <w:rsid w:val="244D86F8"/>
    <w:rsid w:val="2451D6F6"/>
    <w:rsid w:val="24567D8D"/>
    <w:rsid w:val="245C2040"/>
    <w:rsid w:val="245D15D8"/>
    <w:rsid w:val="24621A92"/>
    <w:rsid w:val="2465F0C6"/>
    <w:rsid w:val="2468CDF7"/>
    <w:rsid w:val="24706391"/>
    <w:rsid w:val="24712465"/>
    <w:rsid w:val="2494D81F"/>
    <w:rsid w:val="249E9914"/>
    <w:rsid w:val="24B45574"/>
    <w:rsid w:val="24C0B39D"/>
    <w:rsid w:val="24C97FB5"/>
    <w:rsid w:val="24CDA05E"/>
    <w:rsid w:val="24CDA78B"/>
    <w:rsid w:val="24D0B329"/>
    <w:rsid w:val="24D266B5"/>
    <w:rsid w:val="24D64159"/>
    <w:rsid w:val="24DE1128"/>
    <w:rsid w:val="24E1B3FD"/>
    <w:rsid w:val="24E53057"/>
    <w:rsid w:val="24EBF12C"/>
    <w:rsid w:val="24EE46ED"/>
    <w:rsid w:val="24F1411F"/>
    <w:rsid w:val="24F7DC52"/>
    <w:rsid w:val="24FF7747"/>
    <w:rsid w:val="250712AB"/>
    <w:rsid w:val="250FD4D2"/>
    <w:rsid w:val="25137AFE"/>
    <w:rsid w:val="2513C528"/>
    <w:rsid w:val="2526EC0A"/>
    <w:rsid w:val="25368B3F"/>
    <w:rsid w:val="2540C31A"/>
    <w:rsid w:val="2544C814"/>
    <w:rsid w:val="254CEBAE"/>
    <w:rsid w:val="254D2CCC"/>
    <w:rsid w:val="2550AB9B"/>
    <w:rsid w:val="2553E7C4"/>
    <w:rsid w:val="25552B3B"/>
    <w:rsid w:val="25575916"/>
    <w:rsid w:val="255C2C93"/>
    <w:rsid w:val="25724B40"/>
    <w:rsid w:val="2572513E"/>
    <w:rsid w:val="25732064"/>
    <w:rsid w:val="257551F3"/>
    <w:rsid w:val="258838E5"/>
    <w:rsid w:val="258BBF64"/>
    <w:rsid w:val="25A93A36"/>
    <w:rsid w:val="25AFF0F6"/>
    <w:rsid w:val="25B658BB"/>
    <w:rsid w:val="25B68F59"/>
    <w:rsid w:val="25B8CE5C"/>
    <w:rsid w:val="25B8E183"/>
    <w:rsid w:val="25B99CD2"/>
    <w:rsid w:val="25BC968A"/>
    <w:rsid w:val="25BCEEF5"/>
    <w:rsid w:val="25D38708"/>
    <w:rsid w:val="25E2399E"/>
    <w:rsid w:val="25E6C858"/>
    <w:rsid w:val="25EFEED8"/>
    <w:rsid w:val="25F76638"/>
    <w:rsid w:val="2604C35C"/>
    <w:rsid w:val="260DB971"/>
    <w:rsid w:val="261A681B"/>
    <w:rsid w:val="261BDD71"/>
    <w:rsid w:val="261C56EE"/>
    <w:rsid w:val="26277D83"/>
    <w:rsid w:val="26308971"/>
    <w:rsid w:val="26329F5E"/>
    <w:rsid w:val="264580D3"/>
    <w:rsid w:val="264C1B22"/>
    <w:rsid w:val="264CB42A"/>
    <w:rsid w:val="2663AF0D"/>
    <w:rsid w:val="266BBC16"/>
    <w:rsid w:val="267BA3A7"/>
    <w:rsid w:val="2685F9E0"/>
    <w:rsid w:val="2693F8E2"/>
    <w:rsid w:val="269ABC12"/>
    <w:rsid w:val="26A15FB2"/>
    <w:rsid w:val="26B13EFB"/>
    <w:rsid w:val="26B6C384"/>
    <w:rsid w:val="26C029FA"/>
    <w:rsid w:val="26C0C069"/>
    <w:rsid w:val="26C21EC2"/>
    <w:rsid w:val="26C78967"/>
    <w:rsid w:val="26CDB2B4"/>
    <w:rsid w:val="26DF962F"/>
    <w:rsid w:val="26E09875"/>
    <w:rsid w:val="26E54886"/>
    <w:rsid w:val="26F4F96B"/>
    <w:rsid w:val="26FF1A6E"/>
    <w:rsid w:val="2700D241"/>
    <w:rsid w:val="270412B3"/>
    <w:rsid w:val="27088800"/>
    <w:rsid w:val="270AE373"/>
    <w:rsid w:val="270C7DF0"/>
    <w:rsid w:val="27112B28"/>
    <w:rsid w:val="271CE6D8"/>
    <w:rsid w:val="27285627"/>
    <w:rsid w:val="272C8B52"/>
    <w:rsid w:val="273CB3D4"/>
    <w:rsid w:val="273E93E5"/>
    <w:rsid w:val="274391B9"/>
    <w:rsid w:val="2743FD88"/>
    <w:rsid w:val="27457C1A"/>
    <w:rsid w:val="27458C59"/>
    <w:rsid w:val="2745D7C9"/>
    <w:rsid w:val="275D34CA"/>
    <w:rsid w:val="275E9A5D"/>
    <w:rsid w:val="276D6055"/>
    <w:rsid w:val="276F03A1"/>
    <w:rsid w:val="2777A280"/>
    <w:rsid w:val="27864DF0"/>
    <w:rsid w:val="278A255A"/>
    <w:rsid w:val="27931AB0"/>
    <w:rsid w:val="2795FE82"/>
    <w:rsid w:val="27981C2A"/>
    <w:rsid w:val="27A4C03C"/>
    <w:rsid w:val="27A74451"/>
    <w:rsid w:val="27A8184A"/>
    <w:rsid w:val="27B34585"/>
    <w:rsid w:val="27B56AA5"/>
    <w:rsid w:val="27BCC16A"/>
    <w:rsid w:val="27BED6CA"/>
    <w:rsid w:val="27D5AE63"/>
    <w:rsid w:val="27E0B89D"/>
    <w:rsid w:val="27E76227"/>
    <w:rsid w:val="27F977B8"/>
    <w:rsid w:val="28041D9A"/>
    <w:rsid w:val="28092294"/>
    <w:rsid w:val="280B2417"/>
    <w:rsid w:val="280B65AD"/>
    <w:rsid w:val="28120855"/>
    <w:rsid w:val="2812A729"/>
    <w:rsid w:val="282D6A16"/>
    <w:rsid w:val="2832F6AB"/>
    <w:rsid w:val="2834E9E3"/>
    <w:rsid w:val="28413782"/>
    <w:rsid w:val="2848D62A"/>
    <w:rsid w:val="284C6A3F"/>
    <w:rsid w:val="284D8C7C"/>
    <w:rsid w:val="285A9E51"/>
    <w:rsid w:val="2861262E"/>
    <w:rsid w:val="2862CBB5"/>
    <w:rsid w:val="28648A0F"/>
    <w:rsid w:val="287032F1"/>
    <w:rsid w:val="2880EDE3"/>
    <w:rsid w:val="2881213A"/>
    <w:rsid w:val="288988AB"/>
    <w:rsid w:val="288D02BD"/>
    <w:rsid w:val="28929DF6"/>
    <w:rsid w:val="2894E7ED"/>
    <w:rsid w:val="28A385FC"/>
    <w:rsid w:val="28A62A93"/>
    <w:rsid w:val="28A7BA15"/>
    <w:rsid w:val="28A923D6"/>
    <w:rsid w:val="28AFF662"/>
    <w:rsid w:val="28B4A555"/>
    <w:rsid w:val="28C08042"/>
    <w:rsid w:val="28C908FE"/>
    <w:rsid w:val="28CED5BB"/>
    <w:rsid w:val="28CF3768"/>
    <w:rsid w:val="28E97E7F"/>
    <w:rsid w:val="28FD8323"/>
    <w:rsid w:val="28FEF60B"/>
    <w:rsid w:val="29033DAC"/>
    <w:rsid w:val="291327EA"/>
    <w:rsid w:val="2915C897"/>
    <w:rsid w:val="29180DB9"/>
    <w:rsid w:val="291E9E53"/>
    <w:rsid w:val="291F2A67"/>
    <w:rsid w:val="292AEC69"/>
    <w:rsid w:val="292D4230"/>
    <w:rsid w:val="2934766E"/>
    <w:rsid w:val="2948BEAE"/>
    <w:rsid w:val="294D34E4"/>
    <w:rsid w:val="2950EC3E"/>
    <w:rsid w:val="295208DD"/>
    <w:rsid w:val="29578E92"/>
    <w:rsid w:val="2959DAAD"/>
    <w:rsid w:val="295AE314"/>
    <w:rsid w:val="296082A2"/>
    <w:rsid w:val="296AF3E2"/>
    <w:rsid w:val="296BD2C4"/>
    <w:rsid w:val="296CC7C5"/>
    <w:rsid w:val="296FEE8A"/>
    <w:rsid w:val="2975F489"/>
    <w:rsid w:val="297AC570"/>
    <w:rsid w:val="297C400F"/>
    <w:rsid w:val="299646CB"/>
    <w:rsid w:val="29970405"/>
    <w:rsid w:val="299928D0"/>
    <w:rsid w:val="29A68E98"/>
    <w:rsid w:val="29A87ECA"/>
    <w:rsid w:val="29A8FBBA"/>
    <w:rsid w:val="29ACA339"/>
    <w:rsid w:val="29B00916"/>
    <w:rsid w:val="29B8B200"/>
    <w:rsid w:val="29BBEAE8"/>
    <w:rsid w:val="29C151E6"/>
    <w:rsid w:val="29C5117B"/>
    <w:rsid w:val="29CD0E7F"/>
    <w:rsid w:val="29D8B548"/>
    <w:rsid w:val="29DDBD90"/>
    <w:rsid w:val="29DE531A"/>
    <w:rsid w:val="2A01A268"/>
    <w:rsid w:val="2A06AACC"/>
    <w:rsid w:val="2A0AAE4C"/>
    <w:rsid w:val="2A0EED99"/>
    <w:rsid w:val="2A1A051F"/>
    <w:rsid w:val="2A271F8A"/>
    <w:rsid w:val="2A306AF5"/>
    <w:rsid w:val="2A313D71"/>
    <w:rsid w:val="2A3F35CA"/>
    <w:rsid w:val="2A493E8D"/>
    <w:rsid w:val="2A4BDA08"/>
    <w:rsid w:val="2A5A233D"/>
    <w:rsid w:val="2A5CEB87"/>
    <w:rsid w:val="2A5EB909"/>
    <w:rsid w:val="2A82BBD6"/>
    <w:rsid w:val="2A850924"/>
    <w:rsid w:val="2A85B030"/>
    <w:rsid w:val="2A890CF4"/>
    <w:rsid w:val="2A91D5C8"/>
    <w:rsid w:val="2A940FD2"/>
    <w:rsid w:val="2A9D63C3"/>
    <w:rsid w:val="2AAADF0E"/>
    <w:rsid w:val="2AC1D9B6"/>
    <w:rsid w:val="2AC5E437"/>
    <w:rsid w:val="2AD6AB00"/>
    <w:rsid w:val="2AD8B40F"/>
    <w:rsid w:val="2ADA8173"/>
    <w:rsid w:val="2AE5071D"/>
    <w:rsid w:val="2AE69602"/>
    <w:rsid w:val="2AE7E2A1"/>
    <w:rsid w:val="2AEC033F"/>
    <w:rsid w:val="2AF5C37D"/>
    <w:rsid w:val="2AF6DBC2"/>
    <w:rsid w:val="2B1993B9"/>
    <w:rsid w:val="2B1F0C5E"/>
    <w:rsid w:val="2B2CD04D"/>
    <w:rsid w:val="2B2D99B7"/>
    <w:rsid w:val="2B2E7039"/>
    <w:rsid w:val="2B3524DB"/>
    <w:rsid w:val="2B38A259"/>
    <w:rsid w:val="2B40B4BC"/>
    <w:rsid w:val="2B4759B3"/>
    <w:rsid w:val="2B4EEBAE"/>
    <w:rsid w:val="2B5AC5D4"/>
    <w:rsid w:val="2B5DBE67"/>
    <w:rsid w:val="2B617A55"/>
    <w:rsid w:val="2B6ED883"/>
    <w:rsid w:val="2B728882"/>
    <w:rsid w:val="2B7916B6"/>
    <w:rsid w:val="2B79AFC3"/>
    <w:rsid w:val="2B913A5E"/>
    <w:rsid w:val="2B980B9C"/>
    <w:rsid w:val="2B9F4924"/>
    <w:rsid w:val="2BAF2A41"/>
    <w:rsid w:val="2BBB7604"/>
    <w:rsid w:val="2BD7E922"/>
    <w:rsid w:val="2BD85434"/>
    <w:rsid w:val="2BE005B7"/>
    <w:rsid w:val="2BE10766"/>
    <w:rsid w:val="2BE483DD"/>
    <w:rsid w:val="2BEA0074"/>
    <w:rsid w:val="2BEA3D71"/>
    <w:rsid w:val="2BF1A101"/>
    <w:rsid w:val="2BF22795"/>
    <w:rsid w:val="2BF5F39E"/>
    <w:rsid w:val="2BFA9013"/>
    <w:rsid w:val="2C0B0E8B"/>
    <w:rsid w:val="2C138B90"/>
    <w:rsid w:val="2C1BFB29"/>
    <w:rsid w:val="2C1BFFE4"/>
    <w:rsid w:val="2C1E8C37"/>
    <w:rsid w:val="2C41E8A2"/>
    <w:rsid w:val="2C518519"/>
    <w:rsid w:val="2C56F697"/>
    <w:rsid w:val="2C5D2C8B"/>
    <w:rsid w:val="2C66037A"/>
    <w:rsid w:val="2C66920B"/>
    <w:rsid w:val="2C678901"/>
    <w:rsid w:val="2C710AAD"/>
    <w:rsid w:val="2C776EE3"/>
    <w:rsid w:val="2C88C333"/>
    <w:rsid w:val="2C8937D4"/>
    <w:rsid w:val="2C893942"/>
    <w:rsid w:val="2C8ED568"/>
    <w:rsid w:val="2C9346F7"/>
    <w:rsid w:val="2C949609"/>
    <w:rsid w:val="2C94C4C7"/>
    <w:rsid w:val="2C9CDD13"/>
    <w:rsid w:val="2CA27832"/>
    <w:rsid w:val="2CC7C49B"/>
    <w:rsid w:val="2CD11A35"/>
    <w:rsid w:val="2CD73715"/>
    <w:rsid w:val="2CDBD2CD"/>
    <w:rsid w:val="2CE5F2EC"/>
    <w:rsid w:val="2CEAD821"/>
    <w:rsid w:val="2CF1D5D0"/>
    <w:rsid w:val="2CF49620"/>
    <w:rsid w:val="2CF70178"/>
    <w:rsid w:val="2CF76E6A"/>
    <w:rsid w:val="2D03B24E"/>
    <w:rsid w:val="2D064751"/>
    <w:rsid w:val="2D18A4AC"/>
    <w:rsid w:val="2D23FC32"/>
    <w:rsid w:val="2D2B0321"/>
    <w:rsid w:val="2D2E8B71"/>
    <w:rsid w:val="2D2F6C69"/>
    <w:rsid w:val="2D39FA53"/>
    <w:rsid w:val="2D4D56B5"/>
    <w:rsid w:val="2D55E762"/>
    <w:rsid w:val="2D6581A0"/>
    <w:rsid w:val="2D777BF0"/>
    <w:rsid w:val="2D77D601"/>
    <w:rsid w:val="2D7D9E68"/>
    <w:rsid w:val="2D7E20E9"/>
    <w:rsid w:val="2D887B4C"/>
    <w:rsid w:val="2D8C0EB1"/>
    <w:rsid w:val="2D8E9DB4"/>
    <w:rsid w:val="2D95A3D5"/>
    <w:rsid w:val="2D95AA26"/>
    <w:rsid w:val="2D9B9541"/>
    <w:rsid w:val="2DA0D0CA"/>
    <w:rsid w:val="2DA8C635"/>
    <w:rsid w:val="2DAB26C8"/>
    <w:rsid w:val="2DBCEFA2"/>
    <w:rsid w:val="2DD194EE"/>
    <w:rsid w:val="2DE174A4"/>
    <w:rsid w:val="2DED3C8B"/>
    <w:rsid w:val="2DF34839"/>
    <w:rsid w:val="2E0A6E75"/>
    <w:rsid w:val="2E12FA07"/>
    <w:rsid w:val="2E1C75A3"/>
    <w:rsid w:val="2E23C4E0"/>
    <w:rsid w:val="2E47284A"/>
    <w:rsid w:val="2E48EBE9"/>
    <w:rsid w:val="2E4C70D4"/>
    <w:rsid w:val="2E53CDE0"/>
    <w:rsid w:val="2E5D6FED"/>
    <w:rsid w:val="2E62F3D3"/>
    <w:rsid w:val="2E6CEA96"/>
    <w:rsid w:val="2E83DD73"/>
    <w:rsid w:val="2E993D7B"/>
    <w:rsid w:val="2EA292D3"/>
    <w:rsid w:val="2EBB431A"/>
    <w:rsid w:val="2EBDF27F"/>
    <w:rsid w:val="2EC56B01"/>
    <w:rsid w:val="2EDDCF02"/>
    <w:rsid w:val="2EEC3764"/>
    <w:rsid w:val="2EF1FBF6"/>
    <w:rsid w:val="2EFA90AD"/>
    <w:rsid w:val="2EFF199C"/>
    <w:rsid w:val="2F14E27E"/>
    <w:rsid w:val="2F1635EC"/>
    <w:rsid w:val="2F1CEF13"/>
    <w:rsid w:val="2F21E430"/>
    <w:rsid w:val="2F2452D7"/>
    <w:rsid w:val="2F2D6823"/>
    <w:rsid w:val="2F308F7B"/>
    <w:rsid w:val="2F317436"/>
    <w:rsid w:val="2F36FFF5"/>
    <w:rsid w:val="2F5A283C"/>
    <w:rsid w:val="2F6A7F50"/>
    <w:rsid w:val="2F6EB69C"/>
    <w:rsid w:val="2F7424AB"/>
    <w:rsid w:val="2F8016D7"/>
    <w:rsid w:val="2F83B11F"/>
    <w:rsid w:val="2F90CF0C"/>
    <w:rsid w:val="2F99D1C1"/>
    <w:rsid w:val="2FA3E3E9"/>
    <w:rsid w:val="2FA3EB73"/>
    <w:rsid w:val="2FA6F925"/>
    <w:rsid w:val="2FB4BAF7"/>
    <w:rsid w:val="2FB84FD2"/>
    <w:rsid w:val="2FB8C836"/>
    <w:rsid w:val="2FD5627A"/>
    <w:rsid w:val="2FD83959"/>
    <w:rsid w:val="2FE199BF"/>
    <w:rsid w:val="2FE28A61"/>
    <w:rsid w:val="2FE3BF85"/>
    <w:rsid w:val="2FE4C129"/>
    <w:rsid w:val="2FECAD95"/>
    <w:rsid w:val="2FF8301D"/>
    <w:rsid w:val="2FFE169B"/>
    <w:rsid w:val="30016AC7"/>
    <w:rsid w:val="3001B662"/>
    <w:rsid w:val="30088A8F"/>
    <w:rsid w:val="30091814"/>
    <w:rsid w:val="301F8E63"/>
    <w:rsid w:val="30327E2E"/>
    <w:rsid w:val="3033D6B7"/>
    <w:rsid w:val="303B8192"/>
    <w:rsid w:val="30546AB0"/>
    <w:rsid w:val="305D329C"/>
    <w:rsid w:val="3063F74A"/>
    <w:rsid w:val="306B6611"/>
    <w:rsid w:val="306B7CBF"/>
    <w:rsid w:val="30778EDC"/>
    <w:rsid w:val="307CA0EB"/>
    <w:rsid w:val="30820D8D"/>
    <w:rsid w:val="308995D4"/>
    <w:rsid w:val="308DAB7B"/>
    <w:rsid w:val="309C2B5B"/>
    <w:rsid w:val="309DAFDB"/>
    <w:rsid w:val="30A23592"/>
    <w:rsid w:val="30A81809"/>
    <w:rsid w:val="30A98288"/>
    <w:rsid w:val="30B2D096"/>
    <w:rsid w:val="30B49D33"/>
    <w:rsid w:val="30B4ECD4"/>
    <w:rsid w:val="30B618F2"/>
    <w:rsid w:val="30BC85A1"/>
    <w:rsid w:val="30BE62EC"/>
    <w:rsid w:val="30C52217"/>
    <w:rsid w:val="30D49B9B"/>
    <w:rsid w:val="30E4C401"/>
    <w:rsid w:val="30F07E16"/>
    <w:rsid w:val="30F1C326"/>
    <w:rsid w:val="310C1144"/>
    <w:rsid w:val="310E2001"/>
    <w:rsid w:val="310FFA33"/>
    <w:rsid w:val="3114D2B0"/>
    <w:rsid w:val="311547A2"/>
    <w:rsid w:val="3129CC2D"/>
    <w:rsid w:val="313A9458"/>
    <w:rsid w:val="31498E6A"/>
    <w:rsid w:val="314DB507"/>
    <w:rsid w:val="315D1AC2"/>
    <w:rsid w:val="315F0FDC"/>
    <w:rsid w:val="31616DE0"/>
    <w:rsid w:val="316C92F6"/>
    <w:rsid w:val="31808C7C"/>
    <w:rsid w:val="31860223"/>
    <w:rsid w:val="319B9422"/>
    <w:rsid w:val="31A0E2C1"/>
    <w:rsid w:val="31A9BB3A"/>
    <w:rsid w:val="31AC1265"/>
    <w:rsid w:val="31AF4D7E"/>
    <w:rsid w:val="31BA1814"/>
    <w:rsid w:val="31C9419E"/>
    <w:rsid w:val="31DCF7E3"/>
    <w:rsid w:val="31E3063A"/>
    <w:rsid w:val="31E3A566"/>
    <w:rsid w:val="31F9E30E"/>
    <w:rsid w:val="31FB1FB9"/>
    <w:rsid w:val="31FC2DC0"/>
    <w:rsid w:val="32008E0A"/>
    <w:rsid w:val="320FFE9C"/>
    <w:rsid w:val="321D092C"/>
    <w:rsid w:val="322193AC"/>
    <w:rsid w:val="322225CB"/>
    <w:rsid w:val="32284773"/>
    <w:rsid w:val="322B89CF"/>
    <w:rsid w:val="3246015F"/>
    <w:rsid w:val="3249C2B4"/>
    <w:rsid w:val="324CA06C"/>
    <w:rsid w:val="324F5039"/>
    <w:rsid w:val="32663F5C"/>
    <w:rsid w:val="326B40ED"/>
    <w:rsid w:val="327279B2"/>
    <w:rsid w:val="327E1146"/>
    <w:rsid w:val="327E30C1"/>
    <w:rsid w:val="328F1795"/>
    <w:rsid w:val="32A6D22F"/>
    <w:rsid w:val="32B22B01"/>
    <w:rsid w:val="32C15EFF"/>
    <w:rsid w:val="32C5E22B"/>
    <w:rsid w:val="32D492D2"/>
    <w:rsid w:val="32EDD53A"/>
    <w:rsid w:val="32F64642"/>
    <w:rsid w:val="3305BBFE"/>
    <w:rsid w:val="330C8D9B"/>
    <w:rsid w:val="3322155E"/>
    <w:rsid w:val="3325FAF6"/>
    <w:rsid w:val="3329743C"/>
    <w:rsid w:val="33389B39"/>
    <w:rsid w:val="333B7882"/>
    <w:rsid w:val="333BCA77"/>
    <w:rsid w:val="33477142"/>
    <w:rsid w:val="334B1794"/>
    <w:rsid w:val="3358AACF"/>
    <w:rsid w:val="336A7B9F"/>
    <w:rsid w:val="336B7779"/>
    <w:rsid w:val="337187CC"/>
    <w:rsid w:val="3378D8F8"/>
    <w:rsid w:val="337A9F60"/>
    <w:rsid w:val="338555DE"/>
    <w:rsid w:val="3397251E"/>
    <w:rsid w:val="33A5CA31"/>
    <w:rsid w:val="33A5F320"/>
    <w:rsid w:val="33B365AF"/>
    <w:rsid w:val="33B3F820"/>
    <w:rsid w:val="33B8482C"/>
    <w:rsid w:val="33B8E9C4"/>
    <w:rsid w:val="33C1AE0D"/>
    <w:rsid w:val="33C2BF44"/>
    <w:rsid w:val="33C556ED"/>
    <w:rsid w:val="33C5ABA3"/>
    <w:rsid w:val="33E44A3A"/>
    <w:rsid w:val="33EA739A"/>
    <w:rsid w:val="33F190BD"/>
    <w:rsid w:val="33F568A1"/>
    <w:rsid w:val="33F971D4"/>
    <w:rsid w:val="33F9E707"/>
    <w:rsid w:val="3426A6A6"/>
    <w:rsid w:val="343CD309"/>
    <w:rsid w:val="343EDA71"/>
    <w:rsid w:val="34436304"/>
    <w:rsid w:val="34449B0A"/>
    <w:rsid w:val="3445BFBE"/>
    <w:rsid w:val="3448D841"/>
    <w:rsid w:val="34520ED2"/>
    <w:rsid w:val="34527DBD"/>
    <w:rsid w:val="345C5E38"/>
    <w:rsid w:val="3467A793"/>
    <w:rsid w:val="34684AC9"/>
    <w:rsid w:val="34717B5F"/>
    <w:rsid w:val="34749553"/>
    <w:rsid w:val="34755FE8"/>
    <w:rsid w:val="347AC524"/>
    <w:rsid w:val="3480D01D"/>
    <w:rsid w:val="3485715D"/>
    <w:rsid w:val="3488E5C9"/>
    <w:rsid w:val="348AB540"/>
    <w:rsid w:val="3493A06E"/>
    <w:rsid w:val="349D3781"/>
    <w:rsid w:val="34A8EB1D"/>
    <w:rsid w:val="34B2576E"/>
    <w:rsid w:val="34BE768B"/>
    <w:rsid w:val="34CC5D80"/>
    <w:rsid w:val="34D46B9A"/>
    <w:rsid w:val="34DE1159"/>
    <w:rsid w:val="34E2C356"/>
    <w:rsid w:val="34E6CF62"/>
    <w:rsid w:val="3512D33A"/>
    <w:rsid w:val="35330B30"/>
    <w:rsid w:val="35367E4F"/>
    <w:rsid w:val="353B9023"/>
    <w:rsid w:val="353D0721"/>
    <w:rsid w:val="3541F46E"/>
    <w:rsid w:val="354A117A"/>
    <w:rsid w:val="35566EDC"/>
    <w:rsid w:val="3557ABE7"/>
    <w:rsid w:val="3565334C"/>
    <w:rsid w:val="356B86CE"/>
    <w:rsid w:val="3589D0CB"/>
    <w:rsid w:val="358D0A21"/>
    <w:rsid w:val="35904D00"/>
    <w:rsid w:val="35A0CEF6"/>
    <w:rsid w:val="35A1A85D"/>
    <w:rsid w:val="35A58675"/>
    <w:rsid w:val="35AC63B3"/>
    <w:rsid w:val="35BCCB1F"/>
    <w:rsid w:val="35C3C92C"/>
    <w:rsid w:val="35DB13D6"/>
    <w:rsid w:val="35DB8FBF"/>
    <w:rsid w:val="35DE31D4"/>
    <w:rsid w:val="35DEC036"/>
    <w:rsid w:val="35E1986F"/>
    <w:rsid w:val="35E62CAA"/>
    <w:rsid w:val="35EE4E1E"/>
    <w:rsid w:val="35F41D87"/>
    <w:rsid w:val="35F7E412"/>
    <w:rsid w:val="3609C181"/>
    <w:rsid w:val="3613A557"/>
    <w:rsid w:val="3616AAC4"/>
    <w:rsid w:val="361B8EB6"/>
    <w:rsid w:val="361E291E"/>
    <w:rsid w:val="36225128"/>
    <w:rsid w:val="36359B42"/>
    <w:rsid w:val="36399151"/>
    <w:rsid w:val="363BA08F"/>
    <w:rsid w:val="36443923"/>
    <w:rsid w:val="364E001F"/>
    <w:rsid w:val="3651D39E"/>
    <w:rsid w:val="365F28C0"/>
    <w:rsid w:val="3671690C"/>
    <w:rsid w:val="36763496"/>
    <w:rsid w:val="367D2E1C"/>
    <w:rsid w:val="3697FBD9"/>
    <w:rsid w:val="36A3183B"/>
    <w:rsid w:val="36A6C6D9"/>
    <w:rsid w:val="36BDA622"/>
    <w:rsid w:val="36C41F39"/>
    <w:rsid w:val="36CA5EE0"/>
    <w:rsid w:val="36CEE026"/>
    <w:rsid w:val="36D72D47"/>
    <w:rsid w:val="36DB8A34"/>
    <w:rsid w:val="36DD93E2"/>
    <w:rsid w:val="36E24C46"/>
    <w:rsid w:val="36E99832"/>
    <w:rsid w:val="36F43366"/>
    <w:rsid w:val="36FFE89D"/>
    <w:rsid w:val="37063891"/>
    <w:rsid w:val="37125C9E"/>
    <w:rsid w:val="37194034"/>
    <w:rsid w:val="372036EF"/>
    <w:rsid w:val="37219C05"/>
    <w:rsid w:val="372CC923"/>
    <w:rsid w:val="37304787"/>
    <w:rsid w:val="3730B5B8"/>
    <w:rsid w:val="373BCBFA"/>
    <w:rsid w:val="373F54C7"/>
    <w:rsid w:val="3745442A"/>
    <w:rsid w:val="374E2A1E"/>
    <w:rsid w:val="374FE060"/>
    <w:rsid w:val="3753F128"/>
    <w:rsid w:val="3755E858"/>
    <w:rsid w:val="375D07CA"/>
    <w:rsid w:val="3763B585"/>
    <w:rsid w:val="3763BDC8"/>
    <w:rsid w:val="3763EB7A"/>
    <w:rsid w:val="3764489A"/>
    <w:rsid w:val="376530B9"/>
    <w:rsid w:val="37723A71"/>
    <w:rsid w:val="37776B74"/>
    <w:rsid w:val="378A8C97"/>
    <w:rsid w:val="37964D5B"/>
    <w:rsid w:val="37B16A45"/>
    <w:rsid w:val="37B3C8B1"/>
    <w:rsid w:val="37B421CE"/>
    <w:rsid w:val="37C58126"/>
    <w:rsid w:val="37C61DBE"/>
    <w:rsid w:val="37C8F958"/>
    <w:rsid w:val="37C9D677"/>
    <w:rsid w:val="37D225BE"/>
    <w:rsid w:val="37DFF028"/>
    <w:rsid w:val="38023400"/>
    <w:rsid w:val="380CCD87"/>
    <w:rsid w:val="3813D13C"/>
    <w:rsid w:val="38268750"/>
    <w:rsid w:val="3833CC3A"/>
    <w:rsid w:val="3837D743"/>
    <w:rsid w:val="383AABA0"/>
    <w:rsid w:val="38496DD5"/>
    <w:rsid w:val="384CA38B"/>
    <w:rsid w:val="385EC4CB"/>
    <w:rsid w:val="385EFAB2"/>
    <w:rsid w:val="386772D5"/>
    <w:rsid w:val="38752859"/>
    <w:rsid w:val="3880865D"/>
    <w:rsid w:val="388E5B7B"/>
    <w:rsid w:val="388F6B66"/>
    <w:rsid w:val="38950CA6"/>
    <w:rsid w:val="38975D15"/>
    <w:rsid w:val="38A3034F"/>
    <w:rsid w:val="38ADBAB3"/>
    <w:rsid w:val="38B84BC3"/>
    <w:rsid w:val="38BC0750"/>
    <w:rsid w:val="38C372DB"/>
    <w:rsid w:val="38D2E393"/>
    <w:rsid w:val="38D778DB"/>
    <w:rsid w:val="38DE2E15"/>
    <w:rsid w:val="38E26150"/>
    <w:rsid w:val="38EAC970"/>
    <w:rsid w:val="3906C46A"/>
    <w:rsid w:val="39113BBF"/>
    <w:rsid w:val="3916DB28"/>
    <w:rsid w:val="391818F7"/>
    <w:rsid w:val="3928E247"/>
    <w:rsid w:val="392A259E"/>
    <w:rsid w:val="393A2C3F"/>
    <w:rsid w:val="393D0EDD"/>
    <w:rsid w:val="393E6996"/>
    <w:rsid w:val="3943F25B"/>
    <w:rsid w:val="3944B8FA"/>
    <w:rsid w:val="394D4EDC"/>
    <w:rsid w:val="395EB03B"/>
    <w:rsid w:val="39629138"/>
    <w:rsid w:val="3964ECD2"/>
    <w:rsid w:val="3967BCAB"/>
    <w:rsid w:val="396D8E36"/>
    <w:rsid w:val="3982AEC8"/>
    <w:rsid w:val="39A4DA45"/>
    <w:rsid w:val="39A8A8E1"/>
    <w:rsid w:val="39C6A659"/>
    <w:rsid w:val="39CB47A4"/>
    <w:rsid w:val="39CD655F"/>
    <w:rsid w:val="39CF9C9B"/>
    <w:rsid w:val="39D12A41"/>
    <w:rsid w:val="39D5E9D4"/>
    <w:rsid w:val="39D9DE6A"/>
    <w:rsid w:val="39DA5021"/>
    <w:rsid w:val="39E6CCBA"/>
    <w:rsid w:val="39EA1504"/>
    <w:rsid w:val="39EC98BC"/>
    <w:rsid w:val="39FD293F"/>
    <w:rsid w:val="39FF5077"/>
    <w:rsid w:val="3A0AE37F"/>
    <w:rsid w:val="3A0D10E5"/>
    <w:rsid w:val="3A1534A4"/>
    <w:rsid w:val="3A1CF131"/>
    <w:rsid w:val="3A1F089A"/>
    <w:rsid w:val="3A21E941"/>
    <w:rsid w:val="3A3C1A19"/>
    <w:rsid w:val="3A3C28AA"/>
    <w:rsid w:val="3A473C62"/>
    <w:rsid w:val="3A4B6753"/>
    <w:rsid w:val="3A531496"/>
    <w:rsid w:val="3A64A8F6"/>
    <w:rsid w:val="3A68CA34"/>
    <w:rsid w:val="3A6CE395"/>
    <w:rsid w:val="3A75667A"/>
    <w:rsid w:val="3A831748"/>
    <w:rsid w:val="3A8D9AA8"/>
    <w:rsid w:val="3A8EABCD"/>
    <w:rsid w:val="3A91F6E8"/>
    <w:rsid w:val="3A9EE5EE"/>
    <w:rsid w:val="3AA94B13"/>
    <w:rsid w:val="3AAC9B15"/>
    <w:rsid w:val="3AB27AED"/>
    <w:rsid w:val="3ABB79DE"/>
    <w:rsid w:val="3AD3533E"/>
    <w:rsid w:val="3AE7000F"/>
    <w:rsid w:val="3B0B4A6A"/>
    <w:rsid w:val="3B0FF654"/>
    <w:rsid w:val="3B1196CE"/>
    <w:rsid w:val="3B206C0E"/>
    <w:rsid w:val="3B263DBC"/>
    <w:rsid w:val="3B2A9D33"/>
    <w:rsid w:val="3B2C01D6"/>
    <w:rsid w:val="3B35147B"/>
    <w:rsid w:val="3B4455D8"/>
    <w:rsid w:val="3B4A8D13"/>
    <w:rsid w:val="3B5B25DA"/>
    <w:rsid w:val="3B5C68C4"/>
    <w:rsid w:val="3B66C131"/>
    <w:rsid w:val="3B69A9CA"/>
    <w:rsid w:val="3B6AE31D"/>
    <w:rsid w:val="3B6E89BC"/>
    <w:rsid w:val="3B6FDE62"/>
    <w:rsid w:val="3B707610"/>
    <w:rsid w:val="3B73797F"/>
    <w:rsid w:val="3B78619C"/>
    <w:rsid w:val="3B7F6329"/>
    <w:rsid w:val="3B802271"/>
    <w:rsid w:val="3BB429D2"/>
    <w:rsid w:val="3BBC12F4"/>
    <w:rsid w:val="3BC22F09"/>
    <w:rsid w:val="3BEF801F"/>
    <w:rsid w:val="3BF09466"/>
    <w:rsid w:val="3C04C16F"/>
    <w:rsid w:val="3C20E325"/>
    <w:rsid w:val="3C2FC3E7"/>
    <w:rsid w:val="3C36E4DC"/>
    <w:rsid w:val="3C47CA52"/>
    <w:rsid w:val="3C59BF0B"/>
    <w:rsid w:val="3C5D0E91"/>
    <w:rsid w:val="3C761E79"/>
    <w:rsid w:val="3C7CD66B"/>
    <w:rsid w:val="3C823442"/>
    <w:rsid w:val="3C8F4394"/>
    <w:rsid w:val="3C91DD24"/>
    <w:rsid w:val="3C9BB334"/>
    <w:rsid w:val="3C9FC3BB"/>
    <w:rsid w:val="3CABD3FB"/>
    <w:rsid w:val="3CB73D7E"/>
    <w:rsid w:val="3CBB48FD"/>
    <w:rsid w:val="3CC6B61E"/>
    <w:rsid w:val="3CCD1AE0"/>
    <w:rsid w:val="3CCDC8E3"/>
    <w:rsid w:val="3CD6BCF8"/>
    <w:rsid w:val="3CE72A96"/>
    <w:rsid w:val="3CF019A4"/>
    <w:rsid w:val="3CF524C2"/>
    <w:rsid w:val="3D00E87B"/>
    <w:rsid w:val="3D0B1135"/>
    <w:rsid w:val="3D0D5A5F"/>
    <w:rsid w:val="3D11D591"/>
    <w:rsid w:val="3D29F156"/>
    <w:rsid w:val="3D4C5D32"/>
    <w:rsid w:val="3D57B02C"/>
    <w:rsid w:val="3D68F16C"/>
    <w:rsid w:val="3D710D6D"/>
    <w:rsid w:val="3D759382"/>
    <w:rsid w:val="3D7BE587"/>
    <w:rsid w:val="3D8206D3"/>
    <w:rsid w:val="3D957B4B"/>
    <w:rsid w:val="3D9F5140"/>
    <w:rsid w:val="3DA9BF40"/>
    <w:rsid w:val="3DB4C90D"/>
    <w:rsid w:val="3DB88411"/>
    <w:rsid w:val="3DD1A1EB"/>
    <w:rsid w:val="3DD9D03C"/>
    <w:rsid w:val="3DDE6C01"/>
    <w:rsid w:val="3DE3E851"/>
    <w:rsid w:val="3DFE43C8"/>
    <w:rsid w:val="3E029348"/>
    <w:rsid w:val="3E085E23"/>
    <w:rsid w:val="3E0D2D41"/>
    <w:rsid w:val="3E1F3A4B"/>
    <w:rsid w:val="3E28BFEF"/>
    <w:rsid w:val="3E294505"/>
    <w:rsid w:val="3E2B0AE3"/>
    <w:rsid w:val="3E442605"/>
    <w:rsid w:val="3E46B506"/>
    <w:rsid w:val="3E56977C"/>
    <w:rsid w:val="3E681ABB"/>
    <w:rsid w:val="3E689435"/>
    <w:rsid w:val="3E6DD7A1"/>
    <w:rsid w:val="3E78747E"/>
    <w:rsid w:val="3E8BE613"/>
    <w:rsid w:val="3E94FB3A"/>
    <w:rsid w:val="3E95BC08"/>
    <w:rsid w:val="3EA366D7"/>
    <w:rsid w:val="3EA43EB7"/>
    <w:rsid w:val="3EA43EDF"/>
    <w:rsid w:val="3EA7F94F"/>
    <w:rsid w:val="3EA921D8"/>
    <w:rsid w:val="3EA95AF7"/>
    <w:rsid w:val="3EAA5736"/>
    <w:rsid w:val="3EAE6DCD"/>
    <w:rsid w:val="3EB815CC"/>
    <w:rsid w:val="3EBA3DDD"/>
    <w:rsid w:val="3EC65754"/>
    <w:rsid w:val="3EDC28D9"/>
    <w:rsid w:val="3F0B8711"/>
    <w:rsid w:val="3F1BEA17"/>
    <w:rsid w:val="3F2CACFB"/>
    <w:rsid w:val="3F34CFE3"/>
    <w:rsid w:val="3F381D9E"/>
    <w:rsid w:val="3F440394"/>
    <w:rsid w:val="3F454BD7"/>
    <w:rsid w:val="3F45BFA9"/>
    <w:rsid w:val="3F46B871"/>
    <w:rsid w:val="3F5E6244"/>
    <w:rsid w:val="3F673674"/>
    <w:rsid w:val="3F7270C4"/>
    <w:rsid w:val="3F7B1CD1"/>
    <w:rsid w:val="3F8FF231"/>
    <w:rsid w:val="3F99E3CD"/>
    <w:rsid w:val="3F9DDE94"/>
    <w:rsid w:val="3FA4EEBD"/>
    <w:rsid w:val="3FBF0CAB"/>
    <w:rsid w:val="3FC260E4"/>
    <w:rsid w:val="3FC88B5B"/>
    <w:rsid w:val="3FD0D0FA"/>
    <w:rsid w:val="3FD31511"/>
    <w:rsid w:val="3FDB7E36"/>
    <w:rsid w:val="3FE6D373"/>
    <w:rsid w:val="3FF7D04A"/>
    <w:rsid w:val="3FF7EAFF"/>
    <w:rsid w:val="3FFEAE49"/>
    <w:rsid w:val="4004462C"/>
    <w:rsid w:val="4011E946"/>
    <w:rsid w:val="402F6D55"/>
    <w:rsid w:val="40332EB8"/>
    <w:rsid w:val="40380FDE"/>
    <w:rsid w:val="403A0D82"/>
    <w:rsid w:val="403C715A"/>
    <w:rsid w:val="403E2F8E"/>
    <w:rsid w:val="403E409B"/>
    <w:rsid w:val="40406B33"/>
    <w:rsid w:val="40584571"/>
    <w:rsid w:val="40673C8C"/>
    <w:rsid w:val="407FDF07"/>
    <w:rsid w:val="40841BA1"/>
    <w:rsid w:val="408679F6"/>
    <w:rsid w:val="408C4DFE"/>
    <w:rsid w:val="408E50DF"/>
    <w:rsid w:val="40A3A773"/>
    <w:rsid w:val="40AE7B68"/>
    <w:rsid w:val="40B34635"/>
    <w:rsid w:val="40B45171"/>
    <w:rsid w:val="40B4C2F5"/>
    <w:rsid w:val="40BCB51E"/>
    <w:rsid w:val="40C8304F"/>
    <w:rsid w:val="40D55D4F"/>
    <w:rsid w:val="40D66E49"/>
    <w:rsid w:val="40DC7B91"/>
    <w:rsid w:val="40DD1DBC"/>
    <w:rsid w:val="40DE7347"/>
    <w:rsid w:val="40F06CD4"/>
    <w:rsid w:val="40F1A563"/>
    <w:rsid w:val="40F5D073"/>
    <w:rsid w:val="40FAA674"/>
    <w:rsid w:val="4101284A"/>
    <w:rsid w:val="41080B32"/>
    <w:rsid w:val="410BD21B"/>
    <w:rsid w:val="410F5AA2"/>
    <w:rsid w:val="411AADF5"/>
    <w:rsid w:val="411B3A8F"/>
    <w:rsid w:val="411BC864"/>
    <w:rsid w:val="411E330A"/>
    <w:rsid w:val="4126D4DD"/>
    <w:rsid w:val="4128BB4E"/>
    <w:rsid w:val="412DBBA5"/>
    <w:rsid w:val="41392C67"/>
    <w:rsid w:val="413B1C78"/>
    <w:rsid w:val="41556B22"/>
    <w:rsid w:val="41566F8C"/>
    <w:rsid w:val="415BB2A2"/>
    <w:rsid w:val="4163813D"/>
    <w:rsid w:val="416B0E04"/>
    <w:rsid w:val="416B4B47"/>
    <w:rsid w:val="4171E018"/>
    <w:rsid w:val="417A99A7"/>
    <w:rsid w:val="418364EB"/>
    <w:rsid w:val="418CB3EC"/>
    <w:rsid w:val="41984016"/>
    <w:rsid w:val="419E0391"/>
    <w:rsid w:val="41AAFBC9"/>
    <w:rsid w:val="41AB113B"/>
    <w:rsid w:val="41B133E3"/>
    <w:rsid w:val="41B4C911"/>
    <w:rsid w:val="41B81C31"/>
    <w:rsid w:val="41C5CE9D"/>
    <w:rsid w:val="41C96BB7"/>
    <w:rsid w:val="41D0E77D"/>
    <w:rsid w:val="41D48642"/>
    <w:rsid w:val="41DA10FC"/>
    <w:rsid w:val="41E52390"/>
    <w:rsid w:val="41F0CC39"/>
    <w:rsid w:val="41F4FB5F"/>
    <w:rsid w:val="41F8B164"/>
    <w:rsid w:val="41FB0723"/>
    <w:rsid w:val="420D273A"/>
    <w:rsid w:val="420FC1EB"/>
    <w:rsid w:val="4210FEC4"/>
    <w:rsid w:val="42148960"/>
    <w:rsid w:val="4217196B"/>
    <w:rsid w:val="421970EE"/>
    <w:rsid w:val="4224F591"/>
    <w:rsid w:val="422550EC"/>
    <w:rsid w:val="422FBCD0"/>
    <w:rsid w:val="42349CD1"/>
    <w:rsid w:val="4236D8B3"/>
    <w:rsid w:val="42406545"/>
    <w:rsid w:val="425F557E"/>
    <w:rsid w:val="4260DAA4"/>
    <w:rsid w:val="42642D72"/>
    <w:rsid w:val="4267092E"/>
    <w:rsid w:val="42697575"/>
    <w:rsid w:val="426BAB8C"/>
    <w:rsid w:val="42704FCA"/>
    <w:rsid w:val="42777DCA"/>
    <w:rsid w:val="4283FB55"/>
    <w:rsid w:val="4287D688"/>
    <w:rsid w:val="4289ABD2"/>
    <w:rsid w:val="4290258D"/>
    <w:rsid w:val="42A153E3"/>
    <w:rsid w:val="42AD94E1"/>
    <w:rsid w:val="42AE60B6"/>
    <w:rsid w:val="42B5E1B3"/>
    <w:rsid w:val="42BFBB3D"/>
    <w:rsid w:val="42D40CD6"/>
    <w:rsid w:val="42D5FDCD"/>
    <w:rsid w:val="42DAC7C8"/>
    <w:rsid w:val="42E68BBC"/>
    <w:rsid w:val="42E7FDBC"/>
    <w:rsid w:val="42F96A04"/>
    <w:rsid w:val="42F9AE1B"/>
    <w:rsid w:val="42FDC98A"/>
    <w:rsid w:val="4322C48D"/>
    <w:rsid w:val="432F41D6"/>
    <w:rsid w:val="43367270"/>
    <w:rsid w:val="433DE07F"/>
    <w:rsid w:val="4342C822"/>
    <w:rsid w:val="4345FF29"/>
    <w:rsid w:val="434A85DF"/>
    <w:rsid w:val="4353D64B"/>
    <w:rsid w:val="43556B34"/>
    <w:rsid w:val="43655FF8"/>
    <w:rsid w:val="4369E9C9"/>
    <w:rsid w:val="436C3FAD"/>
    <w:rsid w:val="43727360"/>
    <w:rsid w:val="4375C5EB"/>
    <w:rsid w:val="4377857B"/>
    <w:rsid w:val="437814BB"/>
    <w:rsid w:val="4379A424"/>
    <w:rsid w:val="437AE28B"/>
    <w:rsid w:val="437F2595"/>
    <w:rsid w:val="43810D50"/>
    <w:rsid w:val="438988C9"/>
    <w:rsid w:val="438FE91F"/>
    <w:rsid w:val="439C4701"/>
    <w:rsid w:val="43B7E68D"/>
    <w:rsid w:val="43C33712"/>
    <w:rsid w:val="43CD1D93"/>
    <w:rsid w:val="43CFF6A9"/>
    <w:rsid w:val="4403483A"/>
    <w:rsid w:val="4407D3F8"/>
    <w:rsid w:val="440DC39D"/>
    <w:rsid w:val="44161409"/>
    <w:rsid w:val="441EF6B6"/>
    <w:rsid w:val="44302BFC"/>
    <w:rsid w:val="4442F91C"/>
    <w:rsid w:val="44540003"/>
    <w:rsid w:val="445A2315"/>
    <w:rsid w:val="446808B1"/>
    <w:rsid w:val="446C6D0D"/>
    <w:rsid w:val="4472306C"/>
    <w:rsid w:val="44866703"/>
    <w:rsid w:val="44882E95"/>
    <w:rsid w:val="448BFB19"/>
    <w:rsid w:val="448CEF27"/>
    <w:rsid w:val="449E41B8"/>
    <w:rsid w:val="449F807D"/>
    <w:rsid w:val="44ABAC22"/>
    <w:rsid w:val="44C29342"/>
    <w:rsid w:val="44DC3E1B"/>
    <w:rsid w:val="44DCC536"/>
    <w:rsid w:val="44DE5537"/>
    <w:rsid w:val="44E3C177"/>
    <w:rsid w:val="44F3056C"/>
    <w:rsid w:val="44F65D03"/>
    <w:rsid w:val="44FCAB5F"/>
    <w:rsid w:val="450997FE"/>
    <w:rsid w:val="4512A85B"/>
    <w:rsid w:val="451373C4"/>
    <w:rsid w:val="4518D6EA"/>
    <w:rsid w:val="4518DDAF"/>
    <w:rsid w:val="4520D03B"/>
    <w:rsid w:val="45270DE3"/>
    <w:rsid w:val="45297F61"/>
    <w:rsid w:val="452C3277"/>
    <w:rsid w:val="4532DBA2"/>
    <w:rsid w:val="453C3FF6"/>
    <w:rsid w:val="4545ACCF"/>
    <w:rsid w:val="454E5422"/>
    <w:rsid w:val="45521008"/>
    <w:rsid w:val="456D6464"/>
    <w:rsid w:val="4570D6C6"/>
    <w:rsid w:val="4574A131"/>
    <w:rsid w:val="458D2BA0"/>
    <w:rsid w:val="45914E21"/>
    <w:rsid w:val="45932803"/>
    <w:rsid w:val="45944869"/>
    <w:rsid w:val="459809F3"/>
    <w:rsid w:val="45A4AD4C"/>
    <w:rsid w:val="45B63963"/>
    <w:rsid w:val="45C0694D"/>
    <w:rsid w:val="45C8BD9E"/>
    <w:rsid w:val="45D0A099"/>
    <w:rsid w:val="45D1323D"/>
    <w:rsid w:val="45D4A899"/>
    <w:rsid w:val="45D8F4EE"/>
    <w:rsid w:val="45E15C73"/>
    <w:rsid w:val="45E59DEA"/>
    <w:rsid w:val="45E75698"/>
    <w:rsid w:val="45E85AB6"/>
    <w:rsid w:val="45F06E7C"/>
    <w:rsid w:val="45F294E5"/>
    <w:rsid w:val="45FB9233"/>
    <w:rsid w:val="4609DFA6"/>
    <w:rsid w:val="460C9147"/>
    <w:rsid w:val="461073B1"/>
    <w:rsid w:val="46155660"/>
    <w:rsid w:val="461B6C6A"/>
    <w:rsid w:val="4621A48B"/>
    <w:rsid w:val="4627AFC7"/>
    <w:rsid w:val="4632B3EF"/>
    <w:rsid w:val="46386B8A"/>
    <w:rsid w:val="46448ACF"/>
    <w:rsid w:val="4646180F"/>
    <w:rsid w:val="464859DE"/>
    <w:rsid w:val="464883B5"/>
    <w:rsid w:val="464D8184"/>
    <w:rsid w:val="46521BBB"/>
    <w:rsid w:val="465293FE"/>
    <w:rsid w:val="465C3885"/>
    <w:rsid w:val="465D898C"/>
    <w:rsid w:val="465F32CA"/>
    <w:rsid w:val="465FE462"/>
    <w:rsid w:val="4661DF5E"/>
    <w:rsid w:val="46770019"/>
    <w:rsid w:val="46802C1F"/>
    <w:rsid w:val="4684C748"/>
    <w:rsid w:val="4684FC59"/>
    <w:rsid w:val="468DF72F"/>
    <w:rsid w:val="46A66CA4"/>
    <w:rsid w:val="46A84DD1"/>
    <w:rsid w:val="46BDC124"/>
    <w:rsid w:val="46BE30FB"/>
    <w:rsid w:val="46C76192"/>
    <w:rsid w:val="46DDB917"/>
    <w:rsid w:val="471D5F0B"/>
    <w:rsid w:val="471EBCD7"/>
    <w:rsid w:val="471FBDBB"/>
    <w:rsid w:val="4727BE7D"/>
    <w:rsid w:val="473FA0DF"/>
    <w:rsid w:val="47479C77"/>
    <w:rsid w:val="474976EE"/>
    <w:rsid w:val="474C33CA"/>
    <w:rsid w:val="475E3429"/>
    <w:rsid w:val="4767DDA7"/>
    <w:rsid w:val="47711019"/>
    <w:rsid w:val="4772085E"/>
    <w:rsid w:val="4776B70C"/>
    <w:rsid w:val="477A22B8"/>
    <w:rsid w:val="477AA814"/>
    <w:rsid w:val="4781642D"/>
    <w:rsid w:val="4781ECBE"/>
    <w:rsid w:val="47942130"/>
    <w:rsid w:val="4797FCD2"/>
    <w:rsid w:val="47AE8D97"/>
    <w:rsid w:val="47B1FC4D"/>
    <w:rsid w:val="47B3B2CA"/>
    <w:rsid w:val="47B6E1AC"/>
    <w:rsid w:val="47B8951C"/>
    <w:rsid w:val="47B99A64"/>
    <w:rsid w:val="47C04A77"/>
    <w:rsid w:val="47D9E78B"/>
    <w:rsid w:val="47DB2215"/>
    <w:rsid w:val="47DD15FF"/>
    <w:rsid w:val="47F2EC66"/>
    <w:rsid w:val="480DC97B"/>
    <w:rsid w:val="480F7EFA"/>
    <w:rsid w:val="481040C4"/>
    <w:rsid w:val="48114D5B"/>
    <w:rsid w:val="4811C7CF"/>
    <w:rsid w:val="4814F943"/>
    <w:rsid w:val="481833E0"/>
    <w:rsid w:val="481A12E8"/>
    <w:rsid w:val="482B2E8E"/>
    <w:rsid w:val="48340BC2"/>
    <w:rsid w:val="4835593F"/>
    <w:rsid w:val="4835DC4C"/>
    <w:rsid w:val="483AE8B6"/>
    <w:rsid w:val="484AB1F7"/>
    <w:rsid w:val="485566F8"/>
    <w:rsid w:val="485A12D1"/>
    <w:rsid w:val="48881019"/>
    <w:rsid w:val="4895D259"/>
    <w:rsid w:val="489A5782"/>
    <w:rsid w:val="489A5BAC"/>
    <w:rsid w:val="48AA3C62"/>
    <w:rsid w:val="48B749BD"/>
    <w:rsid w:val="48B915D9"/>
    <w:rsid w:val="48B993F5"/>
    <w:rsid w:val="48BB6586"/>
    <w:rsid w:val="48C9E00F"/>
    <w:rsid w:val="48CFFB65"/>
    <w:rsid w:val="48DAF6D1"/>
    <w:rsid w:val="48DEEB68"/>
    <w:rsid w:val="490B9346"/>
    <w:rsid w:val="49212413"/>
    <w:rsid w:val="4922CB3C"/>
    <w:rsid w:val="492BEAF9"/>
    <w:rsid w:val="493AEB1B"/>
    <w:rsid w:val="494AC1B8"/>
    <w:rsid w:val="494D5F15"/>
    <w:rsid w:val="4956035F"/>
    <w:rsid w:val="495770DB"/>
    <w:rsid w:val="496066F0"/>
    <w:rsid w:val="4967E2DB"/>
    <w:rsid w:val="496F168C"/>
    <w:rsid w:val="49718498"/>
    <w:rsid w:val="497E3B06"/>
    <w:rsid w:val="497E9B29"/>
    <w:rsid w:val="497FB153"/>
    <w:rsid w:val="49AB9C58"/>
    <w:rsid w:val="49AC0CA9"/>
    <w:rsid w:val="49AFDB51"/>
    <w:rsid w:val="49B3D5D9"/>
    <w:rsid w:val="49B9BF97"/>
    <w:rsid w:val="49BC3EA8"/>
    <w:rsid w:val="49C8AD58"/>
    <w:rsid w:val="49C914DC"/>
    <w:rsid w:val="49CF0648"/>
    <w:rsid w:val="49D5F53C"/>
    <w:rsid w:val="49DC8EEB"/>
    <w:rsid w:val="49E6AE73"/>
    <w:rsid w:val="49E88E4B"/>
    <w:rsid w:val="49F335CD"/>
    <w:rsid w:val="49F66E4D"/>
    <w:rsid w:val="4A049317"/>
    <w:rsid w:val="4A0BD1F1"/>
    <w:rsid w:val="4A0E0013"/>
    <w:rsid w:val="4A1A0164"/>
    <w:rsid w:val="4A21FF16"/>
    <w:rsid w:val="4A37FE58"/>
    <w:rsid w:val="4A3C0479"/>
    <w:rsid w:val="4A459912"/>
    <w:rsid w:val="4A5735E7"/>
    <w:rsid w:val="4A5A5E1E"/>
    <w:rsid w:val="4A67D192"/>
    <w:rsid w:val="4A69DFA8"/>
    <w:rsid w:val="4A70B35E"/>
    <w:rsid w:val="4A75677A"/>
    <w:rsid w:val="4A76B6C5"/>
    <w:rsid w:val="4A7E5801"/>
    <w:rsid w:val="4A89844E"/>
    <w:rsid w:val="4AA90E38"/>
    <w:rsid w:val="4AB220C2"/>
    <w:rsid w:val="4AB32B2D"/>
    <w:rsid w:val="4ABF2C58"/>
    <w:rsid w:val="4ADF8BCE"/>
    <w:rsid w:val="4AF7EF4B"/>
    <w:rsid w:val="4B12D0D0"/>
    <w:rsid w:val="4B13443E"/>
    <w:rsid w:val="4B1BAB23"/>
    <w:rsid w:val="4B1E58A1"/>
    <w:rsid w:val="4B31AB4F"/>
    <w:rsid w:val="4B359F80"/>
    <w:rsid w:val="4B4AACBE"/>
    <w:rsid w:val="4B4C5553"/>
    <w:rsid w:val="4B653583"/>
    <w:rsid w:val="4B677FD9"/>
    <w:rsid w:val="4B6D56D2"/>
    <w:rsid w:val="4B836981"/>
    <w:rsid w:val="4B8468F0"/>
    <w:rsid w:val="4B8FC49E"/>
    <w:rsid w:val="4B971ECA"/>
    <w:rsid w:val="4BA40B59"/>
    <w:rsid w:val="4BB978D4"/>
    <w:rsid w:val="4BC25D33"/>
    <w:rsid w:val="4BD2C366"/>
    <w:rsid w:val="4BD5CEA6"/>
    <w:rsid w:val="4BDB3375"/>
    <w:rsid w:val="4BDDFCA8"/>
    <w:rsid w:val="4BE0A153"/>
    <w:rsid w:val="4BE12F10"/>
    <w:rsid w:val="4BEE4223"/>
    <w:rsid w:val="4BF4E504"/>
    <w:rsid w:val="4BF6C959"/>
    <w:rsid w:val="4BF74DF8"/>
    <w:rsid w:val="4BF8685F"/>
    <w:rsid w:val="4BFBC2E9"/>
    <w:rsid w:val="4BFF7103"/>
    <w:rsid w:val="4C017E7D"/>
    <w:rsid w:val="4C0C5C82"/>
    <w:rsid w:val="4C128726"/>
    <w:rsid w:val="4C187A51"/>
    <w:rsid w:val="4C383964"/>
    <w:rsid w:val="4C3EF84A"/>
    <w:rsid w:val="4C3FCDFB"/>
    <w:rsid w:val="4C4138CE"/>
    <w:rsid w:val="4C4419AC"/>
    <w:rsid w:val="4C50E9C7"/>
    <w:rsid w:val="4C6AFB52"/>
    <w:rsid w:val="4C727445"/>
    <w:rsid w:val="4C8F119D"/>
    <w:rsid w:val="4C98F761"/>
    <w:rsid w:val="4C9A5F5E"/>
    <w:rsid w:val="4CA0E165"/>
    <w:rsid w:val="4CA550AB"/>
    <w:rsid w:val="4CA56598"/>
    <w:rsid w:val="4CA902C6"/>
    <w:rsid w:val="4CB80C5E"/>
    <w:rsid w:val="4CCBC1D6"/>
    <w:rsid w:val="4CDCF95B"/>
    <w:rsid w:val="4CDF41C1"/>
    <w:rsid w:val="4CE61642"/>
    <w:rsid w:val="4CF43490"/>
    <w:rsid w:val="4CFAF8FA"/>
    <w:rsid w:val="4D149B85"/>
    <w:rsid w:val="4D150EE3"/>
    <w:rsid w:val="4D21D1E5"/>
    <w:rsid w:val="4D22EA84"/>
    <w:rsid w:val="4D2C5ACC"/>
    <w:rsid w:val="4D2F66ED"/>
    <w:rsid w:val="4D2F9D1E"/>
    <w:rsid w:val="4D3D5278"/>
    <w:rsid w:val="4D3F0779"/>
    <w:rsid w:val="4D41FFF1"/>
    <w:rsid w:val="4D515E1F"/>
    <w:rsid w:val="4D58883C"/>
    <w:rsid w:val="4D5EB95E"/>
    <w:rsid w:val="4D6303E1"/>
    <w:rsid w:val="4D643AAF"/>
    <w:rsid w:val="4D6BAD1D"/>
    <w:rsid w:val="4D7AD579"/>
    <w:rsid w:val="4D803BE7"/>
    <w:rsid w:val="4D820FC9"/>
    <w:rsid w:val="4D85E609"/>
    <w:rsid w:val="4D875ECC"/>
    <w:rsid w:val="4D99BFCD"/>
    <w:rsid w:val="4DA59626"/>
    <w:rsid w:val="4DAB750C"/>
    <w:rsid w:val="4DAC75CC"/>
    <w:rsid w:val="4DB15C19"/>
    <w:rsid w:val="4DB2A1F4"/>
    <w:rsid w:val="4DB43C67"/>
    <w:rsid w:val="4DB9D028"/>
    <w:rsid w:val="4DBA3F09"/>
    <w:rsid w:val="4DC6F347"/>
    <w:rsid w:val="4DC9166E"/>
    <w:rsid w:val="4DF38076"/>
    <w:rsid w:val="4DFC21FE"/>
    <w:rsid w:val="4E089BE1"/>
    <w:rsid w:val="4E098888"/>
    <w:rsid w:val="4E0A9BF4"/>
    <w:rsid w:val="4E1B0BAD"/>
    <w:rsid w:val="4E27D22C"/>
    <w:rsid w:val="4E295382"/>
    <w:rsid w:val="4E29C7FD"/>
    <w:rsid w:val="4E2D0262"/>
    <w:rsid w:val="4E453056"/>
    <w:rsid w:val="4E4EF5AD"/>
    <w:rsid w:val="4E53BB1C"/>
    <w:rsid w:val="4E57CE51"/>
    <w:rsid w:val="4E62999F"/>
    <w:rsid w:val="4E780F0E"/>
    <w:rsid w:val="4E7AEB97"/>
    <w:rsid w:val="4E8F7FB4"/>
    <w:rsid w:val="4E8F8BE8"/>
    <w:rsid w:val="4E8FBB41"/>
    <w:rsid w:val="4E9D6B3C"/>
    <w:rsid w:val="4E9DED34"/>
    <w:rsid w:val="4EA94271"/>
    <w:rsid w:val="4EAAE2E8"/>
    <w:rsid w:val="4EC03D18"/>
    <w:rsid w:val="4ECCC173"/>
    <w:rsid w:val="4EEA182B"/>
    <w:rsid w:val="4EF52B4A"/>
    <w:rsid w:val="4EF8F211"/>
    <w:rsid w:val="4EF927CB"/>
    <w:rsid w:val="4F0C9746"/>
    <w:rsid w:val="4F0EA1D8"/>
    <w:rsid w:val="4F1098F9"/>
    <w:rsid w:val="4F112285"/>
    <w:rsid w:val="4F31DF66"/>
    <w:rsid w:val="4F3569A6"/>
    <w:rsid w:val="4F3AA40C"/>
    <w:rsid w:val="4F3DC3E5"/>
    <w:rsid w:val="4F4145AE"/>
    <w:rsid w:val="4F51D11C"/>
    <w:rsid w:val="4F5F6F57"/>
    <w:rsid w:val="4F65E239"/>
    <w:rsid w:val="4F65E6A6"/>
    <w:rsid w:val="4F70CF4A"/>
    <w:rsid w:val="4F746D33"/>
    <w:rsid w:val="4F76F29B"/>
    <w:rsid w:val="4F7AFB0C"/>
    <w:rsid w:val="4F86EE62"/>
    <w:rsid w:val="4FA16B2F"/>
    <w:rsid w:val="4FA1BF76"/>
    <w:rsid w:val="4FAADC55"/>
    <w:rsid w:val="4FB30E6D"/>
    <w:rsid w:val="4FBB68C2"/>
    <w:rsid w:val="4FBD64E8"/>
    <w:rsid w:val="4FBDBACB"/>
    <w:rsid w:val="4FC31F2A"/>
    <w:rsid w:val="4FC41844"/>
    <w:rsid w:val="4FC4A71E"/>
    <w:rsid w:val="4FCD90C0"/>
    <w:rsid w:val="4FD3A483"/>
    <w:rsid w:val="4FD82C3F"/>
    <w:rsid w:val="4FDC4CC6"/>
    <w:rsid w:val="4FE2CA69"/>
    <w:rsid w:val="4FFD59BD"/>
    <w:rsid w:val="4FFDAFC7"/>
    <w:rsid w:val="50028418"/>
    <w:rsid w:val="5012C788"/>
    <w:rsid w:val="50163808"/>
    <w:rsid w:val="5025FE91"/>
    <w:rsid w:val="5029FDCA"/>
    <w:rsid w:val="502DB3C1"/>
    <w:rsid w:val="5030D92E"/>
    <w:rsid w:val="50398111"/>
    <w:rsid w:val="50405679"/>
    <w:rsid w:val="5042C295"/>
    <w:rsid w:val="505C9305"/>
    <w:rsid w:val="50619158"/>
    <w:rsid w:val="50622945"/>
    <w:rsid w:val="5070B3EE"/>
    <w:rsid w:val="508679DB"/>
    <w:rsid w:val="50992D83"/>
    <w:rsid w:val="509D9948"/>
    <w:rsid w:val="509E4AC0"/>
    <w:rsid w:val="50A16227"/>
    <w:rsid w:val="50A666A8"/>
    <w:rsid w:val="50AF43C9"/>
    <w:rsid w:val="50CA4928"/>
    <w:rsid w:val="50D04BE7"/>
    <w:rsid w:val="50D54FAB"/>
    <w:rsid w:val="50D92460"/>
    <w:rsid w:val="50DBDDA2"/>
    <w:rsid w:val="50DF5B4D"/>
    <w:rsid w:val="50F429A0"/>
    <w:rsid w:val="511CD92A"/>
    <w:rsid w:val="51278FCD"/>
    <w:rsid w:val="5129AA63"/>
    <w:rsid w:val="512D8B2B"/>
    <w:rsid w:val="5134158E"/>
    <w:rsid w:val="5135B099"/>
    <w:rsid w:val="513BA67A"/>
    <w:rsid w:val="5146CC9E"/>
    <w:rsid w:val="514A065C"/>
    <w:rsid w:val="5151920D"/>
    <w:rsid w:val="51525540"/>
    <w:rsid w:val="5171B298"/>
    <w:rsid w:val="517BD94B"/>
    <w:rsid w:val="5190319E"/>
    <w:rsid w:val="5192A0F5"/>
    <w:rsid w:val="5194A849"/>
    <w:rsid w:val="51990D51"/>
    <w:rsid w:val="51B3A028"/>
    <w:rsid w:val="51C1B6B6"/>
    <w:rsid w:val="51C24B1C"/>
    <w:rsid w:val="51C44F59"/>
    <w:rsid w:val="51D5C599"/>
    <w:rsid w:val="51DFEA62"/>
    <w:rsid w:val="51E244FD"/>
    <w:rsid w:val="51E6B3FD"/>
    <w:rsid w:val="51EFA58B"/>
    <w:rsid w:val="51F1F6CC"/>
    <w:rsid w:val="51F3D295"/>
    <w:rsid w:val="51F414DE"/>
    <w:rsid w:val="51FFB56C"/>
    <w:rsid w:val="520463D0"/>
    <w:rsid w:val="520B342B"/>
    <w:rsid w:val="520E3A55"/>
    <w:rsid w:val="52185C19"/>
    <w:rsid w:val="521A7FF9"/>
    <w:rsid w:val="5221DED9"/>
    <w:rsid w:val="52240EDB"/>
    <w:rsid w:val="52312C1B"/>
    <w:rsid w:val="52380779"/>
    <w:rsid w:val="52396626"/>
    <w:rsid w:val="5239A2AD"/>
    <w:rsid w:val="524EE533"/>
    <w:rsid w:val="52511C06"/>
    <w:rsid w:val="52595887"/>
    <w:rsid w:val="5271F785"/>
    <w:rsid w:val="527948ED"/>
    <w:rsid w:val="527F30E8"/>
    <w:rsid w:val="528421B5"/>
    <w:rsid w:val="52857B36"/>
    <w:rsid w:val="528DBD46"/>
    <w:rsid w:val="52A16605"/>
    <w:rsid w:val="52A455BC"/>
    <w:rsid w:val="52A9C5C0"/>
    <w:rsid w:val="52ABC07C"/>
    <w:rsid w:val="52C00497"/>
    <w:rsid w:val="52C8ECAF"/>
    <w:rsid w:val="52CA349A"/>
    <w:rsid w:val="52D34280"/>
    <w:rsid w:val="52DA26DE"/>
    <w:rsid w:val="52E3763D"/>
    <w:rsid w:val="52F49A00"/>
    <w:rsid w:val="52F834AF"/>
    <w:rsid w:val="52FE69CC"/>
    <w:rsid w:val="52FE6A64"/>
    <w:rsid w:val="5310B3F8"/>
    <w:rsid w:val="531242C0"/>
    <w:rsid w:val="531CA153"/>
    <w:rsid w:val="532B4421"/>
    <w:rsid w:val="5330CD1D"/>
    <w:rsid w:val="53314988"/>
    <w:rsid w:val="533BC985"/>
    <w:rsid w:val="533C5827"/>
    <w:rsid w:val="533E860E"/>
    <w:rsid w:val="5348420B"/>
    <w:rsid w:val="535F0289"/>
    <w:rsid w:val="5364FF06"/>
    <w:rsid w:val="536B734A"/>
    <w:rsid w:val="5376A873"/>
    <w:rsid w:val="5377DD26"/>
    <w:rsid w:val="5380EF35"/>
    <w:rsid w:val="538E27BF"/>
    <w:rsid w:val="53931BDF"/>
    <w:rsid w:val="53A1D991"/>
    <w:rsid w:val="53A249CF"/>
    <w:rsid w:val="53A764D9"/>
    <w:rsid w:val="53ABB68C"/>
    <w:rsid w:val="53B821AA"/>
    <w:rsid w:val="53C80BE0"/>
    <w:rsid w:val="53C99D7A"/>
    <w:rsid w:val="53C9A4E6"/>
    <w:rsid w:val="53CFA3CF"/>
    <w:rsid w:val="53D6AB5A"/>
    <w:rsid w:val="53D86731"/>
    <w:rsid w:val="53E23DA2"/>
    <w:rsid w:val="53E26297"/>
    <w:rsid w:val="53E63D7E"/>
    <w:rsid w:val="53FE7ACA"/>
    <w:rsid w:val="5404B3CC"/>
    <w:rsid w:val="540A9035"/>
    <w:rsid w:val="5423D185"/>
    <w:rsid w:val="5426C195"/>
    <w:rsid w:val="5429EC5A"/>
    <w:rsid w:val="543008F4"/>
    <w:rsid w:val="54398A41"/>
    <w:rsid w:val="5440217A"/>
    <w:rsid w:val="544E54CA"/>
    <w:rsid w:val="544F34F2"/>
    <w:rsid w:val="5450FCCD"/>
    <w:rsid w:val="5479B10A"/>
    <w:rsid w:val="5480336D"/>
    <w:rsid w:val="54819133"/>
    <w:rsid w:val="5490A3DA"/>
    <w:rsid w:val="54936F86"/>
    <w:rsid w:val="549A098F"/>
    <w:rsid w:val="549D4FEA"/>
    <w:rsid w:val="54AA7D3C"/>
    <w:rsid w:val="54AAD757"/>
    <w:rsid w:val="54ACD54A"/>
    <w:rsid w:val="54B0DD6F"/>
    <w:rsid w:val="54B0E38E"/>
    <w:rsid w:val="54C42CA4"/>
    <w:rsid w:val="54C601C6"/>
    <w:rsid w:val="54C8AEE4"/>
    <w:rsid w:val="54CE3E5E"/>
    <w:rsid w:val="54D8CD8F"/>
    <w:rsid w:val="54D9FE71"/>
    <w:rsid w:val="54DA01C1"/>
    <w:rsid w:val="54DC6430"/>
    <w:rsid w:val="54DCD1C3"/>
    <w:rsid w:val="54DD9FE6"/>
    <w:rsid w:val="54DFE344"/>
    <w:rsid w:val="54F39040"/>
    <w:rsid w:val="54FAB3EA"/>
    <w:rsid w:val="54FC62F7"/>
    <w:rsid w:val="5506204F"/>
    <w:rsid w:val="551A0FC9"/>
    <w:rsid w:val="551CEF40"/>
    <w:rsid w:val="55245C42"/>
    <w:rsid w:val="552B65EF"/>
    <w:rsid w:val="553F7BD4"/>
    <w:rsid w:val="5544BE2A"/>
    <w:rsid w:val="55453F53"/>
    <w:rsid w:val="55462A9E"/>
    <w:rsid w:val="55496485"/>
    <w:rsid w:val="554F2202"/>
    <w:rsid w:val="555F779E"/>
    <w:rsid w:val="55763520"/>
    <w:rsid w:val="5576853D"/>
    <w:rsid w:val="55783F61"/>
    <w:rsid w:val="55787FFE"/>
    <w:rsid w:val="558303DF"/>
    <w:rsid w:val="558D46D9"/>
    <w:rsid w:val="559082B4"/>
    <w:rsid w:val="5597E224"/>
    <w:rsid w:val="55A58CD2"/>
    <w:rsid w:val="55AD0C19"/>
    <w:rsid w:val="55C0168C"/>
    <w:rsid w:val="55C12E41"/>
    <w:rsid w:val="55C4335F"/>
    <w:rsid w:val="55DBB661"/>
    <w:rsid w:val="55E0ED24"/>
    <w:rsid w:val="55E32912"/>
    <w:rsid w:val="55E3A3A6"/>
    <w:rsid w:val="55EE91B0"/>
    <w:rsid w:val="55EEA252"/>
    <w:rsid w:val="56059CE3"/>
    <w:rsid w:val="560AB4F2"/>
    <w:rsid w:val="560D8288"/>
    <w:rsid w:val="561EE061"/>
    <w:rsid w:val="56209476"/>
    <w:rsid w:val="5620F0D4"/>
    <w:rsid w:val="56406B0E"/>
    <w:rsid w:val="565514F8"/>
    <w:rsid w:val="565569CA"/>
    <w:rsid w:val="566825A9"/>
    <w:rsid w:val="5669CA83"/>
    <w:rsid w:val="567593AF"/>
    <w:rsid w:val="5686AADD"/>
    <w:rsid w:val="568B48B8"/>
    <w:rsid w:val="5690B2F5"/>
    <w:rsid w:val="569AEB56"/>
    <w:rsid w:val="569C0849"/>
    <w:rsid w:val="56A2A2CA"/>
    <w:rsid w:val="56A9B32A"/>
    <w:rsid w:val="56AA3CBC"/>
    <w:rsid w:val="56AC9373"/>
    <w:rsid w:val="56C16811"/>
    <w:rsid w:val="56C567EF"/>
    <w:rsid w:val="56C65BF6"/>
    <w:rsid w:val="56C66090"/>
    <w:rsid w:val="56C800A5"/>
    <w:rsid w:val="56DB4C35"/>
    <w:rsid w:val="56DE8DEE"/>
    <w:rsid w:val="56ED1F24"/>
    <w:rsid w:val="56F6D095"/>
    <w:rsid w:val="5700A3CA"/>
    <w:rsid w:val="57101F63"/>
    <w:rsid w:val="571BD648"/>
    <w:rsid w:val="57235990"/>
    <w:rsid w:val="572B0030"/>
    <w:rsid w:val="57352BD7"/>
    <w:rsid w:val="57398021"/>
    <w:rsid w:val="573FCD09"/>
    <w:rsid w:val="57443EEA"/>
    <w:rsid w:val="574D8D98"/>
    <w:rsid w:val="5759174B"/>
    <w:rsid w:val="576FE44C"/>
    <w:rsid w:val="577E5F9A"/>
    <w:rsid w:val="5781C14D"/>
    <w:rsid w:val="5783EBA9"/>
    <w:rsid w:val="578F5690"/>
    <w:rsid w:val="5791D9F3"/>
    <w:rsid w:val="57951947"/>
    <w:rsid w:val="57980365"/>
    <w:rsid w:val="579955C5"/>
    <w:rsid w:val="57A0DCCD"/>
    <w:rsid w:val="57AAC281"/>
    <w:rsid w:val="57B65742"/>
    <w:rsid w:val="57BAD2AA"/>
    <w:rsid w:val="57BD8F20"/>
    <w:rsid w:val="57C53C38"/>
    <w:rsid w:val="57CA8275"/>
    <w:rsid w:val="57D1F606"/>
    <w:rsid w:val="57D46968"/>
    <w:rsid w:val="57DA303F"/>
    <w:rsid w:val="57DC5DBC"/>
    <w:rsid w:val="57E482A8"/>
    <w:rsid w:val="57E53DB4"/>
    <w:rsid w:val="5810A02F"/>
    <w:rsid w:val="581C11A3"/>
    <w:rsid w:val="5823376B"/>
    <w:rsid w:val="5824B54B"/>
    <w:rsid w:val="583999BB"/>
    <w:rsid w:val="583D235F"/>
    <w:rsid w:val="5846CA2E"/>
    <w:rsid w:val="5848021D"/>
    <w:rsid w:val="584B55CB"/>
    <w:rsid w:val="585024B7"/>
    <w:rsid w:val="5851F8F4"/>
    <w:rsid w:val="58547205"/>
    <w:rsid w:val="5855A4AD"/>
    <w:rsid w:val="586C75CE"/>
    <w:rsid w:val="586E6055"/>
    <w:rsid w:val="5871AB34"/>
    <w:rsid w:val="5872FEB5"/>
    <w:rsid w:val="587DFC81"/>
    <w:rsid w:val="5889C3DD"/>
    <w:rsid w:val="5890E090"/>
    <w:rsid w:val="589B416A"/>
    <w:rsid w:val="589E60DC"/>
    <w:rsid w:val="58A2C66F"/>
    <w:rsid w:val="58BB8DC0"/>
    <w:rsid w:val="58BC7FB0"/>
    <w:rsid w:val="58C77B58"/>
    <w:rsid w:val="58C961C4"/>
    <w:rsid w:val="58CB7D30"/>
    <w:rsid w:val="58D10722"/>
    <w:rsid w:val="58DCF163"/>
    <w:rsid w:val="58E78088"/>
    <w:rsid w:val="58ED5918"/>
    <w:rsid w:val="58F36451"/>
    <w:rsid w:val="58F99858"/>
    <w:rsid w:val="590A708B"/>
    <w:rsid w:val="590E9835"/>
    <w:rsid w:val="591560A4"/>
    <w:rsid w:val="591D91AE"/>
    <w:rsid w:val="592B2198"/>
    <w:rsid w:val="592B649A"/>
    <w:rsid w:val="5931CF7D"/>
    <w:rsid w:val="59382DB6"/>
    <w:rsid w:val="59386724"/>
    <w:rsid w:val="594487C9"/>
    <w:rsid w:val="5944EB51"/>
    <w:rsid w:val="59515662"/>
    <w:rsid w:val="595A64B7"/>
    <w:rsid w:val="595E520C"/>
    <w:rsid w:val="5969ED42"/>
    <w:rsid w:val="59790D5A"/>
    <w:rsid w:val="597B3F6D"/>
    <w:rsid w:val="598E9583"/>
    <w:rsid w:val="5997562C"/>
    <w:rsid w:val="59AFE834"/>
    <w:rsid w:val="59B390AD"/>
    <w:rsid w:val="59D653FA"/>
    <w:rsid w:val="59D73649"/>
    <w:rsid w:val="59DA3C45"/>
    <w:rsid w:val="59E47F01"/>
    <w:rsid w:val="59F17C2E"/>
    <w:rsid w:val="59F4EF57"/>
    <w:rsid w:val="59F654A8"/>
    <w:rsid w:val="59F7C99F"/>
    <w:rsid w:val="59FFD2C2"/>
    <w:rsid w:val="5A0CB85A"/>
    <w:rsid w:val="5A146D89"/>
    <w:rsid w:val="5A1EBBD6"/>
    <w:rsid w:val="5A23FEB5"/>
    <w:rsid w:val="5A2FA3C0"/>
    <w:rsid w:val="5A44177E"/>
    <w:rsid w:val="5A54CAE9"/>
    <w:rsid w:val="5A5AE8CD"/>
    <w:rsid w:val="5A5E9355"/>
    <w:rsid w:val="5A5F3E23"/>
    <w:rsid w:val="5A6024F4"/>
    <w:rsid w:val="5A64AC8C"/>
    <w:rsid w:val="5A7B4044"/>
    <w:rsid w:val="5A7BA5F0"/>
    <w:rsid w:val="5A8ED789"/>
    <w:rsid w:val="5A94E1B2"/>
    <w:rsid w:val="5A9806B5"/>
    <w:rsid w:val="5A9BF00C"/>
    <w:rsid w:val="5AA7F73A"/>
    <w:rsid w:val="5AB2510B"/>
    <w:rsid w:val="5AB933DA"/>
    <w:rsid w:val="5ABF5074"/>
    <w:rsid w:val="5AC1F869"/>
    <w:rsid w:val="5AD6D7DE"/>
    <w:rsid w:val="5AE38D3A"/>
    <w:rsid w:val="5AEC6DAA"/>
    <w:rsid w:val="5AF0C072"/>
    <w:rsid w:val="5AF9C94E"/>
    <w:rsid w:val="5AFEFCC5"/>
    <w:rsid w:val="5B044548"/>
    <w:rsid w:val="5B0771DF"/>
    <w:rsid w:val="5B084824"/>
    <w:rsid w:val="5B105848"/>
    <w:rsid w:val="5B14A461"/>
    <w:rsid w:val="5B1AFD10"/>
    <w:rsid w:val="5B265665"/>
    <w:rsid w:val="5B2F909A"/>
    <w:rsid w:val="5B464DAC"/>
    <w:rsid w:val="5B53FD77"/>
    <w:rsid w:val="5B55AA35"/>
    <w:rsid w:val="5B6408C8"/>
    <w:rsid w:val="5B6E10B7"/>
    <w:rsid w:val="5B81FFC4"/>
    <w:rsid w:val="5B8B796B"/>
    <w:rsid w:val="5B91334C"/>
    <w:rsid w:val="5B9195E7"/>
    <w:rsid w:val="5B9205CF"/>
    <w:rsid w:val="5B944AE6"/>
    <w:rsid w:val="5B9F083B"/>
    <w:rsid w:val="5B9F41F4"/>
    <w:rsid w:val="5B9F6582"/>
    <w:rsid w:val="5BA7E7E1"/>
    <w:rsid w:val="5BB8ADAF"/>
    <w:rsid w:val="5BCF2B18"/>
    <w:rsid w:val="5BCF3A00"/>
    <w:rsid w:val="5BD13C17"/>
    <w:rsid w:val="5BD7CEAD"/>
    <w:rsid w:val="5BE43E88"/>
    <w:rsid w:val="5BE77EBB"/>
    <w:rsid w:val="5BEE0F3C"/>
    <w:rsid w:val="5BF70B7A"/>
    <w:rsid w:val="5C0C0582"/>
    <w:rsid w:val="5C0C6EC5"/>
    <w:rsid w:val="5C362817"/>
    <w:rsid w:val="5C393BA1"/>
    <w:rsid w:val="5C43A5C9"/>
    <w:rsid w:val="5C4EDCD1"/>
    <w:rsid w:val="5C591F6E"/>
    <w:rsid w:val="5C676FCF"/>
    <w:rsid w:val="5C6C81CB"/>
    <w:rsid w:val="5C6C91FD"/>
    <w:rsid w:val="5C72A83F"/>
    <w:rsid w:val="5C744BF0"/>
    <w:rsid w:val="5C74C238"/>
    <w:rsid w:val="5C835FEA"/>
    <w:rsid w:val="5C8AAB6F"/>
    <w:rsid w:val="5C8F7BF8"/>
    <w:rsid w:val="5C95F2CE"/>
    <w:rsid w:val="5C97AFBE"/>
    <w:rsid w:val="5CA16165"/>
    <w:rsid w:val="5CB2DD09"/>
    <w:rsid w:val="5CB6A100"/>
    <w:rsid w:val="5CB93B71"/>
    <w:rsid w:val="5CBA3B97"/>
    <w:rsid w:val="5CBB7928"/>
    <w:rsid w:val="5CC394ED"/>
    <w:rsid w:val="5CC6243F"/>
    <w:rsid w:val="5CC78C83"/>
    <w:rsid w:val="5CCB60FB"/>
    <w:rsid w:val="5CD4C05A"/>
    <w:rsid w:val="5CDFF18B"/>
    <w:rsid w:val="5CE04BF3"/>
    <w:rsid w:val="5CF0B70C"/>
    <w:rsid w:val="5CFB55EF"/>
    <w:rsid w:val="5D0A9F60"/>
    <w:rsid w:val="5D0CDBE5"/>
    <w:rsid w:val="5D158CCA"/>
    <w:rsid w:val="5D15F9D9"/>
    <w:rsid w:val="5D28CD2F"/>
    <w:rsid w:val="5D2B3F39"/>
    <w:rsid w:val="5D3A5E7F"/>
    <w:rsid w:val="5D3F7BCF"/>
    <w:rsid w:val="5D56EEFE"/>
    <w:rsid w:val="5D59BCAC"/>
    <w:rsid w:val="5D5BF102"/>
    <w:rsid w:val="5D60B5D1"/>
    <w:rsid w:val="5D68BACF"/>
    <w:rsid w:val="5D771623"/>
    <w:rsid w:val="5D77175F"/>
    <w:rsid w:val="5D8713A0"/>
    <w:rsid w:val="5D99F9FB"/>
    <w:rsid w:val="5D9E9BFA"/>
    <w:rsid w:val="5DBF1964"/>
    <w:rsid w:val="5DC1BDB3"/>
    <w:rsid w:val="5DC1D4AA"/>
    <w:rsid w:val="5DCA6B81"/>
    <w:rsid w:val="5DD3F052"/>
    <w:rsid w:val="5DD9F48F"/>
    <w:rsid w:val="5DDC081E"/>
    <w:rsid w:val="5DE73D88"/>
    <w:rsid w:val="5DFDC330"/>
    <w:rsid w:val="5E0B9A6B"/>
    <w:rsid w:val="5E231339"/>
    <w:rsid w:val="5E586698"/>
    <w:rsid w:val="5E635CE4"/>
    <w:rsid w:val="5E67764D"/>
    <w:rsid w:val="5E6DDF78"/>
    <w:rsid w:val="5E6EC18D"/>
    <w:rsid w:val="5E784FB4"/>
    <w:rsid w:val="5E7A4469"/>
    <w:rsid w:val="5E8ACA15"/>
    <w:rsid w:val="5E8BCE23"/>
    <w:rsid w:val="5E9D1891"/>
    <w:rsid w:val="5ED16E32"/>
    <w:rsid w:val="5ED72A12"/>
    <w:rsid w:val="5EE2F7D5"/>
    <w:rsid w:val="5EECD251"/>
    <w:rsid w:val="5EFA0763"/>
    <w:rsid w:val="5EFA4157"/>
    <w:rsid w:val="5F05C66A"/>
    <w:rsid w:val="5F0937E5"/>
    <w:rsid w:val="5F09FBF9"/>
    <w:rsid w:val="5F185A04"/>
    <w:rsid w:val="5F1F74B8"/>
    <w:rsid w:val="5F1F9077"/>
    <w:rsid w:val="5F3205DC"/>
    <w:rsid w:val="5F491E0A"/>
    <w:rsid w:val="5F535BE8"/>
    <w:rsid w:val="5F74C051"/>
    <w:rsid w:val="5F96D3C7"/>
    <w:rsid w:val="5F98CF9A"/>
    <w:rsid w:val="5F993BE3"/>
    <w:rsid w:val="5F9B0E0E"/>
    <w:rsid w:val="5F9DA78D"/>
    <w:rsid w:val="5FAFD62D"/>
    <w:rsid w:val="5FC9520C"/>
    <w:rsid w:val="5FCD397E"/>
    <w:rsid w:val="5FDA9BC6"/>
    <w:rsid w:val="5FE7491B"/>
    <w:rsid w:val="5FE8D53C"/>
    <w:rsid w:val="5FE9E6BB"/>
    <w:rsid w:val="5FF09591"/>
    <w:rsid w:val="5FF6EAC9"/>
    <w:rsid w:val="6012CA05"/>
    <w:rsid w:val="6023B911"/>
    <w:rsid w:val="6026E0B7"/>
    <w:rsid w:val="602A6770"/>
    <w:rsid w:val="6036ECF5"/>
    <w:rsid w:val="603E83D6"/>
    <w:rsid w:val="603F52A1"/>
    <w:rsid w:val="604330BF"/>
    <w:rsid w:val="60448247"/>
    <w:rsid w:val="6055BDF1"/>
    <w:rsid w:val="6055FEEA"/>
    <w:rsid w:val="6056A741"/>
    <w:rsid w:val="605EE541"/>
    <w:rsid w:val="6068964C"/>
    <w:rsid w:val="606C4A35"/>
    <w:rsid w:val="606E18EE"/>
    <w:rsid w:val="60867A50"/>
    <w:rsid w:val="608B40B3"/>
    <w:rsid w:val="60A70CA1"/>
    <w:rsid w:val="60B8108A"/>
    <w:rsid w:val="60C6AD1D"/>
    <w:rsid w:val="60C74CE8"/>
    <w:rsid w:val="60CE1A79"/>
    <w:rsid w:val="60CF01C5"/>
    <w:rsid w:val="60D2BEE7"/>
    <w:rsid w:val="60D436AD"/>
    <w:rsid w:val="60DDCD73"/>
    <w:rsid w:val="60E32293"/>
    <w:rsid w:val="60F432F8"/>
    <w:rsid w:val="6118FDA9"/>
    <w:rsid w:val="6121F615"/>
    <w:rsid w:val="61221D24"/>
    <w:rsid w:val="61224C85"/>
    <w:rsid w:val="613146A9"/>
    <w:rsid w:val="613C8CBE"/>
    <w:rsid w:val="613CA4E8"/>
    <w:rsid w:val="613E729B"/>
    <w:rsid w:val="614F3150"/>
    <w:rsid w:val="614F7325"/>
    <w:rsid w:val="61504396"/>
    <w:rsid w:val="615A0622"/>
    <w:rsid w:val="615D6EC3"/>
    <w:rsid w:val="61608A38"/>
    <w:rsid w:val="61611C80"/>
    <w:rsid w:val="6167D800"/>
    <w:rsid w:val="6173CF97"/>
    <w:rsid w:val="617E05B5"/>
    <w:rsid w:val="618626EE"/>
    <w:rsid w:val="618908E6"/>
    <w:rsid w:val="61966E2A"/>
    <w:rsid w:val="619F3733"/>
    <w:rsid w:val="61A22C2B"/>
    <w:rsid w:val="61A3C87F"/>
    <w:rsid w:val="61A6FC84"/>
    <w:rsid w:val="61AD5BDC"/>
    <w:rsid w:val="61ADB322"/>
    <w:rsid w:val="61BD5A6F"/>
    <w:rsid w:val="61C76C8F"/>
    <w:rsid w:val="61D138CE"/>
    <w:rsid w:val="61DAC57C"/>
    <w:rsid w:val="61E14E47"/>
    <w:rsid w:val="61F08CE7"/>
    <w:rsid w:val="621147C0"/>
    <w:rsid w:val="621ED132"/>
    <w:rsid w:val="62227E99"/>
    <w:rsid w:val="6228C2F9"/>
    <w:rsid w:val="622D7CB8"/>
    <w:rsid w:val="62361774"/>
    <w:rsid w:val="623D634C"/>
    <w:rsid w:val="62401EB5"/>
    <w:rsid w:val="624ACF02"/>
    <w:rsid w:val="6250B35B"/>
    <w:rsid w:val="6250D2F1"/>
    <w:rsid w:val="62523CAE"/>
    <w:rsid w:val="6257ECD4"/>
    <w:rsid w:val="6260B524"/>
    <w:rsid w:val="62656F41"/>
    <w:rsid w:val="627ACEBA"/>
    <w:rsid w:val="6283C5A7"/>
    <w:rsid w:val="628B64A5"/>
    <w:rsid w:val="628E25B0"/>
    <w:rsid w:val="629416DD"/>
    <w:rsid w:val="62995761"/>
    <w:rsid w:val="629987BF"/>
    <w:rsid w:val="629BCFA6"/>
    <w:rsid w:val="629C06FC"/>
    <w:rsid w:val="62A6B777"/>
    <w:rsid w:val="62AA2E9F"/>
    <w:rsid w:val="62AAF4E7"/>
    <w:rsid w:val="62AF5D77"/>
    <w:rsid w:val="62C7E2B6"/>
    <w:rsid w:val="62CC12D3"/>
    <w:rsid w:val="62D54AAA"/>
    <w:rsid w:val="62D5AD01"/>
    <w:rsid w:val="62E2B52C"/>
    <w:rsid w:val="63026A3E"/>
    <w:rsid w:val="630FA7D4"/>
    <w:rsid w:val="6314D44E"/>
    <w:rsid w:val="633ABF5C"/>
    <w:rsid w:val="63437E45"/>
    <w:rsid w:val="634CB233"/>
    <w:rsid w:val="634E5864"/>
    <w:rsid w:val="6350A610"/>
    <w:rsid w:val="6356E69A"/>
    <w:rsid w:val="635CA7DF"/>
    <w:rsid w:val="635CA8D2"/>
    <w:rsid w:val="63634C0F"/>
    <w:rsid w:val="636AEA20"/>
    <w:rsid w:val="6371B946"/>
    <w:rsid w:val="6376A346"/>
    <w:rsid w:val="6387B29B"/>
    <w:rsid w:val="638835F7"/>
    <w:rsid w:val="63927B20"/>
    <w:rsid w:val="63928FEC"/>
    <w:rsid w:val="63973CDA"/>
    <w:rsid w:val="639841DE"/>
    <w:rsid w:val="639A3F1B"/>
    <w:rsid w:val="639FCE3B"/>
    <w:rsid w:val="63A08F57"/>
    <w:rsid w:val="63A1EE59"/>
    <w:rsid w:val="63A3EAF7"/>
    <w:rsid w:val="63A93389"/>
    <w:rsid w:val="63ABD87D"/>
    <w:rsid w:val="63BCDE33"/>
    <w:rsid w:val="63C63D23"/>
    <w:rsid w:val="63CD3566"/>
    <w:rsid w:val="63D03334"/>
    <w:rsid w:val="63E2339F"/>
    <w:rsid w:val="63E37B8A"/>
    <w:rsid w:val="63EF1181"/>
    <w:rsid w:val="63FE2D83"/>
    <w:rsid w:val="63FFC392"/>
    <w:rsid w:val="64010EA7"/>
    <w:rsid w:val="6404692E"/>
    <w:rsid w:val="640CE5E8"/>
    <w:rsid w:val="64161985"/>
    <w:rsid w:val="6419CB2A"/>
    <w:rsid w:val="642E9AB7"/>
    <w:rsid w:val="64315516"/>
    <w:rsid w:val="6441F7B2"/>
    <w:rsid w:val="6447BACD"/>
    <w:rsid w:val="64487E3F"/>
    <w:rsid w:val="644A8B29"/>
    <w:rsid w:val="644D0692"/>
    <w:rsid w:val="64521206"/>
    <w:rsid w:val="645B748A"/>
    <w:rsid w:val="645DB32A"/>
    <w:rsid w:val="646822F4"/>
    <w:rsid w:val="647A5FD2"/>
    <w:rsid w:val="647E04BE"/>
    <w:rsid w:val="64865BEE"/>
    <w:rsid w:val="649615F2"/>
    <w:rsid w:val="64985776"/>
    <w:rsid w:val="649E738D"/>
    <w:rsid w:val="64B7CF78"/>
    <w:rsid w:val="64BDBD42"/>
    <w:rsid w:val="64C05E84"/>
    <w:rsid w:val="64DE39CA"/>
    <w:rsid w:val="64F1CEB4"/>
    <w:rsid w:val="64F4F69B"/>
    <w:rsid w:val="64FA8B42"/>
    <w:rsid w:val="6501742E"/>
    <w:rsid w:val="65164F06"/>
    <w:rsid w:val="65193AB6"/>
    <w:rsid w:val="6525A133"/>
    <w:rsid w:val="6526CFCF"/>
    <w:rsid w:val="65279783"/>
    <w:rsid w:val="652A78F1"/>
    <w:rsid w:val="652E9F68"/>
    <w:rsid w:val="6534F235"/>
    <w:rsid w:val="653E2ADB"/>
    <w:rsid w:val="654324E3"/>
    <w:rsid w:val="6544F3ED"/>
    <w:rsid w:val="654D6F47"/>
    <w:rsid w:val="6558E5CD"/>
    <w:rsid w:val="6559A44E"/>
    <w:rsid w:val="656183BF"/>
    <w:rsid w:val="6569CD2B"/>
    <w:rsid w:val="657B7834"/>
    <w:rsid w:val="657F3B38"/>
    <w:rsid w:val="657FDC56"/>
    <w:rsid w:val="65816AC7"/>
    <w:rsid w:val="6596F4D0"/>
    <w:rsid w:val="65A04FED"/>
    <w:rsid w:val="65A31D14"/>
    <w:rsid w:val="65AA4BF9"/>
    <w:rsid w:val="65B04087"/>
    <w:rsid w:val="65BD2F9F"/>
    <w:rsid w:val="65C91E6E"/>
    <w:rsid w:val="65D05FA6"/>
    <w:rsid w:val="65DD474C"/>
    <w:rsid w:val="65E7F62B"/>
    <w:rsid w:val="65F028E2"/>
    <w:rsid w:val="65F130DA"/>
    <w:rsid w:val="65F25C70"/>
    <w:rsid w:val="6612D022"/>
    <w:rsid w:val="661B19FF"/>
    <w:rsid w:val="661C13D0"/>
    <w:rsid w:val="661EEBC7"/>
    <w:rsid w:val="6628978D"/>
    <w:rsid w:val="6636B986"/>
    <w:rsid w:val="663E0FC2"/>
    <w:rsid w:val="6641E014"/>
    <w:rsid w:val="664EFE54"/>
    <w:rsid w:val="665E570F"/>
    <w:rsid w:val="665F4545"/>
    <w:rsid w:val="666591AA"/>
    <w:rsid w:val="6686F960"/>
    <w:rsid w:val="668D16EA"/>
    <w:rsid w:val="669CA0E1"/>
    <w:rsid w:val="66A6C9BA"/>
    <w:rsid w:val="66B6F99D"/>
    <w:rsid w:val="66B8B8D4"/>
    <w:rsid w:val="66BECA10"/>
    <w:rsid w:val="66C17E14"/>
    <w:rsid w:val="66C830AD"/>
    <w:rsid w:val="66DFEE87"/>
    <w:rsid w:val="66E07572"/>
    <w:rsid w:val="66E4D054"/>
    <w:rsid w:val="66E5E73F"/>
    <w:rsid w:val="67117E95"/>
    <w:rsid w:val="671200BE"/>
    <w:rsid w:val="67136659"/>
    <w:rsid w:val="671E8CAC"/>
    <w:rsid w:val="6730DEAD"/>
    <w:rsid w:val="67556B52"/>
    <w:rsid w:val="675A0254"/>
    <w:rsid w:val="6768C5FA"/>
    <w:rsid w:val="67690F43"/>
    <w:rsid w:val="6769C2F2"/>
    <w:rsid w:val="676D23A4"/>
    <w:rsid w:val="676EDBCE"/>
    <w:rsid w:val="6773FDF8"/>
    <w:rsid w:val="677640EB"/>
    <w:rsid w:val="677E1748"/>
    <w:rsid w:val="67895DE0"/>
    <w:rsid w:val="67897F9E"/>
    <w:rsid w:val="678BEBA7"/>
    <w:rsid w:val="679C9E38"/>
    <w:rsid w:val="67A5BF1D"/>
    <w:rsid w:val="67AB2C38"/>
    <w:rsid w:val="67B5E331"/>
    <w:rsid w:val="67C2CDA1"/>
    <w:rsid w:val="67C40405"/>
    <w:rsid w:val="67C5B641"/>
    <w:rsid w:val="67C800F1"/>
    <w:rsid w:val="67C9BFAB"/>
    <w:rsid w:val="67CBE217"/>
    <w:rsid w:val="67CCDD0C"/>
    <w:rsid w:val="67D0B041"/>
    <w:rsid w:val="67D91F4E"/>
    <w:rsid w:val="67DE4743"/>
    <w:rsid w:val="67E6BD51"/>
    <w:rsid w:val="67EF7BAC"/>
    <w:rsid w:val="67F6A606"/>
    <w:rsid w:val="6800B752"/>
    <w:rsid w:val="682B385F"/>
    <w:rsid w:val="6839D29D"/>
    <w:rsid w:val="68479C9F"/>
    <w:rsid w:val="68561260"/>
    <w:rsid w:val="685E93ED"/>
    <w:rsid w:val="686095FD"/>
    <w:rsid w:val="6871AB87"/>
    <w:rsid w:val="6872CB0C"/>
    <w:rsid w:val="6873511C"/>
    <w:rsid w:val="6874C38D"/>
    <w:rsid w:val="68750FB2"/>
    <w:rsid w:val="6875FBD7"/>
    <w:rsid w:val="687630DE"/>
    <w:rsid w:val="6889C02C"/>
    <w:rsid w:val="688A9E74"/>
    <w:rsid w:val="688AA0FA"/>
    <w:rsid w:val="688F6657"/>
    <w:rsid w:val="6896B0BB"/>
    <w:rsid w:val="689B20E0"/>
    <w:rsid w:val="689B477D"/>
    <w:rsid w:val="68A079CD"/>
    <w:rsid w:val="68AEA71F"/>
    <w:rsid w:val="68B93272"/>
    <w:rsid w:val="68C16286"/>
    <w:rsid w:val="68CB5839"/>
    <w:rsid w:val="68D6367B"/>
    <w:rsid w:val="68D839B4"/>
    <w:rsid w:val="68D83B78"/>
    <w:rsid w:val="68DD0ABC"/>
    <w:rsid w:val="68E1D13A"/>
    <w:rsid w:val="68E5F45D"/>
    <w:rsid w:val="68EACF59"/>
    <w:rsid w:val="68F461E8"/>
    <w:rsid w:val="68F77E4A"/>
    <w:rsid w:val="68F7CFE5"/>
    <w:rsid w:val="68F84C2C"/>
    <w:rsid w:val="68F8D196"/>
    <w:rsid w:val="69190C5B"/>
    <w:rsid w:val="692CA757"/>
    <w:rsid w:val="692FEC0A"/>
    <w:rsid w:val="6931C58D"/>
    <w:rsid w:val="693828F8"/>
    <w:rsid w:val="6938414B"/>
    <w:rsid w:val="693C0114"/>
    <w:rsid w:val="693CF5D8"/>
    <w:rsid w:val="693FC5AD"/>
    <w:rsid w:val="69416F01"/>
    <w:rsid w:val="69446B0F"/>
    <w:rsid w:val="69546354"/>
    <w:rsid w:val="695AFFEB"/>
    <w:rsid w:val="6968989F"/>
    <w:rsid w:val="696A0429"/>
    <w:rsid w:val="69707782"/>
    <w:rsid w:val="69753B07"/>
    <w:rsid w:val="69799D95"/>
    <w:rsid w:val="697D4D48"/>
    <w:rsid w:val="697E91A3"/>
    <w:rsid w:val="69921F91"/>
    <w:rsid w:val="6994EDAA"/>
    <w:rsid w:val="69A7C70C"/>
    <w:rsid w:val="69CB91AF"/>
    <w:rsid w:val="69D2559B"/>
    <w:rsid w:val="69D58CF4"/>
    <w:rsid w:val="69DEA302"/>
    <w:rsid w:val="69E20BAC"/>
    <w:rsid w:val="69E3AB34"/>
    <w:rsid w:val="69E72E3F"/>
    <w:rsid w:val="69F99F90"/>
    <w:rsid w:val="6A046C85"/>
    <w:rsid w:val="6A07D9D1"/>
    <w:rsid w:val="6A19823C"/>
    <w:rsid w:val="6A3652CD"/>
    <w:rsid w:val="6A3C0CE8"/>
    <w:rsid w:val="6A4C45EB"/>
    <w:rsid w:val="6A501866"/>
    <w:rsid w:val="6A519DAF"/>
    <w:rsid w:val="6A564121"/>
    <w:rsid w:val="6A5D3947"/>
    <w:rsid w:val="6A7E5B3E"/>
    <w:rsid w:val="6A7F34EF"/>
    <w:rsid w:val="6A84E045"/>
    <w:rsid w:val="6A986E41"/>
    <w:rsid w:val="6AAA0EE6"/>
    <w:rsid w:val="6AAEBE0D"/>
    <w:rsid w:val="6AB79360"/>
    <w:rsid w:val="6AD1702B"/>
    <w:rsid w:val="6AD5472B"/>
    <w:rsid w:val="6ADC2221"/>
    <w:rsid w:val="6AE7B5D4"/>
    <w:rsid w:val="6AE9DCCD"/>
    <w:rsid w:val="6AF1451C"/>
    <w:rsid w:val="6B00D428"/>
    <w:rsid w:val="6B155ED4"/>
    <w:rsid w:val="6B1947B8"/>
    <w:rsid w:val="6B1BB52D"/>
    <w:rsid w:val="6B235751"/>
    <w:rsid w:val="6B2377CE"/>
    <w:rsid w:val="6B2E0066"/>
    <w:rsid w:val="6B3711B5"/>
    <w:rsid w:val="6B3EDEBE"/>
    <w:rsid w:val="6B582DC9"/>
    <w:rsid w:val="6B5C8205"/>
    <w:rsid w:val="6B7B729C"/>
    <w:rsid w:val="6B7B8F70"/>
    <w:rsid w:val="6B86AEEF"/>
    <w:rsid w:val="6B8CAE6C"/>
    <w:rsid w:val="6B9072E6"/>
    <w:rsid w:val="6B977164"/>
    <w:rsid w:val="6BA232AE"/>
    <w:rsid w:val="6BA3C8E0"/>
    <w:rsid w:val="6BA58004"/>
    <w:rsid w:val="6BC27F39"/>
    <w:rsid w:val="6BC45EB6"/>
    <w:rsid w:val="6BC5004D"/>
    <w:rsid w:val="6BC5532E"/>
    <w:rsid w:val="6BCA008B"/>
    <w:rsid w:val="6BCB3816"/>
    <w:rsid w:val="6BD1A7AC"/>
    <w:rsid w:val="6BD22158"/>
    <w:rsid w:val="6BD62625"/>
    <w:rsid w:val="6BD7ED3C"/>
    <w:rsid w:val="6BEC41EF"/>
    <w:rsid w:val="6BECFC01"/>
    <w:rsid w:val="6BEDE066"/>
    <w:rsid w:val="6BF67DA5"/>
    <w:rsid w:val="6BF9B5F6"/>
    <w:rsid w:val="6C1120B1"/>
    <w:rsid w:val="6C15934E"/>
    <w:rsid w:val="6C3AA59A"/>
    <w:rsid w:val="6C3C841E"/>
    <w:rsid w:val="6C3C99F5"/>
    <w:rsid w:val="6C4B2ADC"/>
    <w:rsid w:val="6C4FEF76"/>
    <w:rsid w:val="6C666B37"/>
    <w:rsid w:val="6C690B65"/>
    <w:rsid w:val="6C692D8C"/>
    <w:rsid w:val="6C6A230B"/>
    <w:rsid w:val="6C6CC448"/>
    <w:rsid w:val="6C6F2BBC"/>
    <w:rsid w:val="6C74A842"/>
    <w:rsid w:val="6C8796E5"/>
    <w:rsid w:val="6C8ED94F"/>
    <w:rsid w:val="6C92E896"/>
    <w:rsid w:val="6C973226"/>
    <w:rsid w:val="6C9796DF"/>
    <w:rsid w:val="6C9860A1"/>
    <w:rsid w:val="6C9BA70B"/>
    <w:rsid w:val="6CAAF66D"/>
    <w:rsid w:val="6CB23FD1"/>
    <w:rsid w:val="6CC7D477"/>
    <w:rsid w:val="6CDF3FFC"/>
    <w:rsid w:val="6CEAF417"/>
    <w:rsid w:val="6CFB24F7"/>
    <w:rsid w:val="6CFCF913"/>
    <w:rsid w:val="6D07987D"/>
    <w:rsid w:val="6D0ABE1D"/>
    <w:rsid w:val="6D2EDAD4"/>
    <w:rsid w:val="6D3AFB95"/>
    <w:rsid w:val="6D3B1BD2"/>
    <w:rsid w:val="6D5382AC"/>
    <w:rsid w:val="6D538613"/>
    <w:rsid w:val="6D5BD355"/>
    <w:rsid w:val="6D5FEF8D"/>
    <w:rsid w:val="6D67157C"/>
    <w:rsid w:val="6D6C0E70"/>
    <w:rsid w:val="6D78B343"/>
    <w:rsid w:val="6D7D5BBD"/>
    <w:rsid w:val="6D85519C"/>
    <w:rsid w:val="6D880BEB"/>
    <w:rsid w:val="6D8E0617"/>
    <w:rsid w:val="6D953177"/>
    <w:rsid w:val="6D966DE3"/>
    <w:rsid w:val="6D98DC69"/>
    <w:rsid w:val="6D9E32C2"/>
    <w:rsid w:val="6DA40BAF"/>
    <w:rsid w:val="6DB47496"/>
    <w:rsid w:val="6DB98AFA"/>
    <w:rsid w:val="6DC6AC98"/>
    <w:rsid w:val="6DC9A762"/>
    <w:rsid w:val="6DCAAF22"/>
    <w:rsid w:val="6DCCE03F"/>
    <w:rsid w:val="6DCDD9B6"/>
    <w:rsid w:val="6DEADAC1"/>
    <w:rsid w:val="6DEC006B"/>
    <w:rsid w:val="6DEEFE0E"/>
    <w:rsid w:val="6DF2CF1A"/>
    <w:rsid w:val="6DF4B321"/>
    <w:rsid w:val="6DF66038"/>
    <w:rsid w:val="6DFDEAF3"/>
    <w:rsid w:val="6E032969"/>
    <w:rsid w:val="6E0D352F"/>
    <w:rsid w:val="6E21FDA9"/>
    <w:rsid w:val="6E279B32"/>
    <w:rsid w:val="6E2F6F9E"/>
    <w:rsid w:val="6E337370"/>
    <w:rsid w:val="6E348C71"/>
    <w:rsid w:val="6E35BC73"/>
    <w:rsid w:val="6E38A348"/>
    <w:rsid w:val="6E3B044D"/>
    <w:rsid w:val="6E3C87A0"/>
    <w:rsid w:val="6E3D54D9"/>
    <w:rsid w:val="6E3D9EFF"/>
    <w:rsid w:val="6E4714B6"/>
    <w:rsid w:val="6E54B03E"/>
    <w:rsid w:val="6E563AD9"/>
    <w:rsid w:val="6E5AF1C1"/>
    <w:rsid w:val="6E71F71C"/>
    <w:rsid w:val="6E82CCBC"/>
    <w:rsid w:val="6E834CB8"/>
    <w:rsid w:val="6E8C0754"/>
    <w:rsid w:val="6E9B84EC"/>
    <w:rsid w:val="6E9EE0DB"/>
    <w:rsid w:val="6EAE089D"/>
    <w:rsid w:val="6EB1508A"/>
    <w:rsid w:val="6EC5BDC9"/>
    <w:rsid w:val="6ED52125"/>
    <w:rsid w:val="6ED70A2F"/>
    <w:rsid w:val="6ED75CED"/>
    <w:rsid w:val="6EE21280"/>
    <w:rsid w:val="6EEEB98D"/>
    <w:rsid w:val="6EF3DE20"/>
    <w:rsid w:val="6F0F7E24"/>
    <w:rsid w:val="6F14DA86"/>
    <w:rsid w:val="6F19CF01"/>
    <w:rsid w:val="6F1D00C6"/>
    <w:rsid w:val="6F21AF65"/>
    <w:rsid w:val="6F2245FC"/>
    <w:rsid w:val="6F3F0D1B"/>
    <w:rsid w:val="6F3F3D02"/>
    <w:rsid w:val="6F4010D7"/>
    <w:rsid w:val="6F45EDDC"/>
    <w:rsid w:val="6F4C327D"/>
    <w:rsid w:val="6F4EF462"/>
    <w:rsid w:val="6F597188"/>
    <w:rsid w:val="6F5FB18A"/>
    <w:rsid w:val="6F8164B1"/>
    <w:rsid w:val="6F8813A1"/>
    <w:rsid w:val="6F8C7F04"/>
    <w:rsid w:val="6F92298D"/>
    <w:rsid w:val="6F9543FA"/>
    <w:rsid w:val="6F97F78C"/>
    <w:rsid w:val="6F9C140C"/>
    <w:rsid w:val="6F9F6496"/>
    <w:rsid w:val="6FAAE482"/>
    <w:rsid w:val="6FC03F5F"/>
    <w:rsid w:val="6FD7B30B"/>
    <w:rsid w:val="6FD8ED5A"/>
    <w:rsid w:val="6FDEF95E"/>
    <w:rsid w:val="6FE04784"/>
    <w:rsid w:val="6FE40F4B"/>
    <w:rsid w:val="6FEBA4E0"/>
    <w:rsid w:val="6FFB90C2"/>
    <w:rsid w:val="6FFFB856"/>
    <w:rsid w:val="70019C55"/>
    <w:rsid w:val="70023D6B"/>
    <w:rsid w:val="7003F278"/>
    <w:rsid w:val="701762FE"/>
    <w:rsid w:val="70332114"/>
    <w:rsid w:val="703C60FD"/>
    <w:rsid w:val="704CFC27"/>
    <w:rsid w:val="70547DD3"/>
    <w:rsid w:val="70622215"/>
    <w:rsid w:val="7065FFCD"/>
    <w:rsid w:val="708629E4"/>
    <w:rsid w:val="7086D1DA"/>
    <w:rsid w:val="70878A40"/>
    <w:rsid w:val="708A5B85"/>
    <w:rsid w:val="709C60D8"/>
    <w:rsid w:val="70B1FCE5"/>
    <w:rsid w:val="70BCED2C"/>
    <w:rsid w:val="70C01DC9"/>
    <w:rsid w:val="70C09231"/>
    <w:rsid w:val="70C16C68"/>
    <w:rsid w:val="70C4FFBF"/>
    <w:rsid w:val="70D27FDA"/>
    <w:rsid w:val="70D3A95E"/>
    <w:rsid w:val="70E41A0B"/>
    <w:rsid w:val="70E97FD0"/>
    <w:rsid w:val="70EE4D76"/>
    <w:rsid w:val="70FA5D7D"/>
    <w:rsid w:val="70FE2F04"/>
    <w:rsid w:val="71048101"/>
    <w:rsid w:val="71068942"/>
    <w:rsid w:val="710D21F3"/>
    <w:rsid w:val="710DFC71"/>
    <w:rsid w:val="7112FAAA"/>
    <w:rsid w:val="711DC4ED"/>
    <w:rsid w:val="711ED254"/>
    <w:rsid w:val="712138B4"/>
    <w:rsid w:val="71309A94"/>
    <w:rsid w:val="7133057E"/>
    <w:rsid w:val="71396B48"/>
    <w:rsid w:val="7141BA76"/>
    <w:rsid w:val="71451023"/>
    <w:rsid w:val="7145197F"/>
    <w:rsid w:val="71467426"/>
    <w:rsid w:val="717208FC"/>
    <w:rsid w:val="718C0F63"/>
    <w:rsid w:val="719754AE"/>
    <w:rsid w:val="7199315B"/>
    <w:rsid w:val="71A60799"/>
    <w:rsid w:val="71AD9C58"/>
    <w:rsid w:val="71AF0CB4"/>
    <w:rsid w:val="71B2A0A1"/>
    <w:rsid w:val="71BADA90"/>
    <w:rsid w:val="71BC58E9"/>
    <w:rsid w:val="71BF29CA"/>
    <w:rsid w:val="71DA2AA3"/>
    <w:rsid w:val="71DEC00D"/>
    <w:rsid w:val="71E2D942"/>
    <w:rsid w:val="72017B5D"/>
    <w:rsid w:val="7202799A"/>
    <w:rsid w:val="7203A836"/>
    <w:rsid w:val="7211B4D8"/>
    <w:rsid w:val="7212F9EE"/>
    <w:rsid w:val="7215BA0B"/>
    <w:rsid w:val="72177F92"/>
    <w:rsid w:val="721C5978"/>
    <w:rsid w:val="721CA652"/>
    <w:rsid w:val="72262BE6"/>
    <w:rsid w:val="722B7640"/>
    <w:rsid w:val="7231183F"/>
    <w:rsid w:val="7231CE7A"/>
    <w:rsid w:val="723635B8"/>
    <w:rsid w:val="7236D7C2"/>
    <w:rsid w:val="724339A5"/>
    <w:rsid w:val="72487247"/>
    <w:rsid w:val="724FF905"/>
    <w:rsid w:val="7258EC09"/>
    <w:rsid w:val="725A42F3"/>
    <w:rsid w:val="726FD883"/>
    <w:rsid w:val="728A1DD7"/>
    <w:rsid w:val="728D059B"/>
    <w:rsid w:val="7299C64B"/>
    <w:rsid w:val="7299DC35"/>
    <w:rsid w:val="729C0744"/>
    <w:rsid w:val="729D1885"/>
    <w:rsid w:val="72A7D41A"/>
    <w:rsid w:val="72C04519"/>
    <w:rsid w:val="72C1EE9B"/>
    <w:rsid w:val="72C50593"/>
    <w:rsid w:val="72CDE5C0"/>
    <w:rsid w:val="72EC8DB7"/>
    <w:rsid w:val="73115568"/>
    <w:rsid w:val="7314DB17"/>
    <w:rsid w:val="73153BFA"/>
    <w:rsid w:val="7315E4D2"/>
    <w:rsid w:val="7344EB6B"/>
    <w:rsid w:val="7345AF6C"/>
    <w:rsid w:val="7348FCD4"/>
    <w:rsid w:val="734DEDF0"/>
    <w:rsid w:val="7359A43F"/>
    <w:rsid w:val="735A5D50"/>
    <w:rsid w:val="736660CC"/>
    <w:rsid w:val="73670A38"/>
    <w:rsid w:val="7367EBA6"/>
    <w:rsid w:val="736892EF"/>
    <w:rsid w:val="736D6D4B"/>
    <w:rsid w:val="7371D94D"/>
    <w:rsid w:val="73788F34"/>
    <w:rsid w:val="737E41C3"/>
    <w:rsid w:val="738059A3"/>
    <w:rsid w:val="7383905E"/>
    <w:rsid w:val="738945E6"/>
    <w:rsid w:val="738F3C60"/>
    <w:rsid w:val="73960509"/>
    <w:rsid w:val="73A85A2E"/>
    <w:rsid w:val="73A8BE92"/>
    <w:rsid w:val="73AA568B"/>
    <w:rsid w:val="73B1C3AB"/>
    <w:rsid w:val="73BE7917"/>
    <w:rsid w:val="73BF8EC7"/>
    <w:rsid w:val="73C430F7"/>
    <w:rsid w:val="73C4ADF1"/>
    <w:rsid w:val="73CB8701"/>
    <w:rsid w:val="73D7F7DF"/>
    <w:rsid w:val="73EE03D4"/>
    <w:rsid w:val="73FE8F40"/>
    <w:rsid w:val="741BFFC5"/>
    <w:rsid w:val="741E7E68"/>
    <w:rsid w:val="7425A22E"/>
    <w:rsid w:val="742F6216"/>
    <w:rsid w:val="743587CF"/>
    <w:rsid w:val="743B23E3"/>
    <w:rsid w:val="744C6C38"/>
    <w:rsid w:val="74582DC4"/>
    <w:rsid w:val="7458B13E"/>
    <w:rsid w:val="7462DF14"/>
    <w:rsid w:val="746B0A1D"/>
    <w:rsid w:val="746BAF68"/>
    <w:rsid w:val="7474CAA0"/>
    <w:rsid w:val="74778923"/>
    <w:rsid w:val="747A92D6"/>
    <w:rsid w:val="747D99D3"/>
    <w:rsid w:val="748B7EAA"/>
    <w:rsid w:val="748F2C5B"/>
    <w:rsid w:val="749C96DD"/>
    <w:rsid w:val="74CEACE3"/>
    <w:rsid w:val="74D38558"/>
    <w:rsid w:val="74DEBAF8"/>
    <w:rsid w:val="74DF2104"/>
    <w:rsid w:val="74E0BBCC"/>
    <w:rsid w:val="74E3FEBE"/>
    <w:rsid w:val="74E6C4F7"/>
    <w:rsid w:val="74F1B66F"/>
    <w:rsid w:val="74FD3DA6"/>
    <w:rsid w:val="7502ED46"/>
    <w:rsid w:val="750321E6"/>
    <w:rsid w:val="75091035"/>
    <w:rsid w:val="75092752"/>
    <w:rsid w:val="75095002"/>
    <w:rsid w:val="751062F3"/>
    <w:rsid w:val="751CDCD7"/>
    <w:rsid w:val="751EB086"/>
    <w:rsid w:val="7523C019"/>
    <w:rsid w:val="75345F69"/>
    <w:rsid w:val="7558966E"/>
    <w:rsid w:val="75650403"/>
    <w:rsid w:val="75760CF1"/>
    <w:rsid w:val="757C91F2"/>
    <w:rsid w:val="75934A40"/>
    <w:rsid w:val="75973579"/>
    <w:rsid w:val="7599DA75"/>
    <w:rsid w:val="75A44CA0"/>
    <w:rsid w:val="75A7CA54"/>
    <w:rsid w:val="75A8F332"/>
    <w:rsid w:val="75ACAE50"/>
    <w:rsid w:val="75AFFF7B"/>
    <w:rsid w:val="75B8097D"/>
    <w:rsid w:val="75BAF648"/>
    <w:rsid w:val="75BDF663"/>
    <w:rsid w:val="75BF1844"/>
    <w:rsid w:val="75CA1CE8"/>
    <w:rsid w:val="75E412C3"/>
    <w:rsid w:val="75F2F234"/>
    <w:rsid w:val="76055074"/>
    <w:rsid w:val="76094D98"/>
    <w:rsid w:val="7612D0DD"/>
    <w:rsid w:val="76182C47"/>
    <w:rsid w:val="761CE398"/>
    <w:rsid w:val="763065D9"/>
    <w:rsid w:val="7630E94A"/>
    <w:rsid w:val="763FBFCD"/>
    <w:rsid w:val="764C3335"/>
    <w:rsid w:val="765DA069"/>
    <w:rsid w:val="7662C1BE"/>
    <w:rsid w:val="76635CCF"/>
    <w:rsid w:val="766A4E30"/>
    <w:rsid w:val="767A86A4"/>
    <w:rsid w:val="7681C6CF"/>
    <w:rsid w:val="76858EB2"/>
    <w:rsid w:val="768B1FC0"/>
    <w:rsid w:val="768CDAEF"/>
    <w:rsid w:val="7693AEE1"/>
    <w:rsid w:val="76A4AFF5"/>
    <w:rsid w:val="76AA6D5E"/>
    <w:rsid w:val="76AAA36D"/>
    <w:rsid w:val="76B3C486"/>
    <w:rsid w:val="76BEFD35"/>
    <w:rsid w:val="76BEFE2E"/>
    <w:rsid w:val="76CC9BE8"/>
    <w:rsid w:val="76CDDF8A"/>
    <w:rsid w:val="76E73E22"/>
    <w:rsid w:val="76EE4026"/>
    <w:rsid w:val="76F99D09"/>
    <w:rsid w:val="77068E5A"/>
    <w:rsid w:val="77074D14"/>
    <w:rsid w:val="7712ABCE"/>
    <w:rsid w:val="7725F1FD"/>
    <w:rsid w:val="77276072"/>
    <w:rsid w:val="77359DF5"/>
    <w:rsid w:val="7735AAD6"/>
    <w:rsid w:val="773CDB78"/>
    <w:rsid w:val="773E1276"/>
    <w:rsid w:val="774257DB"/>
    <w:rsid w:val="77428CDD"/>
    <w:rsid w:val="77457DD5"/>
    <w:rsid w:val="7747E880"/>
    <w:rsid w:val="7749188C"/>
    <w:rsid w:val="77532985"/>
    <w:rsid w:val="77630F24"/>
    <w:rsid w:val="77708FE0"/>
    <w:rsid w:val="777646C4"/>
    <w:rsid w:val="77776D29"/>
    <w:rsid w:val="777F68B1"/>
    <w:rsid w:val="778EFF92"/>
    <w:rsid w:val="779651D6"/>
    <w:rsid w:val="77A13B8B"/>
    <w:rsid w:val="77A61F21"/>
    <w:rsid w:val="77B3E95A"/>
    <w:rsid w:val="77B9E9A5"/>
    <w:rsid w:val="77BB45CC"/>
    <w:rsid w:val="77C77D66"/>
    <w:rsid w:val="77CDF41E"/>
    <w:rsid w:val="77E341F5"/>
    <w:rsid w:val="77E6568A"/>
    <w:rsid w:val="77EB37E9"/>
    <w:rsid w:val="77EE2F50"/>
    <w:rsid w:val="77F8BDCD"/>
    <w:rsid w:val="77F8C099"/>
    <w:rsid w:val="78067A40"/>
    <w:rsid w:val="780C1E72"/>
    <w:rsid w:val="78146E6E"/>
    <w:rsid w:val="7816045E"/>
    <w:rsid w:val="78165BBA"/>
    <w:rsid w:val="7817D05F"/>
    <w:rsid w:val="781A4538"/>
    <w:rsid w:val="781B4E2B"/>
    <w:rsid w:val="78222CD2"/>
    <w:rsid w:val="782C7E77"/>
    <w:rsid w:val="782F63D5"/>
    <w:rsid w:val="782FAF09"/>
    <w:rsid w:val="783F07BA"/>
    <w:rsid w:val="785C3D28"/>
    <w:rsid w:val="785E51EB"/>
    <w:rsid w:val="7865FA55"/>
    <w:rsid w:val="78681292"/>
    <w:rsid w:val="786CB204"/>
    <w:rsid w:val="787C1EEB"/>
    <w:rsid w:val="787DDFBB"/>
    <w:rsid w:val="78834840"/>
    <w:rsid w:val="78937A07"/>
    <w:rsid w:val="78A69FB8"/>
    <w:rsid w:val="78B5233C"/>
    <w:rsid w:val="78B83C42"/>
    <w:rsid w:val="78BC18A8"/>
    <w:rsid w:val="78BFAA7D"/>
    <w:rsid w:val="78C62559"/>
    <w:rsid w:val="78C69173"/>
    <w:rsid w:val="78CCC7FC"/>
    <w:rsid w:val="78DE3504"/>
    <w:rsid w:val="78E8463A"/>
    <w:rsid w:val="78EC866D"/>
    <w:rsid w:val="78F1650C"/>
    <w:rsid w:val="78FCD9B7"/>
    <w:rsid w:val="7903150C"/>
    <w:rsid w:val="79046317"/>
    <w:rsid w:val="79083161"/>
    <w:rsid w:val="7911EF05"/>
    <w:rsid w:val="7919ABAF"/>
    <w:rsid w:val="7919E763"/>
    <w:rsid w:val="792D8283"/>
    <w:rsid w:val="79390F98"/>
    <w:rsid w:val="79397A3B"/>
    <w:rsid w:val="79451D47"/>
    <w:rsid w:val="79461525"/>
    <w:rsid w:val="7947C3AE"/>
    <w:rsid w:val="7948B13B"/>
    <w:rsid w:val="7954C0E3"/>
    <w:rsid w:val="79584B15"/>
    <w:rsid w:val="795A4CB9"/>
    <w:rsid w:val="795F4C2D"/>
    <w:rsid w:val="7967D9D3"/>
    <w:rsid w:val="7968F656"/>
    <w:rsid w:val="79733FFE"/>
    <w:rsid w:val="7975302D"/>
    <w:rsid w:val="797732AB"/>
    <w:rsid w:val="79789428"/>
    <w:rsid w:val="7981E2A2"/>
    <w:rsid w:val="79890A4D"/>
    <w:rsid w:val="798B16D0"/>
    <w:rsid w:val="79974473"/>
    <w:rsid w:val="799A1EC1"/>
    <w:rsid w:val="799DA5A9"/>
    <w:rsid w:val="79AB82E7"/>
    <w:rsid w:val="79B01D71"/>
    <w:rsid w:val="79C8E5C3"/>
    <w:rsid w:val="79CA6AE8"/>
    <w:rsid w:val="79D1933B"/>
    <w:rsid w:val="79D4B42E"/>
    <w:rsid w:val="79D7AEDC"/>
    <w:rsid w:val="79E2581C"/>
    <w:rsid w:val="79E4033A"/>
    <w:rsid w:val="79FCE0AC"/>
    <w:rsid w:val="7A0E3A69"/>
    <w:rsid w:val="7A11630D"/>
    <w:rsid w:val="7A17616F"/>
    <w:rsid w:val="7A19B01C"/>
    <w:rsid w:val="7A19B16E"/>
    <w:rsid w:val="7A1B2608"/>
    <w:rsid w:val="7A1D2108"/>
    <w:rsid w:val="7A50060C"/>
    <w:rsid w:val="7A540C36"/>
    <w:rsid w:val="7A5542D7"/>
    <w:rsid w:val="7A644010"/>
    <w:rsid w:val="7A7F2D46"/>
    <w:rsid w:val="7A9D5250"/>
    <w:rsid w:val="7AA02F60"/>
    <w:rsid w:val="7AA2A774"/>
    <w:rsid w:val="7AADF8CA"/>
    <w:rsid w:val="7ABDE84C"/>
    <w:rsid w:val="7ACF7A64"/>
    <w:rsid w:val="7AD0CD50"/>
    <w:rsid w:val="7AD6F715"/>
    <w:rsid w:val="7AE554B5"/>
    <w:rsid w:val="7AEB8136"/>
    <w:rsid w:val="7AF3737C"/>
    <w:rsid w:val="7AFAC4C8"/>
    <w:rsid w:val="7B0BE974"/>
    <w:rsid w:val="7B0C4359"/>
    <w:rsid w:val="7B2A59A3"/>
    <w:rsid w:val="7B2B164E"/>
    <w:rsid w:val="7B2D2897"/>
    <w:rsid w:val="7B47CF96"/>
    <w:rsid w:val="7B51ADA4"/>
    <w:rsid w:val="7B5450FA"/>
    <w:rsid w:val="7B614717"/>
    <w:rsid w:val="7B6324E3"/>
    <w:rsid w:val="7B670CED"/>
    <w:rsid w:val="7B6D639C"/>
    <w:rsid w:val="7B6FD7F7"/>
    <w:rsid w:val="7B7E6B6A"/>
    <w:rsid w:val="7B854D02"/>
    <w:rsid w:val="7B9AD2D4"/>
    <w:rsid w:val="7BB1C653"/>
    <w:rsid w:val="7BBE5863"/>
    <w:rsid w:val="7BC2C6E2"/>
    <w:rsid w:val="7BC73EA6"/>
    <w:rsid w:val="7BCFE14C"/>
    <w:rsid w:val="7BD476AA"/>
    <w:rsid w:val="7BED7885"/>
    <w:rsid w:val="7BED99DC"/>
    <w:rsid w:val="7C132912"/>
    <w:rsid w:val="7C1564E4"/>
    <w:rsid w:val="7C1FA31A"/>
    <w:rsid w:val="7C2A1E0D"/>
    <w:rsid w:val="7C3068C7"/>
    <w:rsid w:val="7C3448EE"/>
    <w:rsid w:val="7C3AB75A"/>
    <w:rsid w:val="7C41A647"/>
    <w:rsid w:val="7C45F2B0"/>
    <w:rsid w:val="7C5A92FA"/>
    <w:rsid w:val="7C5B11A9"/>
    <w:rsid w:val="7C62012B"/>
    <w:rsid w:val="7C6351A4"/>
    <w:rsid w:val="7C63E146"/>
    <w:rsid w:val="7C7060A8"/>
    <w:rsid w:val="7C7328B2"/>
    <w:rsid w:val="7C83B06D"/>
    <w:rsid w:val="7C897E6B"/>
    <w:rsid w:val="7C8DA01D"/>
    <w:rsid w:val="7CA379FD"/>
    <w:rsid w:val="7CAB3F41"/>
    <w:rsid w:val="7CB20440"/>
    <w:rsid w:val="7CC41FF3"/>
    <w:rsid w:val="7CCAA0ED"/>
    <w:rsid w:val="7CD1C87D"/>
    <w:rsid w:val="7CD8A253"/>
    <w:rsid w:val="7CDB30F2"/>
    <w:rsid w:val="7CDBA7D9"/>
    <w:rsid w:val="7CF25C59"/>
    <w:rsid w:val="7CF6143C"/>
    <w:rsid w:val="7CFD633B"/>
    <w:rsid w:val="7D015977"/>
    <w:rsid w:val="7D04BA24"/>
    <w:rsid w:val="7D0AAB8C"/>
    <w:rsid w:val="7D2AAD32"/>
    <w:rsid w:val="7D3BD872"/>
    <w:rsid w:val="7D3F55D0"/>
    <w:rsid w:val="7D4293EA"/>
    <w:rsid w:val="7D435080"/>
    <w:rsid w:val="7D4FE2C5"/>
    <w:rsid w:val="7D5793C9"/>
    <w:rsid w:val="7D6A3F9B"/>
    <w:rsid w:val="7D6BACF2"/>
    <w:rsid w:val="7D7E3878"/>
    <w:rsid w:val="7D7F7208"/>
    <w:rsid w:val="7D83555F"/>
    <w:rsid w:val="7D8DB2B4"/>
    <w:rsid w:val="7D9BB085"/>
    <w:rsid w:val="7DA1F992"/>
    <w:rsid w:val="7DA507DE"/>
    <w:rsid w:val="7DA6383F"/>
    <w:rsid w:val="7DA81B58"/>
    <w:rsid w:val="7DAB6F9F"/>
    <w:rsid w:val="7DB27E24"/>
    <w:rsid w:val="7DB7624E"/>
    <w:rsid w:val="7DBC4C84"/>
    <w:rsid w:val="7DBCAE0F"/>
    <w:rsid w:val="7DCC71DA"/>
    <w:rsid w:val="7DD0C996"/>
    <w:rsid w:val="7DD8337C"/>
    <w:rsid w:val="7DDC36DC"/>
    <w:rsid w:val="7DDF01DA"/>
    <w:rsid w:val="7DDF4888"/>
    <w:rsid w:val="7DE130ED"/>
    <w:rsid w:val="7DE8AE21"/>
    <w:rsid w:val="7DEC617D"/>
    <w:rsid w:val="7DF57781"/>
    <w:rsid w:val="7DFA26BE"/>
    <w:rsid w:val="7DFCB643"/>
    <w:rsid w:val="7DFEC126"/>
    <w:rsid w:val="7E17A5D8"/>
    <w:rsid w:val="7E19FAC3"/>
    <w:rsid w:val="7E1E0BC7"/>
    <w:rsid w:val="7E22C370"/>
    <w:rsid w:val="7E290921"/>
    <w:rsid w:val="7E442B2A"/>
    <w:rsid w:val="7E4ECB93"/>
    <w:rsid w:val="7E4F1008"/>
    <w:rsid w:val="7E4FD474"/>
    <w:rsid w:val="7E744D11"/>
    <w:rsid w:val="7E8D7BB1"/>
    <w:rsid w:val="7E9C56E6"/>
    <w:rsid w:val="7EA3C41C"/>
    <w:rsid w:val="7EAE665E"/>
    <w:rsid w:val="7EB96193"/>
    <w:rsid w:val="7EC1162B"/>
    <w:rsid w:val="7EC837C9"/>
    <w:rsid w:val="7EC9ADA8"/>
    <w:rsid w:val="7ECA3E35"/>
    <w:rsid w:val="7ECBA942"/>
    <w:rsid w:val="7ED8E2E4"/>
    <w:rsid w:val="7EDCA002"/>
    <w:rsid w:val="7EF586E0"/>
    <w:rsid w:val="7EF999DF"/>
    <w:rsid w:val="7EFC0D2E"/>
    <w:rsid w:val="7F08F1EA"/>
    <w:rsid w:val="7F2684A7"/>
    <w:rsid w:val="7F2B970E"/>
    <w:rsid w:val="7F3E1DB1"/>
    <w:rsid w:val="7F45DB6A"/>
    <w:rsid w:val="7F537E9A"/>
    <w:rsid w:val="7F573C7A"/>
    <w:rsid w:val="7F59612A"/>
    <w:rsid w:val="7F6BD474"/>
    <w:rsid w:val="7F724BEF"/>
    <w:rsid w:val="7F7B654B"/>
    <w:rsid w:val="7F7BE7EE"/>
    <w:rsid w:val="7F7FD074"/>
    <w:rsid w:val="7F832589"/>
    <w:rsid w:val="7F98A35B"/>
    <w:rsid w:val="7F9E07B2"/>
    <w:rsid w:val="7F9F59E4"/>
    <w:rsid w:val="7FA0109F"/>
    <w:rsid w:val="7FAB6EA4"/>
    <w:rsid w:val="7FC3FE7E"/>
    <w:rsid w:val="7FD10ADA"/>
    <w:rsid w:val="7FD52BEB"/>
    <w:rsid w:val="7FDC3F65"/>
    <w:rsid w:val="7FE8ED5B"/>
    <w:rsid w:val="7FEE0F5D"/>
    <w:rsid w:val="7FF7398B"/>
    <w:rsid w:val="7FFF6BA9"/>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75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iPriority="5" w:unhideWhenUsed="1"/>
    <w:lsdException w:name="List Bullet 5" w:semiHidden="1" w:uiPriority="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4"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5CE"/>
    <w:pPr>
      <w:keepLines/>
      <w:spacing w:before="120" w:after="120" w:line="264" w:lineRule="auto"/>
    </w:pPr>
    <w:rPr>
      <w:color w:val="232B39" w:themeColor="text1"/>
    </w:rPr>
  </w:style>
  <w:style w:type="paragraph" w:styleId="Heading1">
    <w:name w:val="heading 1"/>
    <w:next w:val="Normal"/>
    <w:link w:val="Heading1Char"/>
    <w:qFormat/>
    <w:rsid w:val="00F73552"/>
    <w:pPr>
      <w:keepNext/>
      <w:keepLines/>
      <w:spacing w:before="360" w:after="120"/>
      <w:outlineLvl w:val="0"/>
    </w:pPr>
    <w:rPr>
      <w:rFonts w:asciiTheme="majorHAnsi" w:eastAsiaTheme="majorEastAsia" w:hAnsiTheme="majorHAnsi" w:cstheme="majorBidi"/>
      <w:color w:val="232B39" w:themeColor="text1"/>
      <w:sz w:val="36"/>
      <w:szCs w:val="28"/>
    </w:rPr>
  </w:style>
  <w:style w:type="paragraph" w:styleId="Heading2">
    <w:name w:val="heading 2"/>
    <w:basedOn w:val="Normal"/>
    <w:next w:val="Normal"/>
    <w:link w:val="Heading2Char"/>
    <w:qFormat/>
    <w:rsid w:val="00F73552"/>
    <w:pPr>
      <w:keepNext/>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F73552"/>
    <w:pPr>
      <w:keepNext/>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F73552"/>
    <w:pPr>
      <w:keepNext/>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EC1415"/>
    <w:pPr>
      <w:keepNext/>
      <w:spacing w:before="180" w:after="60"/>
      <w:ind w:left="792"/>
      <w:outlineLvl w:val="4"/>
    </w:pPr>
    <w:rPr>
      <w:rFonts w:asciiTheme="majorHAnsi" w:eastAsiaTheme="majorEastAsia" w:hAnsiTheme="majorHAnsi" w:cstheme="majorBidi"/>
      <w:color w:val="333333"/>
      <w:sz w:val="19"/>
    </w:rPr>
  </w:style>
  <w:style w:type="paragraph" w:styleId="Heading6">
    <w:name w:val="heading 6"/>
    <w:basedOn w:val="Normal"/>
    <w:next w:val="Normal"/>
    <w:link w:val="Heading6Char"/>
    <w:uiPriority w:val="9"/>
    <w:semiHidden/>
    <w:qFormat/>
    <w:rsid w:val="002221BE"/>
    <w:pPr>
      <w:keepNext/>
      <w:numPr>
        <w:ilvl w:val="5"/>
        <w:numId w:val="17"/>
      </w:numPr>
      <w:spacing w:before="40" w:after="0"/>
      <w:ind w:left="4680" w:hanging="360"/>
      <w:outlineLvl w:val="5"/>
    </w:pPr>
    <w:rPr>
      <w:rFonts w:asciiTheme="majorHAnsi" w:eastAsiaTheme="majorEastAsia" w:hAnsiTheme="majorHAnsi" w:cstheme="majorBidi"/>
      <w:color w:val="420C4E" w:themeColor="accent1" w:themeShade="7F"/>
    </w:rPr>
  </w:style>
  <w:style w:type="paragraph" w:styleId="Heading7">
    <w:name w:val="heading 7"/>
    <w:basedOn w:val="Normal"/>
    <w:next w:val="Normal"/>
    <w:link w:val="Heading7Char"/>
    <w:uiPriority w:val="9"/>
    <w:semiHidden/>
    <w:qFormat/>
    <w:rsid w:val="002221BE"/>
    <w:pPr>
      <w:keepNext/>
      <w:numPr>
        <w:ilvl w:val="6"/>
        <w:numId w:val="17"/>
      </w:numPr>
      <w:spacing w:before="40" w:after="0"/>
      <w:ind w:left="5400" w:hanging="360"/>
      <w:outlineLvl w:val="6"/>
    </w:pPr>
    <w:rPr>
      <w:rFonts w:asciiTheme="majorHAnsi" w:eastAsiaTheme="majorEastAsia" w:hAnsiTheme="majorHAnsi" w:cstheme="majorBidi"/>
      <w:i/>
      <w:iCs/>
      <w:color w:val="420C4E" w:themeColor="accent1" w:themeShade="7F"/>
    </w:rPr>
  </w:style>
  <w:style w:type="paragraph" w:styleId="Heading8">
    <w:name w:val="heading 8"/>
    <w:basedOn w:val="Normal"/>
    <w:next w:val="Normal"/>
    <w:link w:val="Heading8Char"/>
    <w:uiPriority w:val="9"/>
    <w:semiHidden/>
    <w:qFormat/>
    <w:rsid w:val="002221BE"/>
    <w:pPr>
      <w:keepNext/>
      <w:numPr>
        <w:ilvl w:val="7"/>
        <w:numId w:val="17"/>
      </w:numPr>
      <w:spacing w:before="40" w:after="0"/>
      <w:ind w:left="6120" w:hanging="360"/>
      <w:outlineLvl w:val="7"/>
    </w:pPr>
    <w:rPr>
      <w:rFonts w:asciiTheme="majorHAnsi" w:eastAsiaTheme="majorEastAsia" w:hAnsiTheme="majorHAnsi" w:cstheme="majorBidi"/>
      <w:color w:val="3B4860" w:themeColor="text1" w:themeTint="D8"/>
      <w:sz w:val="21"/>
      <w:szCs w:val="21"/>
    </w:rPr>
  </w:style>
  <w:style w:type="paragraph" w:styleId="Heading9">
    <w:name w:val="heading 9"/>
    <w:basedOn w:val="Normal"/>
    <w:next w:val="Normal"/>
    <w:link w:val="Heading9Char"/>
    <w:uiPriority w:val="9"/>
    <w:semiHidden/>
    <w:qFormat/>
    <w:rsid w:val="002221BE"/>
    <w:pPr>
      <w:keepNext/>
      <w:numPr>
        <w:ilvl w:val="8"/>
        <w:numId w:val="17"/>
      </w:numPr>
      <w:spacing w:before="40" w:after="0"/>
      <w:ind w:left="6840" w:hanging="360"/>
      <w:outlineLvl w:val="8"/>
    </w:pPr>
    <w:rPr>
      <w:rFonts w:asciiTheme="majorHAnsi" w:eastAsiaTheme="majorEastAsia" w:hAnsiTheme="majorHAnsi" w:cstheme="majorBidi"/>
      <w:i/>
      <w:iCs/>
      <w:color w:val="3B48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73552"/>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aliases w:val="ICB Table,none,EY Table"/>
    <w:basedOn w:val="TableNormal"/>
    <w:uiPriority w:val="39"/>
    <w:rsid w:val="00DD7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F73552"/>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F73552"/>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D3055F"/>
    <w:pPr>
      <w:pBdr>
        <w:bottom w:val="single" w:sz="12" w:space="4" w:color="auto"/>
        <w:between w:val="single" w:sz="12" w:space="1" w:color="auto"/>
      </w:pBdr>
      <w:tabs>
        <w:tab w:val="right" w:pos="9000"/>
      </w:tabs>
      <w:spacing w:before="200" w:after="80"/>
      <w:ind w:left="504" w:right="29" w:hanging="504"/>
    </w:pPr>
    <w:rPr>
      <w:sz w:val="24"/>
      <w:szCs w:val="24"/>
    </w:rPr>
  </w:style>
  <w:style w:type="paragraph" w:styleId="TOC2">
    <w:name w:val="toc 2"/>
    <w:next w:val="Normal"/>
    <w:uiPriority w:val="39"/>
    <w:rsid w:val="00F73552"/>
    <w:pPr>
      <w:tabs>
        <w:tab w:val="right" w:pos="9000"/>
      </w:tabs>
      <w:spacing w:after="100"/>
      <w:ind w:left="446" w:right="432"/>
      <w:contextualSpacing/>
    </w:pPr>
    <w:rPr>
      <w:noProof/>
      <w:color w:val="000000"/>
      <w:spacing w:val="2"/>
    </w:rPr>
  </w:style>
  <w:style w:type="paragraph" w:styleId="TOC3">
    <w:name w:val="toc 3"/>
    <w:basedOn w:val="Normal"/>
    <w:next w:val="Normal"/>
    <w:uiPriority w:val="39"/>
    <w:rsid w:val="00F73552"/>
    <w:pPr>
      <w:tabs>
        <w:tab w:val="right" w:pos="9000"/>
      </w:tabs>
      <w:spacing w:before="0"/>
      <w:ind w:left="450" w:right="432"/>
      <w:contextualSpacing/>
    </w:pPr>
    <w:rPr>
      <w:noProof/>
      <w:color w:val="000000"/>
      <w:sz w:val="18"/>
      <w:szCs w:val="18"/>
    </w:rPr>
  </w:style>
  <w:style w:type="paragraph" w:styleId="Index1">
    <w:name w:val="index 1"/>
    <w:basedOn w:val="Normal"/>
    <w:next w:val="Normal"/>
    <w:uiPriority w:val="99"/>
    <w:semiHidden/>
    <w:rsid w:val="00F73552"/>
    <w:pPr>
      <w:spacing w:after="60" w:line="240" w:lineRule="auto"/>
    </w:pPr>
    <w:rPr>
      <w:sz w:val="16"/>
    </w:rPr>
  </w:style>
  <w:style w:type="paragraph" w:styleId="Index2">
    <w:name w:val="index 2"/>
    <w:basedOn w:val="Normal"/>
    <w:next w:val="Normal"/>
    <w:uiPriority w:val="99"/>
    <w:semiHidden/>
    <w:rsid w:val="00F73552"/>
    <w:pPr>
      <w:spacing w:after="0" w:line="240" w:lineRule="auto"/>
      <w:ind w:left="216"/>
    </w:pPr>
    <w:rPr>
      <w:sz w:val="16"/>
      <w:szCs w:val="16"/>
    </w:rPr>
  </w:style>
  <w:style w:type="character" w:styleId="Hyperlink">
    <w:name w:val="Hyperlink"/>
    <w:basedOn w:val="DefaultParagraphFont"/>
    <w:uiPriority w:val="99"/>
    <w:rsid w:val="00F73552"/>
    <w:rPr>
      <w:color w:val="5F5F5F"/>
      <w:u w:val="single"/>
    </w:rPr>
  </w:style>
  <w:style w:type="character" w:customStyle="1" w:styleId="Heading1Char">
    <w:name w:val="Heading 1 Char"/>
    <w:basedOn w:val="DefaultParagraphFont"/>
    <w:link w:val="Heading1"/>
    <w:rsid w:val="00F73552"/>
    <w:rPr>
      <w:rFonts w:asciiTheme="majorHAnsi" w:eastAsiaTheme="majorEastAsia" w:hAnsiTheme="majorHAnsi" w:cstheme="majorBidi"/>
      <w:color w:val="232B39" w:themeColor="text1"/>
      <w:sz w:val="36"/>
      <w:szCs w:val="28"/>
    </w:rPr>
  </w:style>
  <w:style w:type="character" w:customStyle="1" w:styleId="Heading2Char">
    <w:name w:val="Heading 2 Char"/>
    <w:basedOn w:val="DefaultParagraphFont"/>
    <w:link w:val="Heading2"/>
    <w:rsid w:val="00F73552"/>
    <w:rPr>
      <w:rFonts w:asciiTheme="majorHAnsi" w:eastAsiaTheme="majorEastAsia" w:hAnsiTheme="majorHAnsi" w:cstheme="majorBidi"/>
      <w:color w:val="232B39" w:themeColor="text1"/>
      <w:sz w:val="28"/>
      <w:szCs w:val="26"/>
    </w:rPr>
  </w:style>
  <w:style w:type="paragraph" w:customStyle="1" w:styleId="Bullet1">
    <w:name w:val="Bullet 1"/>
    <w:uiPriority w:val="1"/>
    <w:qFormat/>
    <w:rsid w:val="00F73552"/>
    <w:pPr>
      <w:keepLines/>
      <w:numPr>
        <w:numId w:val="27"/>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F73552"/>
    <w:pPr>
      <w:numPr>
        <w:ilvl w:val="1"/>
      </w:numPr>
    </w:pPr>
  </w:style>
  <w:style w:type="paragraph" w:customStyle="1" w:styleId="Bulletindent">
    <w:name w:val="Bullet indent"/>
    <w:basedOn w:val="Bullet2"/>
    <w:uiPriority w:val="9"/>
    <w:qFormat/>
    <w:rsid w:val="00D56CF5"/>
    <w:pPr>
      <w:numPr>
        <w:ilvl w:val="2"/>
      </w:numPr>
      <w:spacing w:before="60" w:after="60" w:line="252" w:lineRule="auto"/>
      <w:contextualSpacing w:val="0"/>
    </w:pPr>
  </w:style>
  <w:style w:type="character" w:customStyle="1" w:styleId="Heading6Char">
    <w:name w:val="Heading 6 Char"/>
    <w:basedOn w:val="DefaultParagraphFont"/>
    <w:link w:val="Heading6"/>
    <w:uiPriority w:val="9"/>
    <w:semiHidden/>
    <w:rsid w:val="002221BE"/>
    <w:rPr>
      <w:rFonts w:asciiTheme="majorHAnsi" w:eastAsiaTheme="majorEastAsia" w:hAnsiTheme="majorHAnsi" w:cstheme="majorBidi"/>
      <w:color w:val="420C4E" w:themeColor="accent1" w:themeShade="7F"/>
    </w:rPr>
  </w:style>
  <w:style w:type="character" w:customStyle="1" w:styleId="Heading3Char">
    <w:name w:val="Heading 3 Char"/>
    <w:basedOn w:val="DefaultParagraphFont"/>
    <w:link w:val="Heading3"/>
    <w:rsid w:val="00F73552"/>
    <w:rPr>
      <w:rFonts w:asciiTheme="majorHAnsi" w:eastAsiaTheme="majorEastAsia" w:hAnsiTheme="majorHAnsi" w:cstheme="majorBidi"/>
      <w:color w:val="232B39" w:themeColor="text1"/>
      <w:sz w:val="24"/>
      <w:szCs w:val="24"/>
    </w:rPr>
  </w:style>
  <w:style w:type="paragraph" w:customStyle="1" w:styleId="Annexureheading">
    <w:name w:val="Annexure heading"/>
    <w:basedOn w:val="Normal"/>
    <w:next w:val="Normal"/>
    <w:uiPriority w:val="99"/>
    <w:qFormat/>
    <w:rsid w:val="00F252E2"/>
    <w:pPr>
      <w:keepNext/>
      <w:pageBreakBefore/>
      <w:numPr>
        <w:numId w:val="18"/>
      </w:numPr>
      <w:contextualSpacing/>
    </w:pPr>
    <w:rPr>
      <w:rFonts w:asciiTheme="majorHAnsi" w:hAnsiTheme="majorHAnsi"/>
      <w:color w:val="201547"/>
      <w:sz w:val="28"/>
    </w:rPr>
  </w:style>
  <w:style w:type="character" w:customStyle="1" w:styleId="Heading4Char">
    <w:name w:val="Heading 4 Char"/>
    <w:basedOn w:val="DefaultParagraphFont"/>
    <w:link w:val="Heading4"/>
    <w:rsid w:val="00F73552"/>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F73552"/>
    <w:pPr>
      <w:ind w:left="792"/>
    </w:pPr>
  </w:style>
  <w:style w:type="paragraph" w:styleId="Subtitle">
    <w:name w:val="Subtitle"/>
    <w:next w:val="TertiaryTitle"/>
    <w:link w:val="SubtitleChar"/>
    <w:uiPriority w:val="45"/>
    <w:rsid w:val="00F73552"/>
    <w:pPr>
      <w:spacing w:before="60" w:after="120" w:line="440" w:lineRule="exact"/>
      <w:ind w:right="2995"/>
    </w:pPr>
    <w:rPr>
      <w:rFonts w:eastAsia="Times New Roman" w:cstheme="majorHAnsi"/>
      <w:color w:val="87189D" w:themeColor="accent1"/>
      <w:sz w:val="36"/>
      <w:szCs w:val="36"/>
    </w:rPr>
  </w:style>
  <w:style w:type="character" w:customStyle="1" w:styleId="SubtitleChar">
    <w:name w:val="Subtitle Char"/>
    <w:basedOn w:val="DefaultParagraphFont"/>
    <w:link w:val="Subtitle"/>
    <w:uiPriority w:val="45"/>
    <w:rsid w:val="00F73552"/>
    <w:rPr>
      <w:rFonts w:eastAsia="Times New Roman" w:cstheme="majorHAnsi"/>
      <w:color w:val="87189D" w:themeColor="accent1"/>
      <w:sz w:val="36"/>
      <w:szCs w:val="36"/>
    </w:rPr>
  </w:style>
  <w:style w:type="paragraph" w:customStyle="1" w:styleId="TertiaryTitle">
    <w:name w:val="Tertiary Title"/>
    <w:next w:val="Normal"/>
    <w:uiPriority w:val="99"/>
    <w:rsid w:val="00F73552"/>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F73552"/>
    <w:pPr>
      <w:keepLines/>
      <w:spacing w:after="280" w:line="192" w:lineRule="auto"/>
      <w:ind w:right="2909"/>
    </w:pPr>
    <w:rPr>
      <w:rFonts w:asciiTheme="majorHAnsi" w:eastAsia="Times New Roman" w:hAnsiTheme="majorHAnsi" w:cstheme="majorHAnsi"/>
      <w:bCs/>
      <w:color w:val="87189D" w:themeColor="accent1"/>
      <w:sz w:val="60"/>
      <w:szCs w:val="60"/>
    </w:rPr>
  </w:style>
  <w:style w:type="character" w:customStyle="1" w:styleId="TitleChar">
    <w:name w:val="Title Char"/>
    <w:basedOn w:val="DefaultParagraphFont"/>
    <w:link w:val="Title"/>
    <w:uiPriority w:val="44"/>
    <w:rsid w:val="00F73552"/>
    <w:rPr>
      <w:rFonts w:asciiTheme="majorHAnsi" w:eastAsia="Times New Roman" w:hAnsiTheme="majorHAnsi" w:cstheme="majorHAnsi"/>
      <w:bCs/>
      <w:color w:val="87189D" w:themeColor="accent1"/>
      <w:sz w:val="60"/>
      <w:szCs w:val="60"/>
    </w:rPr>
  </w:style>
  <w:style w:type="paragraph" w:styleId="BalloonText">
    <w:name w:val="Balloon Text"/>
    <w:basedOn w:val="Normal"/>
    <w:link w:val="BalloonTextChar"/>
    <w:uiPriority w:val="99"/>
    <w:semiHidden/>
    <w:rsid w:val="00F73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552"/>
    <w:rPr>
      <w:rFonts w:ascii="Tahoma" w:hAnsi="Tahoma" w:cs="Tahoma"/>
      <w:color w:val="232B39" w:themeColor="text1"/>
      <w:sz w:val="16"/>
      <w:szCs w:val="16"/>
    </w:rPr>
  </w:style>
  <w:style w:type="paragraph" w:styleId="IndexHeading">
    <w:name w:val="index heading"/>
    <w:basedOn w:val="Normal"/>
    <w:next w:val="Index1"/>
    <w:uiPriority w:val="99"/>
    <w:semiHidden/>
    <w:rsid w:val="00F73552"/>
    <w:rPr>
      <w:rFonts w:asciiTheme="majorHAnsi" w:eastAsiaTheme="majorEastAsia" w:hAnsiTheme="majorHAnsi" w:cstheme="majorBidi"/>
      <w:b/>
      <w:bCs/>
    </w:rPr>
  </w:style>
  <w:style w:type="paragraph" w:styleId="Header">
    <w:name w:val="header"/>
    <w:basedOn w:val="Normal"/>
    <w:link w:val="HeaderChar"/>
    <w:uiPriority w:val="99"/>
    <w:rsid w:val="00F73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552"/>
    <w:rPr>
      <w:color w:val="232B39" w:themeColor="text1"/>
    </w:rPr>
  </w:style>
  <w:style w:type="paragraph" w:styleId="Footer">
    <w:name w:val="footer"/>
    <w:basedOn w:val="Normal"/>
    <w:link w:val="FooterChar"/>
    <w:uiPriority w:val="99"/>
    <w:rsid w:val="00F73552"/>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F73552"/>
    <w:rPr>
      <w:noProof/>
      <w:color w:val="232B39" w:themeColor="text1"/>
      <w:sz w:val="18"/>
      <w:szCs w:val="18"/>
    </w:rPr>
  </w:style>
  <w:style w:type="character" w:styleId="PageNumber">
    <w:name w:val="page number"/>
    <w:uiPriority w:val="49"/>
    <w:rsid w:val="00F73552"/>
    <w:rPr>
      <w:rFonts w:asciiTheme="minorHAnsi" w:hAnsiTheme="minorHAnsi"/>
      <w:b w:val="0"/>
      <w:color w:val="232B39" w:themeColor="text1"/>
    </w:rPr>
  </w:style>
  <w:style w:type="paragraph" w:styleId="TOCHeading">
    <w:name w:val="TOC Heading"/>
    <w:basedOn w:val="Heading1"/>
    <w:next w:val="Normal"/>
    <w:uiPriority w:val="38"/>
    <w:rsid w:val="00F73552"/>
    <w:pPr>
      <w:spacing w:before="440" w:after="440"/>
      <w:outlineLvl w:val="9"/>
    </w:pPr>
    <w:rPr>
      <w:spacing w:val="2"/>
    </w:rPr>
  </w:style>
  <w:style w:type="paragraph" w:customStyle="1" w:styleId="NormalTight">
    <w:name w:val="Normal Tight"/>
    <w:uiPriority w:val="99"/>
    <w:semiHidden/>
    <w:rsid w:val="00F73552"/>
    <w:pPr>
      <w:spacing w:after="0" w:line="240" w:lineRule="auto"/>
      <w:ind w:right="2366"/>
    </w:pPr>
    <w:rPr>
      <w:rFonts w:eastAsia="Times New Roman" w:cs="Calibri"/>
      <w:sz w:val="18"/>
      <w:szCs w:val="19"/>
      <w:lang w:eastAsia="en-US"/>
    </w:rPr>
  </w:style>
  <w:style w:type="paragraph" w:customStyle="1" w:styleId="Highlightbox">
    <w:name w:val="Highlight box"/>
    <w:basedOn w:val="Normal"/>
    <w:qFormat/>
    <w:rsid w:val="003910A5"/>
    <w:pPr>
      <w:pBdr>
        <w:top w:val="single" w:sz="4" w:space="4" w:color="auto"/>
        <w:left w:val="single" w:sz="4" w:space="4" w:color="auto"/>
        <w:bottom w:val="single" w:sz="4" w:space="4" w:color="auto"/>
        <w:right w:val="single" w:sz="4" w:space="4" w:color="auto"/>
      </w:pBdr>
      <w:shd w:val="clear" w:color="auto" w:fill="F2F2F2" w:themeFill="background1" w:themeFillShade="F2"/>
      <w:tabs>
        <w:tab w:val="left" w:pos="270"/>
      </w:tabs>
      <w:ind w:left="4050" w:hanging="4050"/>
    </w:pPr>
    <w:rPr>
      <w:iCs/>
      <w:szCs w:val="19"/>
    </w:rPr>
  </w:style>
  <w:style w:type="paragraph" w:styleId="TOC4">
    <w:name w:val="toc 4"/>
    <w:basedOn w:val="TOC1"/>
    <w:next w:val="Normal"/>
    <w:uiPriority w:val="39"/>
    <w:rsid w:val="00F73552"/>
    <w:pPr>
      <w:spacing w:before="280"/>
      <w:ind w:left="446" w:hanging="446"/>
    </w:pPr>
    <w:rPr>
      <w:noProof/>
      <w:lang w:eastAsia="en-US"/>
    </w:rPr>
  </w:style>
  <w:style w:type="paragraph" w:styleId="TOC5">
    <w:name w:val="toc 5"/>
    <w:basedOn w:val="TOC2"/>
    <w:next w:val="Normal"/>
    <w:uiPriority w:val="39"/>
    <w:rsid w:val="00F73552"/>
    <w:pPr>
      <w:ind w:left="1080" w:hanging="634"/>
    </w:pPr>
    <w:rPr>
      <w:lang w:eastAsia="en-US"/>
    </w:rPr>
  </w:style>
  <w:style w:type="paragraph" w:styleId="TOC6">
    <w:name w:val="toc 6"/>
    <w:basedOn w:val="TOC3"/>
    <w:next w:val="Normal"/>
    <w:uiPriority w:val="39"/>
    <w:rsid w:val="00F73552"/>
    <w:pPr>
      <w:ind w:left="1800" w:hanging="720"/>
    </w:pPr>
    <w:rPr>
      <w:lang w:eastAsia="en-US"/>
    </w:rPr>
  </w:style>
  <w:style w:type="paragraph" w:customStyle="1" w:styleId="Tabletext">
    <w:name w:val="Table text"/>
    <w:basedOn w:val="Normal"/>
    <w:uiPriority w:val="5"/>
    <w:qFormat/>
    <w:rsid w:val="00F73552"/>
    <w:pPr>
      <w:spacing w:before="60" w:after="60"/>
    </w:pPr>
    <w:rPr>
      <w:sz w:val="17"/>
    </w:rPr>
  </w:style>
  <w:style w:type="paragraph" w:customStyle="1" w:styleId="Tableheader">
    <w:name w:val="Table header"/>
    <w:basedOn w:val="Tabletext"/>
    <w:uiPriority w:val="5"/>
    <w:qFormat/>
    <w:rsid w:val="00F73552"/>
    <w:pPr>
      <w:keepNext/>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F73552"/>
    <w:pPr>
      <w:numPr>
        <w:numId w:val="30"/>
      </w:numPr>
    </w:pPr>
  </w:style>
  <w:style w:type="paragraph" w:styleId="FootnoteText">
    <w:name w:val="footnote text"/>
    <w:basedOn w:val="Normal"/>
    <w:link w:val="FootnoteTextChar"/>
    <w:uiPriority w:val="99"/>
    <w:semiHidden/>
    <w:rsid w:val="00F73552"/>
    <w:pPr>
      <w:spacing w:before="0" w:after="0" w:line="240" w:lineRule="auto"/>
    </w:pPr>
    <w:rPr>
      <w:sz w:val="17"/>
    </w:rPr>
  </w:style>
  <w:style w:type="character" w:customStyle="1" w:styleId="FootnoteTextChar">
    <w:name w:val="Footnote Text Char"/>
    <w:basedOn w:val="DefaultParagraphFont"/>
    <w:link w:val="FootnoteText"/>
    <w:uiPriority w:val="99"/>
    <w:semiHidden/>
    <w:rsid w:val="00F73552"/>
    <w:rPr>
      <w:color w:val="232B39" w:themeColor="text1"/>
      <w:sz w:val="17"/>
    </w:rPr>
  </w:style>
  <w:style w:type="character" w:styleId="FootnoteReference">
    <w:name w:val="footnote reference"/>
    <w:basedOn w:val="DefaultParagraphFont"/>
    <w:uiPriority w:val="99"/>
    <w:rsid w:val="00F73552"/>
    <w:rPr>
      <w:vertAlign w:val="superscript"/>
    </w:rPr>
  </w:style>
  <w:style w:type="paragraph" w:styleId="Caption">
    <w:name w:val="caption"/>
    <w:basedOn w:val="Normal"/>
    <w:next w:val="Normal"/>
    <w:uiPriority w:val="5"/>
    <w:rsid w:val="00F73552"/>
    <w:pPr>
      <w:keepNext/>
      <w:spacing w:before="200" w:after="60" w:line="240" w:lineRule="auto"/>
    </w:pPr>
    <w:rPr>
      <w:rFonts w:asciiTheme="majorHAnsi" w:hAnsiTheme="majorHAnsi"/>
      <w:sz w:val="18"/>
      <w:szCs w:val="18"/>
    </w:rPr>
  </w:style>
  <w:style w:type="character" w:styleId="FollowedHyperlink">
    <w:name w:val="FollowedHyperlink"/>
    <w:basedOn w:val="DefaultParagraphFont"/>
    <w:uiPriority w:val="99"/>
    <w:semiHidden/>
    <w:rsid w:val="00F73552"/>
    <w:rPr>
      <w:color w:val="808080" w:themeColor="background1" w:themeShade="80"/>
      <w:u w:val="none"/>
    </w:rPr>
  </w:style>
  <w:style w:type="character" w:customStyle="1" w:styleId="Heading5Char">
    <w:name w:val="Heading 5 Char"/>
    <w:basedOn w:val="DefaultParagraphFont"/>
    <w:link w:val="Heading5"/>
    <w:rsid w:val="00754976"/>
    <w:rPr>
      <w:rFonts w:asciiTheme="majorHAnsi" w:eastAsiaTheme="majorEastAsia" w:hAnsiTheme="majorHAnsi" w:cstheme="majorBidi"/>
      <w:color w:val="333333"/>
      <w:sz w:val="19"/>
    </w:rPr>
  </w:style>
  <w:style w:type="character" w:styleId="PlaceholderText">
    <w:name w:val="Placeholder Text"/>
    <w:basedOn w:val="DefaultParagraphFont"/>
    <w:uiPriority w:val="99"/>
    <w:semiHidden/>
    <w:rsid w:val="00F73552"/>
    <w:rPr>
      <w:color w:val="808080"/>
    </w:rPr>
  </w:style>
  <w:style w:type="table" w:styleId="PlainTable4">
    <w:name w:val="Plain Table 4"/>
    <w:basedOn w:val="TableNormal"/>
    <w:uiPriority w:val="44"/>
    <w:rsid w:val="00F735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F73552"/>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F73552"/>
    <w:rPr>
      <w:i/>
      <w:iCs/>
      <w:color w:val="232B39" w:themeColor="text1"/>
      <w:sz w:val="18"/>
      <w:szCs w:val="18"/>
    </w:rPr>
  </w:style>
  <w:style w:type="character" w:styleId="UnresolvedMention">
    <w:name w:val="Unresolved Mention"/>
    <w:basedOn w:val="DefaultParagraphFont"/>
    <w:uiPriority w:val="99"/>
    <w:unhideWhenUsed/>
    <w:rsid w:val="007C2A5C"/>
    <w:rPr>
      <w:color w:val="605E5C"/>
      <w:shd w:val="clear" w:color="auto" w:fill="E1DFDD"/>
    </w:rPr>
  </w:style>
  <w:style w:type="paragraph" w:styleId="ListBullet">
    <w:name w:val="List Bullet"/>
    <w:basedOn w:val="Normal"/>
    <w:uiPriority w:val="99"/>
    <w:qFormat/>
    <w:rsid w:val="002B5BB6"/>
    <w:pPr>
      <w:tabs>
        <w:tab w:val="num" w:pos="360"/>
      </w:tabs>
      <w:spacing w:before="160" w:after="100" w:line="276" w:lineRule="auto"/>
      <w:ind w:left="360" w:hanging="360"/>
      <w:contextualSpacing/>
    </w:pPr>
    <w:rPr>
      <w:color w:val="auto"/>
      <w:spacing w:val="2"/>
    </w:rPr>
  </w:style>
  <w:style w:type="paragraph" w:styleId="TOC7">
    <w:name w:val="toc 7"/>
    <w:basedOn w:val="Normal"/>
    <w:next w:val="Normal"/>
    <w:autoRedefine/>
    <w:uiPriority w:val="39"/>
    <w:rsid w:val="002B5BB6"/>
    <w:pPr>
      <w:spacing w:before="0" w:after="100" w:line="276" w:lineRule="auto"/>
      <w:ind w:left="1320"/>
    </w:pPr>
    <w:rPr>
      <w:color w:val="auto"/>
      <w:sz w:val="22"/>
      <w:szCs w:val="22"/>
    </w:rPr>
  </w:style>
  <w:style w:type="paragraph" w:styleId="TOC8">
    <w:name w:val="toc 8"/>
    <w:basedOn w:val="Normal"/>
    <w:next w:val="Normal"/>
    <w:autoRedefine/>
    <w:uiPriority w:val="39"/>
    <w:rsid w:val="002B5BB6"/>
    <w:pPr>
      <w:spacing w:before="0" w:after="100" w:line="276" w:lineRule="auto"/>
      <w:ind w:left="1540"/>
    </w:pPr>
    <w:rPr>
      <w:color w:val="auto"/>
      <w:sz w:val="22"/>
      <w:szCs w:val="22"/>
    </w:rPr>
  </w:style>
  <w:style w:type="paragraph" w:styleId="TOC9">
    <w:name w:val="toc 9"/>
    <w:basedOn w:val="Normal"/>
    <w:next w:val="Normal"/>
    <w:autoRedefine/>
    <w:uiPriority w:val="39"/>
    <w:rsid w:val="002B5BB6"/>
    <w:pPr>
      <w:spacing w:before="0" w:after="100" w:line="276" w:lineRule="auto"/>
      <w:ind w:left="1760"/>
    </w:pPr>
    <w:rPr>
      <w:color w:val="auto"/>
      <w:sz w:val="22"/>
      <w:szCs w:val="22"/>
    </w:rPr>
  </w:style>
  <w:style w:type="character" w:customStyle="1" w:styleId="Heading7Char">
    <w:name w:val="Heading 7 Char"/>
    <w:basedOn w:val="DefaultParagraphFont"/>
    <w:link w:val="Heading7"/>
    <w:uiPriority w:val="9"/>
    <w:semiHidden/>
    <w:rsid w:val="002221BE"/>
    <w:rPr>
      <w:rFonts w:asciiTheme="majorHAnsi" w:eastAsiaTheme="majorEastAsia" w:hAnsiTheme="majorHAnsi" w:cstheme="majorBidi"/>
      <w:i/>
      <w:iCs/>
      <w:color w:val="420C4E" w:themeColor="accent1" w:themeShade="7F"/>
    </w:rPr>
  </w:style>
  <w:style w:type="character" w:customStyle="1" w:styleId="Heading8Char">
    <w:name w:val="Heading 8 Char"/>
    <w:basedOn w:val="DefaultParagraphFont"/>
    <w:link w:val="Heading8"/>
    <w:uiPriority w:val="9"/>
    <w:semiHidden/>
    <w:rsid w:val="002221BE"/>
    <w:rPr>
      <w:rFonts w:asciiTheme="majorHAnsi" w:eastAsiaTheme="majorEastAsia" w:hAnsiTheme="majorHAnsi" w:cstheme="majorBidi"/>
      <w:color w:val="3B4860" w:themeColor="text1" w:themeTint="D8"/>
      <w:sz w:val="21"/>
      <w:szCs w:val="21"/>
    </w:rPr>
  </w:style>
  <w:style w:type="character" w:customStyle="1" w:styleId="Heading9Char">
    <w:name w:val="Heading 9 Char"/>
    <w:basedOn w:val="DefaultParagraphFont"/>
    <w:link w:val="Heading9"/>
    <w:uiPriority w:val="9"/>
    <w:semiHidden/>
    <w:rsid w:val="002221BE"/>
    <w:rPr>
      <w:rFonts w:asciiTheme="majorHAnsi" w:eastAsiaTheme="majorEastAsia" w:hAnsiTheme="majorHAnsi" w:cstheme="majorBidi"/>
      <w:i/>
      <w:iCs/>
      <w:color w:val="3B4860" w:themeColor="text1" w:themeTint="D8"/>
      <w:sz w:val="21"/>
      <w:szCs w:val="21"/>
    </w:rPr>
  </w:style>
  <w:style w:type="paragraph" w:styleId="Revision">
    <w:name w:val="Revision"/>
    <w:hidden/>
    <w:uiPriority w:val="99"/>
    <w:semiHidden/>
    <w:rsid w:val="002B5BB6"/>
    <w:pPr>
      <w:spacing w:after="0" w:line="240" w:lineRule="auto"/>
    </w:pPr>
    <w:rPr>
      <w:spacing w:val="2"/>
    </w:rPr>
  </w:style>
  <w:style w:type="character" w:styleId="CommentReference">
    <w:name w:val="annotation reference"/>
    <w:basedOn w:val="DefaultParagraphFont"/>
    <w:uiPriority w:val="99"/>
    <w:semiHidden/>
    <w:unhideWhenUsed/>
    <w:rsid w:val="002B5BB6"/>
    <w:rPr>
      <w:sz w:val="16"/>
      <w:szCs w:val="16"/>
    </w:rPr>
  </w:style>
  <w:style w:type="paragraph" w:styleId="CommentSubject">
    <w:name w:val="annotation subject"/>
    <w:basedOn w:val="Normal"/>
    <w:next w:val="Normal"/>
    <w:link w:val="CommentSubjectChar"/>
    <w:uiPriority w:val="99"/>
    <w:semiHidden/>
    <w:unhideWhenUsed/>
    <w:rsid w:val="00F252E2"/>
    <w:rPr>
      <w:b/>
      <w:bCs/>
    </w:rPr>
  </w:style>
  <w:style w:type="character" w:customStyle="1" w:styleId="CommentSubjectChar">
    <w:name w:val="Comment Subject Char"/>
    <w:basedOn w:val="DefaultParagraphFont"/>
    <w:link w:val="CommentSubject"/>
    <w:uiPriority w:val="99"/>
    <w:semiHidden/>
    <w:rsid w:val="00F252E2"/>
    <w:rPr>
      <w:b/>
      <w:bCs/>
      <w:spacing w:val="2"/>
    </w:rPr>
  </w:style>
  <w:style w:type="table" w:styleId="GridTable1Light">
    <w:name w:val="Grid Table 1 Light"/>
    <w:basedOn w:val="TableNormal"/>
    <w:uiPriority w:val="46"/>
    <w:rsid w:val="000F5C2E"/>
    <w:pPr>
      <w:spacing w:after="0" w:line="240" w:lineRule="auto"/>
    </w:pPr>
    <w:tblPr>
      <w:tblStyleRowBandSize w:val="1"/>
      <w:tblStyleColBandSize w:val="1"/>
      <w:tblBorders>
        <w:top w:val="single" w:sz="4" w:space="0" w:color="97A5BF" w:themeColor="text1" w:themeTint="66"/>
        <w:left w:val="single" w:sz="4" w:space="0" w:color="97A5BF" w:themeColor="text1" w:themeTint="66"/>
        <w:bottom w:val="single" w:sz="4" w:space="0" w:color="97A5BF" w:themeColor="text1" w:themeTint="66"/>
        <w:right w:val="single" w:sz="4" w:space="0" w:color="97A5BF" w:themeColor="text1" w:themeTint="66"/>
        <w:insideH w:val="single" w:sz="4" w:space="0" w:color="97A5BF" w:themeColor="text1" w:themeTint="66"/>
        <w:insideV w:val="single" w:sz="4" w:space="0" w:color="97A5BF" w:themeColor="text1" w:themeTint="66"/>
      </w:tblBorders>
    </w:tblPr>
    <w:tblStylePr w:type="firstRow">
      <w:rPr>
        <w:b/>
        <w:bCs/>
      </w:rPr>
      <w:tblPr/>
      <w:tcPr>
        <w:tcBorders>
          <w:bottom w:val="single" w:sz="12" w:space="0" w:color="63799F" w:themeColor="text1" w:themeTint="99"/>
        </w:tcBorders>
      </w:tcPr>
    </w:tblStylePr>
    <w:tblStylePr w:type="lastRow">
      <w:rPr>
        <w:b/>
        <w:bCs/>
      </w:rPr>
      <w:tblPr/>
      <w:tcPr>
        <w:tcBorders>
          <w:top w:val="double" w:sz="2" w:space="0" w:color="63799F"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B60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2939B2"/>
    <w:pPr>
      <w:spacing w:after="0" w:line="240" w:lineRule="auto"/>
    </w:pPr>
    <w:tblPr>
      <w:tblStyleRowBandSize w:val="1"/>
      <w:tblStyleColBandSize w:val="1"/>
      <w:tblBorders>
        <w:top w:val="single" w:sz="4" w:space="0" w:color="87189D" w:themeColor="accent1"/>
        <w:left w:val="single" w:sz="4" w:space="0" w:color="87189D" w:themeColor="accent1"/>
        <w:bottom w:val="single" w:sz="4" w:space="0" w:color="87189D" w:themeColor="accent1"/>
        <w:right w:val="single" w:sz="4" w:space="0" w:color="87189D" w:themeColor="accent1"/>
      </w:tblBorders>
    </w:tblPr>
    <w:tblStylePr w:type="firstRow">
      <w:rPr>
        <w:b/>
        <w:bCs/>
        <w:color w:val="FFFFFF" w:themeColor="background1"/>
      </w:rPr>
      <w:tblPr/>
      <w:tcPr>
        <w:shd w:val="clear" w:color="auto" w:fill="87189D" w:themeFill="accent1"/>
      </w:tcPr>
    </w:tblStylePr>
    <w:tblStylePr w:type="lastRow">
      <w:rPr>
        <w:b/>
        <w:bCs/>
      </w:rPr>
      <w:tblPr/>
      <w:tcPr>
        <w:tcBorders>
          <w:top w:val="double" w:sz="4" w:space="0" w:color="87189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189D" w:themeColor="accent1"/>
          <w:right w:val="single" w:sz="4" w:space="0" w:color="87189D" w:themeColor="accent1"/>
        </w:tcBorders>
      </w:tcPr>
    </w:tblStylePr>
    <w:tblStylePr w:type="band1Horz">
      <w:tblPr/>
      <w:tcPr>
        <w:tcBorders>
          <w:top w:val="single" w:sz="4" w:space="0" w:color="87189D" w:themeColor="accent1"/>
          <w:bottom w:val="single" w:sz="4" w:space="0" w:color="87189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189D" w:themeColor="accent1"/>
          <w:left w:val="nil"/>
        </w:tcBorders>
      </w:tcPr>
    </w:tblStylePr>
    <w:tblStylePr w:type="swCell">
      <w:tblPr/>
      <w:tcPr>
        <w:tcBorders>
          <w:top w:val="double" w:sz="4" w:space="0" w:color="87189D" w:themeColor="accent1"/>
          <w:right w:val="nil"/>
        </w:tcBorders>
      </w:tcPr>
    </w:tblStylePr>
  </w:style>
  <w:style w:type="paragraph" w:customStyle="1" w:styleId="Bullet3">
    <w:name w:val="Bullet 3"/>
    <w:basedOn w:val="Bulletindent"/>
    <w:uiPriority w:val="1"/>
    <w:qFormat/>
    <w:rsid w:val="00427705"/>
  </w:style>
  <w:style w:type="paragraph" w:customStyle="1" w:styleId="Bulletindent2">
    <w:name w:val="Bullet indent 2"/>
    <w:basedOn w:val="Normal"/>
    <w:uiPriority w:val="9"/>
    <w:qFormat/>
    <w:rsid w:val="00F73552"/>
    <w:pPr>
      <w:numPr>
        <w:ilvl w:val="3"/>
        <w:numId w:val="27"/>
      </w:numPr>
      <w:spacing w:before="100"/>
      <w:contextualSpacing/>
    </w:pPr>
  </w:style>
  <w:style w:type="paragraph" w:customStyle="1" w:styleId="Heading1numbered">
    <w:name w:val="Heading 1 numbered"/>
    <w:basedOn w:val="Heading1"/>
    <w:next w:val="NormalIndent"/>
    <w:uiPriority w:val="8"/>
    <w:qFormat/>
    <w:rsid w:val="00F73552"/>
    <w:pPr>
      <w:numPr>
        <w:ilvl w:val="2"/>
        <w:numId w:val="29"/>
      </w:numPr>
    </w:pPr>
  </w:style>
  <w:style w:type="paragraph" w:customStyle="1" w:styleId="Heading2numbered">
    <w:name w:val="Heading 2 numbered"/>
    <w:basedOn w:val="Heading2"/>
    <w:next w:val="NormalIndent"/>
    <w:uiPriority w:val="8"/>
    <w:qFormat/>
    <w:rsid w:val="00A95F4E"/>
    <w:pPr>
      <w:numPr>
        <w:ilvl w:val="3"/>
        <w:numId w:val="29"/>
      </w:numPr>
      <w:spacing w:line="252" w:lineRule="auto"/>
    </w:pPr>
  </w:style>
  <w:style w:type="paragraph" w:customStyle="1" w:styleId="Heading3numbered">
    <w:name w:val="Heading 3 numbered"/>
    <w:basedOn w:val="Heading3"/>
    <w:next w:val="NormalIndent"/>
    <w:uiPriority w:val="8"/>
    <w:qFormat/>
    <w:rsid w:val="00A95F4E"/>
    <w:pPr>
      <w:numPr>
        <w:ilvl w:val="4"/>
        <w:numId w:val="29"/>
      </w:numPr>
      <w:spacing w:line="252" w:lineRule="auto"/>
    </w:pPr>
  </w:style>
  <w:style w:type="paragraph" w:customStyle="1" w:styleId="Heading4numbered">
    <w:name w:val="Heading 4 numbered"/>
    <w:basedOn w:val="Heading4"/>
    <w:next w:val="NormalIndent"/>
    <w:uiPriority w:val="8"/>
    <w:qFormat/>
    <w:rsid w:val="00F73552"/>
    <w:pPr>
      <w:numPr>
        <w:ilvl w:val="5"/>
        <w:numId w:val="29"/>
      </w:numPr>
    </w:pPr>
  </w:style>
  <w:style w:type="paragraph" w:customStyle="1" w:styleId="Listnumindent2">
    <w:name w:val="List num indent 2"/>
    <w:basedOn w:val="Normal"/>
    <w:uiPriority w:val="9"/>
    <w:qFormat/>
    <w:rsid w:val="00F73552"/>
    <w:pPr>
      <w:numPr>
        <w:ilvl w:val="7"/>
        <w:numId w:val="29"/>
      </w:numPr>
      <w:spacing w:before="100"/>
      <w:contextualSpacing/>
    </w:pPr>
  </w:style>
  <w:style w:type="paragraph" w:customStyle="1" w:styleId="Listnumindent">
    <w:name w:val="List num indent"/>
    <w:basedOn w:val="Normal"/>
    <w:uiPriority w:val="9"/>
    <w:qFormat/>
    <w:rsid w:val="00F73552"/>
    <w:pPr>
      <w:tabs>
        <w:tab w:val="num" w:pos="1296"/>
      </w:tabs>
      <w:spacing w:before="100"/>
      <w:ind w:left="1296" w:hanging="504"/>
    </w:pPr>
  </w:style>
  <w:style w:type="paragraph" w:customStyle="1" w:styleId="Listnum">
    <w:name w:val="List num"/>
    <w:basedOn w:val="Normal"/>
    <w:uiPriority w:val="2"/>
    <w:qFormat/>
    <w:rsid w:val="00F73552"/>
    <w:pPr>
      <w:tabs>
        <w:tab w:val="num" w:pos="360"/>
      </w:tabs>
      <w:ind w:left="360" w:hanging="360"/>
    </w:pPr>
  </w:style>
  <w:style w:type="paragraph" w:customStyle="1" w:styleId="Listnum2">
    <w:name w:val="List num 2"/>
    <w:basedOn w:val="Normal"/>
    <w:uiPriority w:val="2"/>
    <w:qFormat/>
    <w:rsid w:val="00F73552"/>
    <w:pPr>
      <w:tabs>
        <w:tab w:val="num" w:pos="864"/>
      </w:tabs>
      <w:ind w:left="720" w:hanging="360"/>
    </w:pPr>
  </w:style>
  <w:style w:type="paragraph" w:customStyle="1" w:styleId="Numparaindent">
    <w:name w:val="Num para indent"/>
    <w:basedOn w:val="Numpara"/>
    <w:uiPriority w:val="9"/>
    <w:qFormat/>
    <w:rsid w:val="00F73552"/>
    <w:pPr>
      <w:numPr>
        <w:numId w:val="0"/>
      </w:numPr>
      <w:tabs>
        <w:tab w:val="clear" w:pos="540"/>
        <w:tab w:val="num" w:pos="1296"/>
      </w:tabs>
      <w:ind w:left="1296" w:hanging="504"/>
    </w:pPr>
  </w:style>
  <w:style w:type="table" w:customStyle="1" w:styleId="DTFtexttableindent">
    <w:name w:val="DTF text table indent"/>
    <w:basedOn w:val="DTFtexttable"/>
    <w:uiPriority w:val="99"/>
    <w:rsid w:val="00F73552"/>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Captionindent">
    <w:name w:val="Caption indent"/>
    <w:basedOn w:val="Caption"/>
    <w:uiPriority w:val="7"/>
    <w:qFormat/>
    <w:rsid w:val="00F73552"/>
    <w:pPr>
      <w:spacing w:before="240"/>
      <w:ind w:left="792"/>
    </w:pPr>
  </w:style>
  <w:style w:type="paragraph" w:customStyle="1" w:styleId="CM">
    <w:name w:val="CM"/>
    <w:next w:val="Title"/>
    <w:uiPriority w:val="79"/>
    <w:semiHidden/>
    <w:rsid w:val="00F73552"/>
    <w:pPr>
      <w:spacing w:after="2200" w:line="240" w:lineRule="auto"/>
      <w:ind w:right="2909"/>
      <w:jc w:val="right"/>
    </w:pPr>
    <w:rPr>
      <w:caps/>
    </w:rPr>
  </w:style>
  <w:style w:type="table" w:customStyle="1" w:styleId="DTFfinancialtable">
    <w:name w:val="DTF financial table"/>
    <w:basedOn w:val="TableNormal"/>
    <w:uiPriority w:val="99"/>
    <w:rsid w:val="00F73552"/>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financialtableindent">
    <w:name w:val="DTF financial table indent"/>
    <w:basedOn w:val="DTFfinancialtable"/>
    <w:uiPriority w:val="99"/>
    <w:rsid w:val="00F73552"/>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
    <w:name w:val="DTF text table"/>
    <w:basedOn w:val="TableNormal"/>
    <w:uiPriority w:val="99"/>
    <w:rsid w:val="00F73552"/>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oteNormal">
    <w:name w:val="Note Normal"/>
    <w:basedOn w:val="Normal"/>
    <w:rsid w:val="00F73552"/>
    <w:pPr>
      <w:spacing w:before="80" w:line="240" w:lineRule="auto"/>
    </w:pPr>
    <w:rPr>
      <w:rFonts w:eastAsia="Times New Roman" w:cstheme="minorHAnsi"/>
      <w:color w:val="000000"/>
      <w:spacing w:val="1"/>
      <w:sz w:val="16"/>
      <w:szCs w:val="16"/>
      <w:lang w:eastAsia="en-US"/>
    </w:rPr>
  </w:style>
  <w:style w:type="paragraph" w:customStyle="1" w:styleId="NoteNormalindent">
    <w:name w:val="Note Normal indent"/>
    <w:basedOn w:val="NoteNormal"/>
    <w:uiPriority w:val="9"/>
    <w:rsid w:val="00F73552"/>
    <w:pPr>
      <w:ind w:left="792"/>
    </w:pPr>
  </w:style>
  <w:style w:type="paragraph" w:customStyle="1" w:styleId="Numpara">
    <w:name w:val="Num para"/>
    <w:basedOn w:val="Normal"/>
    <w:uiPriority w:val="2"/>
    <w:qFormat/>
    <w:rsid w:val="00F252E2"/>
    <w:pPr>
      <w:numPr>
        <w:numId w:val="28"/>
      </w:numPr>
      <w:tabs>
        <w:tab w:val="left" w:pos="540"/>
      </w:tabs>
      <w:ind w:left="504" w:hanging="504"/>
      <w:contextualSpacing/>
    </w:pPr>
  </w:style>
  <w:style w:type="paragraph" w:customStyle="1" w:styleId="ReportDate">
    <w:name w:val="ReportDate"/>
    <w:uiPriority w:val="79"/>
    <w:semiHidden/>
    <w:rsid w:val="00F73552"/>
    <w:pPr>
      <w:spacing w:before="160" w:after="60" w:line="240" w:lineRule="auto"/>
      <w:ind w:right="2909"/>
      <w:jc w:val="right"/>
    </w:pPr>
    <w:rPr>
      <w:rFonts w:asciiTheme="majorHAnsi" w:hAnsiTheme="majorHAnsi"/>
      <w:bCs/>
      <w:caps/>
      <w:color w:val="FFFFFF" w:themeColor="background1"/>
    </w:rPr>
  </w:style>
  <w:style w:type="paragraph" w:customStyle="1" w:styleId="Spacer">
    <w:name w:val="Spacer"/>
    <w:basedOn w:val="Normal"/>
    <w:uiPriority w:val="13"/>
    <w:semiHidden/>
    <w:qFormat/>
    <w:rsid w:val="00F73552"/>
    <w:pPr>
      <w:spacing w:before="0" w:after="0" w:line="120" w:lineRule="atLeast"/>
    </w:pPr>
    <w:rPr>
      <w:rFonts w:eastAsia="Times New Roman" w:cs="Calibri"/>
      <w:sz w:val="10"/>
      <w:szCs w:val="22"/>
    </w:rPr>
  </w:style>
  <w:style w:type="paragraph" w:customStyle="1" w:styleId="Tabledash">
    <w:name w:val="Table dash"/>
    <w:basedOn w:val="Tablebullet"/>
    <w:uiPriority w:val="6"/>
    <w:rsid w:val="00F73552"/>
    <w:pPr>
      <w:numPr>
        <w:ilvl w:val="1"/>
      </w:numPr>
    </w:pPr>
  </w:style>
  <w:style w:type="paragraph" w:customStyle="1" w:styleId="Tablenum1">
    <w:name w:val="Table num 1"/>
    <w:basedOn w:val="Normal"/>
    <w:uiPriority w:val="6"/>
    <w:rsid w:val="00F73552"/>
    <w:pPr>
      <w:numPr>
        <w:ilvl w:val="2"/>
        <w:numId w:val="30"/>
      </w:numPr>
      <w:spacing w:before="60" w:after="60"/>
    </w:pPr>
    <w:rPr>
      <w:sz w:val="17"/>
    </w:rPr>
  </w:style>
  <w:style w:type="paragraph" w:customStyle="1" w:styleId="Tablenum2">
    <w:name w:val="Table num 2"/>
    <w:basedOn w:val="Normal"/>
    <w:uiPriority w:val="6"/>
    <w:rsid w:val="00F73552"/>
    <w:pPr>
      <w:numPr>
        <w:ilvl w:val="3"/>
        <w:numId w:val="30"/>
      </w:numPr>
      <w:spacing w:before="60" w:after="60"/>
    </w:pPr>
    <w:rPr>
      <w:sz w:val="17"/>
    </w:rPr>
  </w:style>
  <w:style w:type="paragraph" w:customStyle="1" w:styleId="Tabletextcentred">
    <w:name w:val="Table text centred"/>
    <w:basedOn w:val="Tabletext"/>
    <w:uiPriority w:val="5"/>
    <w:qFormat/>
    <w:rsid w:val="00F73552"/>
    <w:pPr>
      <w:jc w:val="center"/>
    </w:pPr>
  </w:style>
  <w:style w:type="paragraph" w:customStyle="1" w:styleId="Tabletextindent">
    <w:name w:val="Table text indent"/>
    <w:basedOn w:val="Tabletext"/>
    <w:uiPriority w:val="5"/>
    <w:qFormat/>
    <w:rsid w:val="00F73552"/>
    <w:pPr>
      <w:ind w:left="288"/>
    </w:pPr>
  </w:style>
  <w:style w:type="paragraph" w:customStyle="1" w:styleId="Tabletextright">
    <w:name w:val="Table text right"/>
    <w:basedOn w:val="Tabletext"/>
    <w:uiPriority w:val="5"/>
    <w:qFormat/>
    <w:rsid w:val="00F73552"/>
    <w:pPr>
      <w:jc w:val="right"/>
    </w:pPr>
  </w:style>
  <w:style w:type="paragraph" w:styleId="BodyText">
    <w:name w:val="Body Text"/>
    <w:basedOn w:val="Normal"/>
    <w:link w:val="BodyTextChar"/>
    <w:uiPriority w:val="49"/>
    <w:semiHidden/>
    <w:rsid w:val="00F73552"/>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F73552"/>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F73552"/>
    <w:pPr>
      <w:spacing w:before="3800"/>
      <w:ind w:right="1382"/>
    </w:pPr>
  </w:style>
  <w:style w:type="paragraph" w:customStyle="1" w:styleId="CoverSpacer">
    <w:name w:val="CoverSpacer"/>
    <w:basedOn w:val="Normal"/>
    <w:semiHidden/>
    <w:qFormat/>
    <w:rsid w:val="00F73552"/>
    <w:pPr>
      <w:spacing w:before="4600" w:after="0"/>
    </w:pPr>
  </w:style>
  <w:style w:type="paragraph" w:customStyle="1" w:styleId="Bulletindent3">
    <w:name w:val="Bullet indent 3"/>
    <w:basedOn w:val="Bulletindent2"/>
    <w:uiPriority w:val="9"/>
    <w:qFormat/>
    <w:rsid w:val="00812DA0"/>
    <w:pPr>
      <w:numPr>
        <w:ilvl w:val="0"/>
        <w:numId w:val="0"/>
      </w:numPr>
      <w:tabs>
        <w:tab w:val="num" w:pos="1795"/>
      </w:tabs>
      <w:spacing w:before="60" w:after="60"/>
      <w:ind w:left="1795" w:hanging="283"/>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3912">
      <w:bodyDiv w:val="1"/>
      <w:marLeft w:val="0"/>
      <w:marRight w:val="0"/>
      <w:marTop w:val="0"/>
      <w:marBottom w:val="0"/>
      <w:divBdr>
        <w:top w:val="none" w:sz="0" w:space="0" w:color="auto"/>
        <w:left w:val="none" w:sz="0" w:space="0" w:color="auto"/>
        <w:bottom w:val="none" w:sz="0" w:space="0" w:color="auto"/>
        <w:right w:val="none" w:sz="0" w:space="0" w:color="auto"/>
      </w:divBdr>
      <w:divsChild>
        <w:div w:id="921765648">
          <w:marLeft w:val="446"/>
          <w:marRight w:val="0"/>
          <w:marTop w:val="20"/>
          <w:marBottom w:val="20"/>
          <w:divBdr>
            <w:top w:val="none" w:sz="0" w:space="0" w:color="auto"/>
            <w:left w:val="none" w:sz="0" w:space="0" w:color="auto"/>
            <w:bottom w:val="none" w:sz="0" w:space="0" w:color="auto"/>
            <w:right w:val="none" w:sz="0" w:space="0" w:color="auto"/>
          </w:divBdr>
        </w:div>
        <w:div w:id="977488104">
          <w:marLeft w:val="446"/>
          <w:marRight w:val="0"/>
          <w:marTop w:val="20"/>
          <w:marBottom w:val="20"/>
          <w:divBdr>
            <w:top w:val="none" w:sz="0" w:space="0" w:color="auto"/>
            <w:left w:val="none" w:sz="0" w:space="0" w:color="auto"/>
            <w:bottom w:val="none" w:sz="0" w:space="0" w:color="auto"/>
            <w:right w:val="none" w:sz="0" w:space="0" w:color="auto"/>
          </w:divBdr>
        </w:div>
      </w:divsChild>
    </w:div>
    <w:div w:id="92364207">
      <w:bodyDiv w:val="1"/>
      <w:marLeft w:val="0"/>
      <w:marRight w:val="0"/>
      <w:marTop w:val="0"/>
      <w:marBottom w:val="0"/>
      <w:divBdr>
        <w:top w:val="none" w:sz="0" w:space="0" w:color="auto"/>
        <w:left w:val="none" w:sz="0" w:space="0" w:color="auto"/>
        <w:bottom w:val="none" w:sz="0" w:space="0" w:color="auto"/>
        <w:right w:val="none" w:sz="0" w:space="0" w:color="auto"/>
      </w:divBdr>
      <w:divsChild>
        <w:div w:id="121077459">
          <w:marLeft w:val="0"/>
          <w:marRight w:val="0"/>
          <w:marTop w:val="0"/>
          <w:marBottom w:val="0"/>
          <w:divBdr>
            <w:top w:val="none" w:sz="0" w:space="0" w:color="auto"/>
            <w:left w:val="none" w:sz="0" w:space="0" w:color="auto"/>
            <w:bottom w:val="none" w:sz="0" w:space="0" w:color="auto"/>
            <w:right w:val="none" w:sz="0" w:space="0" w:color="auto"/>
          </w:divBdr>
        </w:div>
        <w:div w:id="313460495">
          <w:marLeft w:val="0"/>
          <w:marRight w:val="0"/>
          <w:marTop w:val="0"/>
          <w:marBottom w:val="0"/>
          <w:divBdr>
            <w:top w:val="none" w:sz="0" w:space="0" w:color="auto"/>
            <w:left w:val="none" w:sz="0" w:space="0" w:color="auto"/>
            <w:bottom w:val="none" w:sz="0" w:space="0" w:color="auto"/>
            <w:right w:val="none" w:sz="0" w:space="0" w:color="auto"/>
          </w:divBdr>
        </w:div>
        <w:div w:id="493373446">
          <w:marLeft w:val="0"/>
          <w:marRight w:val="0"/>
          <w:marTop w:val="0"/>
          <w:marBottom w:val="0"/>
          <w:divBdr>
            <w:top w:val="none" w:sz="0" w:space="0" w:color="auto"/>
            <w:left w:val="none" w:sz="0" w:space="0" w:color="auto"/>
            <w:bottom w:val="none" w:sz="0" w:space="0" w:color="auto"/>
            <w:right w:val="none" w:sz="0" w:space="0" w:color="auto"/>
          </w:divBdr>
        </w:div>
        <w:div w:id="1263565266">
          <w:marLeft w:val="0"/>
          <w:marRight w:val="0"/>
          <w:marTop w:val="0"/>
          <w:marBottom w:val="0"/>
          <w:divBdr>
            <w:top w:val="none" w:sz="0" w:space="0" w:color="auto"/>
            <w:left w:val="none" w:sz="0" w:space="0" w:color="auto"/>
            <w:bottom w:val="none" w:sz="0" w:space="0" w:color="auto"/>
            <w:right w:val="none" w:sz="0" w:space="0" w:color="auto"/>
          </w:divBdr>
        </w:div>
        <w:div w:id="1584340793">
          <w:marLeft w:val="0"/>
          <w:marRight w:val="0"/>
          <w:marTop w:val="0"/>
          <w:marBottom w:val="0"/>
          <w:divBdr>
            <w:top w:val="none" w:sz="0" w:space="0" w:color="auto"/>
            <w:left w:val="none" w:sz="0" w:space="0" w:color="auto"/>
            <w:bottom w:val="none" w:sz="0" w:space="0" w:color="auto"/>
            <w:right w:val="none" w:sz="0" w:space="0" w:color="auto"/>
          </w:divBdr>
        </w:div>
      </w:divsChild>
    </w:div>
    <w:div w:id="391078371">
      <w:bodyDiv w:val="1"/>
      <w:marLeft w:val="0"/>
      <w:marRight w:val="0"/>
      <w:marTop w:val="0"/>
      <w:marBottom w:val="0"/>
      <w:divBdr>
        <w:top w:val="none" w:sz="0" w:space="0" w:color="auto"/>
        <w:left w:val="none" w:sz="0" w:space="0" w:color="auto"/>
        <w:bottom w:val="none" w:sz="0" w:space="0" w:color="auto"/>
        <w:right w:val="none" w:sz="0" w:space="0" w:color="auto"/>
      </w:divBdr>
      <w:divsChild>
        <w:div w:id="1015309520">
          <w:marLeft w:val="45"/>
          <w:marRight w:val="0"/>
          <w:marTop w:val="0"/>
          <w:marBottom w:val="0"/>
          <w:divBdr>
            <w:top w:val="none" w:sz="0" w:space="0" w:color="auto"/>
            <w:left w:val="none" w:sz="0" w:space="0" w:color="auto"/>
            <w:bottom w:val="none" w:sz="0" w:space="0" w:color="auto"/>
            <w:right w:val="none" w:sz="0" w:space="0" w:color="auto"/>
          </w:divBdr>
        </w:div>
        <w:div w:id="1350254254">
          <w:marLeft w:val="0"/>
          <w:marRight w:val="30"/>
          <w:marTop w:val="0"/>
          <w:marBottom w:val="0"/>
          <w:divBdr>
            <w:top w:val="none" w:sz="0" w:space="0" w:color="auto"/>
            <w:left w:val="none" w:sz="0" w:space="0" w:color="auto"/>
            <w:bottom w:val="none" w:sz="0" w:space="0" w:color="auto"/>
            <w:right w:val="none" w:sz="0" w:space="0" w:color="auto"/>
          </w:divBdr>
          <w:divsChild>
            <w:div w:id="2114981050">
              <w:marLeft w:val="0"/>
              <w:marRight w:val="0"/>
              <w:marTop w:val="0"/>
              <w:marBottom w:val="0"/>
              <w:divBdr>
                <w:top w:val="none" w:sz="0" w:space="0" w:color="auto"/>
                <w:left w:val="none" w:sz="0" w:space="0" w:color="auto"/>
                <w:bottom w:val="none" w:sz="0" w:space="0" w:color="auto"/>
                <w:right w:val="none" w:sz="0" w:space="0" w:color="auto"/>
              </w:divBdr>
              <w:divsChild>
                <w:div w:id="1751542995">
                  <w:marLeft w:val="0"/>
                  <w:marRight w:val="0"/>
                  <w:marTop w:val="0"/>
                  <w:marBottom w:val="0"/>
                  <w:divBdr>
                    <w:top w:val="none" w:sz="0" w:space="0" w:color="auto"/>
                    <w:left w:val="none" w:sz="0" w:space="0" w:color="auto"/>
                    <w:bottom w:val="none" w:sz="0" w:space="0" w:color="auto"/>
                    <w:right w:val="none" w:sz="0" w:space="0" w:color="auto"/>
                  </w:divBdr>
                  <w:divsChild>
                    <w:div w:id="564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734209">
      <w:bodyDiv w:val="1"/>
      <w:marLeft w:val="0"/>
      <w:marRight w:val="0"/>
      <w:marTop w:val="0"/>
      <w:marBottom w:val="0"/>
      <w:divBdr>
        <w:top w:val="none" w:sz="0" w:space="0" w:color="auto"/>
        <w:left w:val="none" w:sz="0" w:space="0" w:color="auto"/>
        <w:bottom w:val="none" w:sz="0" w:space="0" w:color="auto"/>
        <w:right w:val="none" w:sz="0" w:space="0" w:color="auto"/>
      </w:divBdr>
    </w:div>
    <w:div w:id="1164205868">
      <w:bodyDiv w:val="1"/>
      <w:marLeft w:val="0"/>
      <w:marRight w:val="0"/>
      <w:marTop w:val="0"/>
      <w:marBottom w:val="0"/>
      <w:divBdr>
        <w:top w:val="none" w:sz="0" w:space="0" w:color="auto"/>
        <w:left w:val="none" w:sz="0" w:space="0" w:color="auto"/>
        <w:bottom w:val="none" w:sz="0" w:space="0" w:color="auto"/>
        <w:right w:val="none" w:sz="0" w:space="0" w:color="auto"/>
      </w:divBdr>
    </w:div>
    <w:div w:id="1286352785">
      <w:bodyDiv w:val="1"/>
      <w:marLeft w:val="0"/>
      <w:marRight w:val="0"/>
      <w:marTop w:val="0"/>
      <w:marBottom w:val="0"/>
      <w:divBdr>
        <w:top w:val="none" w:sz="0" w:space="0" w:color="auto"/>
        <w:left w:val="none" w:sz="0" w:space="0" w:color="auto"/>
        <w:bottom w:val="none" w:sz="0" w:space="0" w:color="auto"/>
        <w:right w:val="none" w:sz="0" w:space="0" w:color="auto"/>
      </w:divBdr>
      <w:divsChild>
        <w:div w:id="20323929">
          <w:marLeft w:val="706"/>
          <w:marRight w:val="0"/>
          <w:marTop w:val="0"/>
          <w:marBottom w:val="60"/>
          <w:divBdr>
            <w:top w:val="none" w:sz="0" w:space="0" w:color="auto"/>
            <w:left w:val="none" w:sz="0" w:space="0" w:color="auto"/>
            <w:bottom w:val="none" w:sz="0" w:space="0" w:color="auto"/>
            <w:right w:val="none" w:sz="0" w:space="0" w:color="auto"/>
          </w:divBdr>
        </w:div>
        <w:div w:id="840631461">
          <w:marLeft w:val="706"/>
          <w:marRight w:val="0"/>
          <w:marTop w:val="0"/>
          <w:marBottom w:val="60"/>
          <w:divBdr>
            <w:top w:val="none" w:sz="0" w:space="0" w:color="auto"/>
            <w:left w:val="none" w:sz="0" w:space="0" w:color="auto"/>
            <w:bottom w:val="none" w:sz="0" w:space="0" w:color="auto"/>
            <w:right w:val="none" w:sz="0" w:space="0" w:color="auto"/>
          </w:divBdr>
        </w:div>
        <w:div w:id="1882790258">
          <w:marLeft w:val="706"/>
          <w:marRight w:val="0"/>
          <w:marTop w:val="0"/>
          <w:marBottom w:val="60"/>
          <w:divBdr>
            <w:top w:val="none" w:sz="0" w:space="0" w:color="auto"/>
            <w:left w:val="none" w:sz="0" w:space="0" w:color="auto"/>
            <w:bottom w:val="none" w:sz="0" w:space="0" w:color="auto"/>
            <w:right w:val="none" w:sz="0" w:space="0" w:color="auto"/>
          </w:divBdr>
        </w:div>
        <w:div w:id="1939830846">
          <w:marLeft w:val="706"/>
          <w:marRight w:val="0"/>
          <w:marTop w:val="0"/>
          <w:marBottom w:val="60"/>
          <w:divBdr>
            <w:top w:val="none" w:sz="0" w:space="0" w:color="auto"/>
            <w:left w:val="none" w:sz="0" w:space="0" w:color="auto"/>
            <w:bottom w:val="none" w:sz="0" w:space="0" w:color="auto"/>
            <w:right w:val="none" w:sz="0" w:space="0" w:color="auto"/>
          </w:divBdr>
        </w:div>
      </w:divsChild>
    </w:div>
    <w:div w:id="1312752742">
      <w:bodyDiv w:val="1"/>
      <w:marLeft w:val="0"/>
      <w:marRight w:val="0"/>
      <w:marTop w:val="0"/>
      <w:marBottom w:val="0"/>
      <w:divBdr>
        <w:top w:val="none" w:sz="0" w:space="0" w:color="auto"/>
        <w:left w:val="none" w:sz="0" w:space="0" w:color="auto"/>
        <w:bottom w:val="none" w:sz="0" w:space="0" w:color="auto"/>
        <w:right w:val="none" w:sz="0" w:space="0" w:color="auto"/>
      </w:divBdr>
    </w:div>
    <w:div w:id="1340428451">
      <w:bodyDiv w:val="1"/>
      <w:marLeft w:val="0"/>
      <w:marRight w:val="0"/>
      <w:marTop w:val="0"/>
      <w:marBottom w:val="0"/>
      <w:divBdr>
        <w:top w:val="none" w:sz="0" w:space="0" w:color="auto"/>
        <w:left w:val="none" w:sz="0" w:space="0" w:color="auto"/>
        <w:bottom w:val="none" w:sz="0" w:space="0" w:color="auto"/>
        <w:right w:val="none" w:sz="0" w:space="0" w:color="auto"/>
      </w:divBdr>
    </w:div>
    <w:div w:id="1431125634">
      <w:bodyDiv w:val="1"/>
      <w:marLeft w:val="0"/>
      <w:marRight w:val="0"/>
      <w:marTop w:val="0"/>
      <w:marBottom w:val="0"/>
      <w:divBdr>
        <w:top w:val="none" w:sz="0" w:space="0" w:color="auto"/>
        <w:left w:val="none" w:sz="0" w:space="0" w:color="auto"/>
        <w:bottom w:val="none" w:sz="0" w:space="0" w:color="auto"/>
        <w:right w:val="none" w:sz="0" w:space="0" w:color="auto"/>
      </w:divBdr>
    </w:div>
    <w:div w:id="1838420176">
      <w:bodyDiv w:val="1"/>
      <w:marLeft w:val="0"/>
      <w:marRight w:val="0"/>
      <w:marTop w:val="0"/>
      <w:marBottom w:val="0"/>
      <w:divBdr>
        <w:top w:val="none" w:sz="0" w:space="0" w:color="auto"/>
        <w:left w:val="none" w:sz="0" w:space="0" w:color="auto"/>
        <w:bottom w:val="none" w:sz="0" w:space="0" w:color="auto"/>
        <w:right w:val="none" w:sz="0" w:space="0" w:color="auto"/>
      </w:divBdr>
      <w:divsChild>
        <w:div w:id="351955458">
          <w:marLeft w:val="446"/>
          <w:marRight w:val="0"/>
          <w:marTop w:val="20"/>
          <w:marBottom w:val="20"/>
          <w:divBdr>
            <w:top w:val="none" w:sz="0" w:space="0" w:color="auto"/>
            <w:left w:val="none" w:sz="0" w:space="0" w:color="auto"/>
            <w:bottom w:val="none" w:sz="0" w:space="0" w:color="auto"/>
            <w:right w:val="none" w:sz="0" w:space="0" w:color="auto"/>
          </w:divBdr>
        </w:div>
        <w:div w:id="451751105">
          <w:marLeft w:val="446"/>
          <w:marRight w:val="0"/>
          <w:marTop w:val="2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footer" Target="footer4.xml"/><Relationship Id="rId39" Type="http://schemas.openxmlformats.org/officeDocument/2006/relationships/hyperlink" Target="https://www.dtf.vic.gov.au/infrastructure-investment/high-value-high-risk-framework" TargetMode="External"/><Relationship Id="rId21" Type="http://schemas.openxmlformats.org/officeDocument/2006/relationships/hyperlink" Target="http://www.dtf.vic.gov.au" TargetMode="External"/><Relationship Id="rId34" Type="http://schemas.openxmlformats.org/officeDocument/2006/relationships/hyperlink" Target="https://www.dtf.vic.gov.au/financial-management-government/standing-directions-2018-under-financial-management-act-1994" TargetMode="External"/><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hyperlink" Target="https://www.dtf.vic.gov.au/stage-2-procurement/cost-reimbursable-procurement-category" TargetMode="External"/><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29.png"/><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32.svg"/><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9" Type="http://schemas.openxmlformats.org/officeDocument/2006/relationships/hyperlink" Target="https://www.dtf.vic.gov.au/public-construction-policy-and-resources/ministerial-directions-and-instructions-public-construction-procurement" TargetMode="Externa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hyperlink" Target="https://www.dtf.vic.gov.au/infrastructure-investment/investment-management-standard" TargetMode="External"/><Relationship Id="rId40" Type="http://schemas.openxmlformats.org/officeDocument/2006/relationships/hyperlink" Target="https://www.dtf.vic.gov.au/infrastructure-investment/gateway-review-process" TargetMode="External"/><Relationship Id="rId45" Type="http://schemas.openxmlformats.org/officeDocument/2006/relationships/hyperlink" Target="https://www.dtf.vic.gov.au/stage-2-procurement/cost-reimbursable-procurement-category" TargetMode="External"/><Relationship Id="rId53" Type="http://schemas.openxmlformats.org/officeDocument/2006/relationships/image" Target="media/image16.svg"/><Relationship Id="rId58" Type="http://schemas.openxmlformats.org/officeDocument/2006/relationships/image" Target="media/image20.svg"/><Relationship Id="rId66" Type="http://schemas.openxmlformats.org/officeDocument/2006/relationships/image" Target="media/image27.png"/><Relationship Id="rId74" Type="http://schemas.openxmlformats.org/officeDocument/2006/relationships/footer" Target="footer6.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hyperlink" Target="mailto:IPpolicy@dtf.vic.gov.au" TargetMode="External"/><Relationship Id="rId31" Type="http://schemas.openxmlformats.org/officeDocument/2006/relationships/hyperlink" Target="https://www.dtf.vic.gov.au/investment-lifecycle-and-high-value-high-risk-guidelines/procurement" TargetMode="External"/><Relationship Id="rId44" Type="http://schemas.openxmlformats.org/officeDocument/2006/relationships/hyperlink" Target="https://www.infrastructure.gov.au/sites/default/files/migrated/infrastructure/ngpd/files/National_Guide_to_Alliance_Contracting.pdf" TargetMode="External"/><Relationship Id="rId52" Type="http://schemas.openxmlformats.org/officeDocument/2006/relationships/image" Target="media/image15.png"/><Relationship Id="rId60" Type="http://schemas.openxmlformats.org/officeDocument/2006/relationships/image" Target="media/image22.svg"/><Relationship Id="rId65" Type="http://schemas.openxmlformats.org/officeDocument/2006/relationships/image" Target="media/image26.png"/><Relationship Id="rId73" Type="http://schemas.openxmlformats.org/officeDocument/2006/relationships/image" Target="media/image34.sv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yperlink" Target="http://www8.austlii.edu.au/cgi-bin/viewdoc/au/legis/vic/consol_act/pdacma1994479/s3.html" TargetMode="External"/><Relationship Id="rId35" Type="http://schemas.openxmlformats.org/officeDocument/2006/relationships/hyperlink" Target="https://www.dtf.vic.gov.au/infrastructure-investment/investment-lifecycle-and-high-value-and-high-risk-guidelines" TargetMode="External"/><Relationship Id="rId43" Type="http://schemas.openxmlformats.org/officeDocument/2006/relationships/image" Target="media/image12.svg"/><Relationship Id="rId48" Type="http://schemas.openxmlformats.org/officeDocument/2006/relationships/image" Target="media/image14.svg"/><Relationship Id="rId56" Type="http://schemas.openxmlformats.org/officeDocument/2006/relationships/image" Target="media/image18.svg"/><Relationship Id="rId64" Type="http://schemas.openxmlformats.org/officeDocument/2006/relationships/hyperlink" Target="https://www.dtf.vic.gov.au/stage-2-procurement/cost-reimbursable-procurement-category" TargetMode="External"/><Relationship Id="rId69" Type="http://schemas.openxmlformats.org/officeDocument/2006/relationships/image" Target="media/image30.svg"/><Relationship Id="rId7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s://www.dtf.vic.gov.au/investment-lifecycle-and-high-value-high-risk-guidelines/procurement" TargetMode="External"/><Relationship Id="rId72"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0.svg"/><Relationship Id="rId38" Type="http://schemas.openxmlformats.org/officeDocument/2006/relationships/hyperlink" Target="https://www.dtf.vic.gov.au/infrastructure-investment/bid-cost-reimbursement-major-construction-projects" TargetMode="External"/><Relationship Id="rId46" Type="http://schemas.openxmlformats.org/officeDocument/2006/relationships/hyperlink" Target="https://www.dtf.vic.gov.au/stage-2-procurement/lump-sum-procurement-category" TargetMode="External"/><Relationship Id="rId59" Type="http://schemas.openxmlformats.org/officeDocument/2006/relationships/image" Target="media/image21.png"/><Relationship Id="rId67" Type="http://schemas.openxmlformats.org/officeDocument/2006/relationships/image" Target="media/image28.svg"/><Relationship Id="rId20" Type="http://schemas.openxmlformats.org/officeDocument/2006/relationships/hyperlink" Target="mailto:information@dtf.vic.gov.au" TargetMode="External"/><Relationship Id="rId41" Type="http://schemas.openxmlformats.org/officeDocument/2006/relationships/hyperlink" Target="https://www.infrastructure.gov.au/sites/default/files/migrated/infrastructure/ngpd/files/National_Guide_to_Alliance_Contracting.pdf" TargetMode="External"/><Relationship Id="rId54" Type="http://schemas.openxmlformats.org/officeDocument/2006/relationships/hyperlink" Target="https://www.dtf.vic.gov.au/stage-2-procurement/cost-reimbursable-procurement-category" TargetMode="External"/><Relationship Id="rId62" Type="http://schemas.openxmlformats.org/officeDocument/2006/relationships/image" Target="media/image24.svg"/><Relationship Id="rId70" Type="http://schemas.openxmlformats.org/officeDocument/2006/relationships/image" Target="media/image31.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dtf.vic.gov.au" TargetMode="External"/><Relationship Id="rId23" Type="http://schemas.openxmlformats.org/officeDocument/2006/relationships/footer" Target="footer3.xml"/><Relationship Id="rId28" Type="http://schemas.openxmlformats.org/officeDocument/2006/relationships/hyperlink" Target="https://www.dtf.vic.gov.au/stage-2-procurement/cost-reimbursable-procurement-category" TargetMode="External"/><Relationship Id="rId36" Type="http://schemas.openxmlformats.org/officeDocument/2006/relationships/hyperlink" Target="https://www.dtf.vic.gov.au/infrastructure-investment/asset-management-accountability-framework" TargetMode="External"/><Relationship Id="rId49" Type="http://schemas.openxmlformats.org/officeDocument/2006/relationships/hyperlink" Target="https://www.dtf.vic.gov.au/investment-lifecycle-and-high-value-high-risk-guidelines/procurement" TargetMode="External"/><Relationship Id="rId57" Type="http://schemas.openxmlformats.org/officeDocument/2006/relationships/image" Target="media/image1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35.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SharedWithUsers xmlns="15b0d6e9-e99b-40a9-aaa3-9b8d7d95b219">
      <UserInfo>
        <DisplayName>Benjamin Skok (DTF)</DisplayName>
        <AccountId>1118</AccountId>
        <AccountType/>
      </UserInfo>
      <UserInfo>
        <DisplayName>Adam C Piorunowski-Kane (DTF)</DisplayName>
        <AccountId>766</AccountId>
        <AccountType/>
      </UserInfo>
      <UserInfo>
        <DisplayName>Deidre Steain (DTF)</DisplayName>
        <AccountId>16</AccountId>
        <AccountType/>
      </UserInfo>
      <UserInfo>
        <DisplayName>Geoff Stanton (DTF)</DisplayName>
        <AccountId>1028</AccountId>
        <AccountType/>
      </UserInfo>
      <UserInfo>
        <DisplayName>Gaby Chapman (DTF)</DisplayName>
        <AccountId>14</AccountId>
        <AccountType/>
      </UserInfo>
      <UserInfo>
        <DisplayName>Kate Considine (DTF)</DisplayName>
        <AccountId>1008</AccountId>
        <AccountType/>
      </UserInfo>
      <UserInfo>
        <DisplayName>Natasha Payze (DTF)</DisplayName>
        <AccountId>693</AccountId>
        <AccountType/>
      </UserInfo>
    </SharedWithUsers>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0495F70-3CC9-4896-A9A4-19E89ED1FA02}">
  <ds:schemaRefs>
    <ds:schemaRef ds:uri="http://schemas.microsoft.com/office/2006/metadata/properties"/>
    <ds:schemaRef ds:uri="http://schemas.microsoft.com/office/infopath/2007/PartnerControls"/>
    <ds:schemaRef ds:uri="51fffbad-fc14-48aa-b0d1-9be411fd36c8"/>
    <ds:schemaRef ds:uri="http://schemas.microsoft.com/sharepoint/v4"/>
    <ds:schemaRef ds:uri="15b0d6e9-e99b-40a9-aaa3-9b8d7d95b219"/>
    <ds:schemaRef ds:uri="http://schemas.microsoft.com/sharepoint/v3"/>
  </ds:schemaRefs>
</ds:datastoreItem>
</file>

<file path=customXml/itemProps2.xml><?xml version="1.0" encoding="utf-8"?>
<ds:datastoreItem xmlns:ds="http://schemas.openxmlformats.org/officeDocument/2006/customXml" ds:itemID="{B05C6E3E-00F7-4724-A421-1C5E8EBAA208}">
  <ds:schemaRefs>
    <ds:schemaRef ds:uri="http://schemas.microsoft.com/sharepoint/v3/contenttype/forms"/>
  </ds:schemaRefs>
</ds:datastoreItem>
</file>

<file path=customXml/itemProps3.xml><?xml version="1.0" encoding="utf-8"?>
<ds:datastoreItem xmlns:ds="http://schemas.openxmlformats.org/officeDocument/2006/customXml" ds:itemID="{BEA8D337-34AE-43A1-B937-97061AF4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8072C-DD53-4BC3-9D59-6BE8BEE1CC88}">
  <ds:schemaRefs>
    <ds:schemaRef ds:uri="http://schemas.openxmlformats.org/officeDocument/2006/bibliography"/>
  </ds:schemaRefs>
</ds:datastoreItem>
</file>

<file path=customXml/itemProps5.xml><?xml version="1.0" encoding="utf-8"?>
<ds:datastoreItem xmlns:ds="http://schemas.openxmlformats.org/officeDocument/2006/customXml" ds:itemID="{18A8F02D-E22A-4D5A-BCAC-11C3CC47E5E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30816</Words>
  <Characters>176021</Characters>
  <Application>Microsoft Office Word</Application>
  <DocSecurity>0</DocSecurity>
  <Lines>5177</Lines>
  <Paragraphs>2462</Paragraphs>
  <ScaleCrop>false</ScaleCrop>
  <HeadingPairs>
    <vt:vector size="2" baseType="variant">
      <vt:variant>
        <vt:lpstr>Title</vt:lpstr>
      </vt:variant>
      <vt:variant>
        <vt:i4>1</vt:i4>
      </vt:variant>
    </vt:vector>
  </HeadingPairs>
  <TitlesOfParts>
    <vt:vector size="1" baseType="lpstr">
      <vt:lpstr>Incentivised Target Cost Contract Suite - Guidance Notes</vt:lpstr>
    </vt:vector>
  </TitlesOfParts>
  <Company/>
  <LinksUpToDate>false</LinksUpToDate>
  <CharactersWithSpaces>204375</CharactersWithSpaces>
  <SharedDoc>false</SharedDoc>
  <HLinks>
    <vt:vector size="456" baseType="variant">
      <vt:variant>
        <vt:i4>5840977</vt:i4>
      </vt:variant>
      <vt:variant>
        <vt:i4>492</vt:i4>
      </vt:variant>
      <vt:variant>
        <vt:i4>0</vt:i4>
      </vt:variant>
      <vt:variant>
        <vt:i4>5</vt:i4>
      </vt:variant>
      <vt:variant>
        <vt:lpwstr>•%09https:/www.dtf.vic.gov.au/stage-2-procurement/cost-reimbursable-procurement-category</vt:lpwstr>
      </vt:variant>
      <vt:variant>
        <vt:lpwstr/>
      </vt:variant>
      <vt:variant>
        <vt:i4>3211381</vt:i4>
      </vt:variant>
      <vt:variant>
        <vt:i4>417</vt:i4>
      </vt:variant>
      <vt:variant>
        <vt:i4>0</vt:i4>
      </vt:variant>
      <vt:variant>
        <vt:i4>5</vt:i4>
      </vt:variant>
      <vt:variant>
        <vt:lpwstr>https://www.dtf.vic.gov.au/investment-lifecycle-and-high-value-high-risk-guidelines/stage-2-procurement</vt:lpwstr>
      </vt:variant>
      <vt:variant>
        <vt:lpwstr/>
      </vt:variant>
      <vt:variant>
        <vt:i4>3211381</vt:i4>
      </vt:variant>
      <vt:variant>
        <vt:i4>411</vt:i4>
      </vt:variant>
      <vt:variant>
        <vt:i4>0</vt:i4>
      </vt:variant>
      <vt:variant>
        <vt:i4>5</vt:i4>
      </vt:variant>
      <vt:variant>
        <vt:lpwstr>https://www.dtf.vic.gov.au/investment-lifecycle-and-high-value-high-risk-guidelines/stage-2-procurement</vt:lpwstr>
      </vt:variant>
      <vt:variant>
        <vt:lpwstr/>
      </vt:variant>
      <vt:variant>
        <vt:i4>1638470</vt:i4>
      </vt:variant>
      <vt:variant>
        <vt:i4>393</vt:i4>
      </vt:variant>
      <vt:variant>
        <vt:i4>0</vt:i4>
      </vt:variant>
      <vt:variant>
        <vt:i4>5</vt:i4>
      </vt:variant>
      <vt:variant>
        <vt:lpwstr>https://www.infrastructure.gov.au/sites/default/files/migrated/infrastructure/ngpd/files/National_Guide_to_Alliance_Contracting.pdf</vt:lpwstr>
      </vt:variant>
      <vt:variant>
        <vt:lpwstr/>
      </vt:variant>
      <vt:variant>
        <vt:i4>1638470</vt:i4>
      </vt:variant>
      <vt:variant>
        <vt:i4>387</vt:i4>
      </vt:variant>
      <vt:variant>
        <vt:i4>0</vt:i4>
      </vt:variant>
      <vt:variant>
        <vt:i4>5</vt:i4>
      </vt:variant>
      <vt:variant>
        <vt:lpwstr>https://www.infrastructure.gov.au/sites/default/files/migrated/infrastructure/ngpd/files/National_Guide_to_Alliance_Contracting.pdf</vt:lpwstr>
      </vt:variant>
      <vt:variant>
        <vt:lpwstr/>
      </vt:variant>
      <vt:variant>
        <vt:i4>7864431</vt:i4>
      </vt:variant>
      <vt:variant>
        <vt:i4>384</vt:i4>
      </vt:variant>
      <vt:variant>
        <vt:i4>0</vt:i4>
      </vt:variant>
      <vt:variant>
        <vt:i4>5</vt:i4>
      </vt:variant>
      <vt:variant>
        <vt:lpwstr>https://www.dtf.vic.gov.au/infrastructure-investment/gateway-review-process</vt:lpwstr>
      </vt:variant>
      <vt:variant>
        <vt:lpwstr/>
      </vt:variant>
      <vt:variant>
        <vt:i4>6750325</vt:i4>
      </vt:variant>
      <vt:variant>
        <vt:i4>381</vt:i4>
      </vt:variant>
      <vt:variant>
        <vt:i4>0</vt:i4>
      </vt:variant>
      <vt:variant>
        <vt:i4>5</vt:i4>
      </vt:variant>
      <vt:variant>
        <vt:lpwstr>https://www.dtf.vic.gov.au/infrastructure-investment/high-value-high-risk-framework</vt:lpwstr>
      </vt:variant>
      <vt:variant>
        <vt:lpwstr/>
      </vt:variant>
      <vt:variant>
        <vt:i4>6881331</vt:i4>
      </vt:variant>
      <vt:variant>
        <vt:i4>378</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ariant>
        <vt:i4>7929977</vt:i4>
      </vt:variant>
      <vt:variant>
        <vt:i4>375</vt:i4>
      </vt:variant>
      <vt:variant>
        <vt:i4>0</vt:i4>
      </vt:variant>
      <vt:variant>
        <vt:i4>5</vt:i4>
      </vt:variant>
      <vt:variant>
        <vt:lpwstr>https://www.dtf.vic.gov.au/infrastructure-investment/investment-management-standard</vt:lpwstr>
      </vt:variant>
      <vt:variant>
        <vt:lpwstr/>
      </vt:variant>
      <vt:variant>
        <vt:i4>8060967</vt:i4>
      </vt:variant>
      <vt:variant>
        <vt:i4>372</vt:i4>
      </vt:variant>
      <vt:variant>
        <vt:i4>0</vt:i4>
      </vt:variant>
      <vt:variant>
        <vt:i4>5</vt:i4>
      </vt:variant>
      <vt:variant>
        <vt:lpwstr>https://www.dtf.vic.gov.au/infrastructure-investment/asset-management-accountability-framework</vt:lpwstr>
      </vt:variant>
      <vt:variant>
        <vt:lpwstr/>
      </vt:variant>
      <vt:variant>
        <vt:i4>4325444</vt:i4>
      </vt:variant>
      <vt:variant>
        <vt:i4>369</vt:i4>
      </vt:variant>
      <vt:variant>
        <vt:i4>0</vt:i4>
      </vt:variant>
      <vt:variant>
        <vt:i4>5</vt:i4>
      </vt:variant>
      <vt:variant>
        <vt:lpwstr>https://www.dtf.vic.gov.au/infrastructure-investment/investment-lifecycle-and-high-value-and-high-risk-guidelines</vt:lpwstr>
      </vt:variant>
      <vt:variant>
        <vt:lpwstr/>
      </vt:variant>
      <vt:variant>
        <vt:i4>2752618</vt:i4>
      </vt:variant>
      <vt:variant>
        <vt:i4>366</vt:i4>
      </vt:variant>
      <vt:variant>
        <vt:i4>0</vt:i4>
      </vt:variant>
      <vt:variant>
        <vt:i4>5</vt:i4>
      </vt:variant>
      <vt:variant>
        <vt:lpwstr>https://www.dtf.vic.gov.au/financial-management-government/standing-directions-2018-under-financial-management-act-1994</vt:lpwstr>
      </vt:variant>
      <vt:variant>
        <vt:lpwstr/>
      </vt:variant>
      <vt:variant>
        <vt:i4>2228272</vt:i4>
      </vt:variant>
      <vt:variant>
        <vt:i4>357</vt:i4>
      </vt:variant>
      <vt:variant>
        <vt:i4>0</vt:i4>
      </vt:variant>
      <vt:variant>
        <vt:i4>5</vt:i4>
      </vt:variant>
      <vt:variant>
        <vt:lpwstr>https://www.dtf.vic.gov.au/investment-lifecycle-and-high-value-high-risk-guidelines/procurement</vt:lpwstr>
      </vt:variant>
      <vt:variant>
        <vt:lpwstr/>
      </vt:variant>
      <vt:variant>
        <vt:i4>1835121</vt:i4>
      </vt:variant>
      <vt:variant>
        <vt:i4>354</vt:i4>
      </vt:variant>
      <vt:variant>
        <vt:i4>0</vt:i4>
      </vt:variant>
      <vt:variant>
        <vt:i4>5</vt:i4>
      </vt:variant>
      <vt:variant>
        <vt:lpwstr>http://www8.austlii.edu.au/cgi-bin/viewdoc/au/legis/vic/consol_act/pdacma1994479/s3.html</vt:lpwstr>
      </vt:variant>
      <vt:variant>
        <vt:lpwstr/>
      </vt:variant>
      <vt:variant>
        <vt:i4>3407979</vt:i4>
      </vt:variant>
      <vt:variant>
        <vt:i4>351</vt:i4>
      </vt:variant>
      <vt:variant>
        <vt:i4>0</vt:i4>
      </vt:variant>
      <vt:variant>
        <vt:i4>5</vt:i4>
      </vt:variant>
      <vt:variant>
        <vt:lpwstr>https://www.dtf.vic.gov.au/public-construction-policy-and-resources/ministerial-directions-and-instructions-public-construction-procurement</vt:lpwstr>
      </vt:variant>
      <vt:variant>
        <vt:lpwstr/>
      </vt:variant>
      <vt:variant>
        <vt:i4>1179707</vt:i4>
      </vt:variant>
      <vt:variant>
        <vt:i4>341</vt:i4>
      </vt:variant>
      <vt:variant>
        <vt:i4>0</vt:i4>
      </vt:variant>
      <vt:variant>
        <vt:i4>5</vt:i4>
      </vt:variant>
      <vt:variant>
        <vt:lpwstr/>
      </vt:variant>
      <vt:variant>
        <vt:lpwstr>_Toc145581759</vt:lpwstr>
      </vt:variant>
      <vt:variant>
        <vt:i4>1179707</vt:i4>
      </vt:variant>
      <vt:variant>
        <vt:i4>335</vt:i4>
      </vt:variant>
      <vt:variant>
        <vt:i4>0</vt:i4>
      </vt:variant>
      <vt:variant>
        <vt:i4>5</vt:i4>
      </vt:variant>
      <vt:variant>
        <vt:lpwstr/>
      </vt:variant>
      <vt:variant>
        <vt:lpwstr>_Toc145581758</vt:lpwstr>
      </vt:variant>
      <vt:variant>
        <vt:i4>1179707</vt:i4>
      </vt:variant>
      <vt:variant>
        <vt:i4>329</vt:i4>
      </vt:variant>
      <vt:variant>
        <vt:i4>0</vt:i4>
      </vt:variant>
      <vt:variant>
        <vt:i4>5</vt:i4>
      </vt:variant>
      <vt:variant>
        <vt:lpwstr/>
      </vt:variant>
      <vt:variant>
        <vt:lpwstr>_Toc145581757</vt:lpwstr>
      </vt:variant>
      <vt:variant>
        <vt:i4>1179707</vt:i4>
      </vt:variant>
      <vt:variant>
        <vt:i4>323</vt:i4>
      </vt:variant>
      <vt:variant>
        <vt:i4>0</vt:i4>
      </vt:variant>
      <vt:variant>
        <vt:i4>5</vt:i4>
      </vt:variant>
      <vt:variant>
        <vt:lpwstr/>
      </vt:variant>
      <vt:variant>
        <vt:lpwstr>_Toc145581756</vt:lpwstr>
      </vt:variant>
      <vt:variant>
        <vt:i4>1179707</vt:i4>
      </vt:variant>
      <vt:variant>
        <vt:i4>317</vt:i4>
      </vt:variant>
      <vt:variant>
        <vt:i4>0</vt:i4>
      </vt:variant>
      <vt:variant>
        <vt:i4>5</vt:i4>
      </vt:variant>
      <vt:variant>
        <vt:lpwstr/>
      </vt:variant>
      <vt:variant>
        <vt:lpwstr>_Toc145581755</vt:lpwstr>
      </vt:variant>
      <vt:variant>
        <vt:i4>1179707</vt:i4>
      </vt:variant>
      <vt:variant>
        <vt:i4>311</vt:i4>
      </vt:variant>
      <vt:variant>
        <vt:i4>0</vt:i4>
      </vt:variant>
      <vt:variant>
        <vt:i4>5</vt:i4>
      </vt:variant>
      <vt:variant>
        <vt:lpwstr/>
      </vt:variant>
      <vt:variant>
        <vt:lpwstr>_Toc145581754</vt:lpwstr>
      </vt:variant>
      <vt:variant>
        <vt:i4>1179707</vt:i4>
      </vt:variant>
      <vt:variant>
        <vt:i4>305</vt:i4>
      </vt:variant>
      <vt:variant>
        <vt:i4>0</vt:i4>
      </vt:variant>
      <vt:variant>
        <vt:i4>5</vt:i4>
      </vt:variant>
      <vt:variant>
        <vt:lpwstr/>
      </vt:variant>
      <vt:variant>
        <vt:lpwstr>_Toc145581753</vt:lpwstr>
      </vt:variant>
      <vt:variant>
        <vt:i4>1179707</vt:i4>
      </vt:variant>
      <vt:variant>
        <vt:i4>299</vt:i4>
      </vt:variant>
      <vt:variant>
        <vt:i4>0</vt:i4>
      </vt:variant>
      <vt:variant>
        <vt:i4>5</vt:i4>
      </vt:variant>
      <vt:variant>
        <vt:lpwstr/>
      </vt:variant>
      <vt:variant>
        <vt:lpwstr>_Toc145581752</vt:lpwstr>
      </vt:variant>
      <vt:variant>
        <vt:i4>1179707</vt:i4>
      </vt:variant>
      <vt:variant>
        <vt:i4>293</vt:i4>
      </vt:variant>
      <vt:variant>
        <vt:i4>0</vt:i4>
      </vt:variant>
      <vt:variant>
        <vt:i4>5</vt:i4>
      </vt:variant>
      <vt:variant>
        <vt:lpwstr/>
      </vt:variant>
      <vt:variant>
        <vt:lpwstr>_Toc145581751</vt:lpwstr>
      </vt:variant>
      <vt:variant>
        <vt:i4>1179707</vt:i4>
      </vt:variant>
      <vt:variant>
        <vt:i4>287</vt:i4>
      </vt:variant>
      <vt:variant>
        <vt:i4>0</vt:i4>
      </vt:variant>
      <vt:variant>
        <vt:i4>5</vt:i4>
      </vt:variant>
      <vt:variant>
        <vt:lpwstr/>
      </vt:variant>
      <vt:variant>
        <vt:lpwstr>_Toc145581750</vt:lpwstr>
      </vt:variant>
      <vt:variant>
        <vt:i4>1245243</vt:i4>
      </vt:variant>
      <vt:variant>
        <vt:i4>281</vt:i4>
      </vt:variant>
      <vt:variant>
        <vt:i4>0</vt:i4>
      </vt:variant>
      <vt:variant>
        <vt:i4>5</vt:i4>
      </vt:variant>
      <vt:variant>
        <vt:lpwstr/>
      </vt:variant>
      <vt:variant>
        <vt:lpwstr>_Toc145581749</vt:lpwstr>
      </vt:variant>
      <vt:variant>
        <vt:i4>1245243</vt:i4>
      </vt:variant>
      <vt:variant>
        <vt:i4>275</vt:i4>
      </vt:variant>
      <vt:variant>
        <vt:i4>0</vt:i4>
      </vt:variant>
      <vt:variant>
        <vt:i4>5</vt:i4>
      </vt:variant>
      <vt:variant>
        <vt:lpwstr/>
      </vt:variant>
      <vt:variant>
        <vt:lpwstr>_Toc145581748</vt:lpwstr>
      </vt:variant>
      <vt:variant>
        <vt:i4>1245243</vt:i4>
      </vt:variant>
      <vt:variant>
        <vt:i4>269</vt:i4>
      </vt:variant>
      <vt:variant>
        <vt:i4>0</vt:i4>
      </vt:variant>
      <vt:variant>
        <vt:i4>5</vt:i4>
      </vt:variant>
      <vt:variant>
        <vt:lpwstr/>
      </vt:variant>
      <vt:variant>
        <vt:lpwstr>_Toc145581747</vt:lpwstr>
      </vt:variant>
      <vt:variant>
        <vt:i4>1245243</vt:i4>
      </vt:variant>
      <vt:variant>
        <vt:i4>263</vt:i4>
      </vt:variant>
      <vt:variant>
        <vt:i4>0</vt:i4>
      </vt:variant>
      <vt:variant>
        <vt:i4>5</vt:i4>
      </vt:variant>
      <vt:variant>
        <vt:lpwstr/>
      </vt:variant>
      <vt:variant>
        <vt:lpwstr>_Toc145581746</vt:lpwstr>
      </vt:variant>
      <vt:variant>
        <vt:i4>1245243</vt:i4>
      </vt:variant>
      <vt:variant>
        <vt:i4>257</vt:i4>
      </vt:variant>
      <vt:variant>
        <vt:i4>0</vt:i4>
      </vt:variant>
      <vt:variant>
        <vt:i4>5</vt:i4>
      </vt:variant>
      <vt:variant>
        <vt:lpwstr/>
      </vt:variant>
      <vt:variant>
        <vt:lpwstr>_Toc145581745</vt:lpwstr>
      </vt:variant>
      <vt:variant>
        <vt:i4>1245243</vt:i4>
      </vt:variant>
      <vt:variant>
        <vt:i4>251</vt:i4>
      </vt:variant>
      <vt:variant>
        <vt:i4>0</vt:i4>
      </vt:variant>
      <vt:variant>
        <vt:i4>5</vt:i4>
      </vt:variant>
      <vt:variant>
        <vt:lpwstr/>
      </vt:variant>
      <vt:variant>
        <vt:lpwstr>_Toc145581744</vt:lpwstr>
      </vt:variant>
      <vt:variant>
        <vt:i4>1245243</vt:i4>
      </vt:variant>
      <vt:variant>
        <vt:i4>245</vt:i4>
      </vt:variant>
      <vt:variant>
        <vt:i4>0</vt:i4>
      </vt:variant>
      <vt:variant>
        <vt:i4>5</vt:i4>
      </vt:variant>
      <vt:variant>
        <vt:lpwstr/>
      </vt:variant>
      <vt:variant>
        <vt:lpwstr>_Toc145581743</vt:lpwstr>
      </vt:variant>
      <vt:variant>
        <vt:i4>1245243</vt:i4>
      </vt:variant>
      <vt:variant>
        <vt:i4>239</vt:i4>
      </vt:variant>
      <vt:variant>
        <vt:i4>0</vt:i4>
      </vt:variant>
      <vt:variant>
        <vt:i4>5</vt:i4>
      </vt:variant>
      <vt:variant>
        <vt:lpwstr/>
      </vt:variant>
      <vt:variant>
        <vt:lpwstr>_Toc145581742</vt:lpwstr>
      </vt:variant>
      <vt:variant>
        <vt:i4>1245243</vt:i4>
      </vt:variant>
      <vt:variant>
        <vt:i4>233</vt:i4>
      </vt:variant>
      <vt:variant>
        <vt:i4>0</vt:i4>
      </vt:variant>
      <vt:variant>
        <vt:i4>5</vt:i4>
      </vt:variant>
      <vt:variant>
        <vt:lpwstr/>
      </vt:variant>
      <vt:variant>
        <vt:lpwstr>_Toc145581741</vt:lpwstr>
      </vt:variant>
      <vt:variant>
        <vt:i4>1245243</vt:i4>
      </vt:variant>
      <vt:variant>
        <vt:i4>227</vt:i4>
      </vt:variant>
      <vt:variant>
        <vt:i4>0</vt:i4>
      </vt:variant>
      <vt:variant>
        <vt:i4>5</vt:i4>
      </vt:variant>
      <vt:variant>
        <vt:lpwstr/>
      </vt:variant>
      <vt:variant>
        <vt:lpwstr>_Toc145581740</vt:lpwstr>
      </vt:variant>
      <vt:variant>
        <vt:i4>1310779</vt:i4>
      </vt:variant>
      <vt:variant>
        <vt:i4>221</vt:i4>
      </vt:variant>
      <vt:variant>
        <vt:i4>0</vt:i4>
      </vt:variant>
      <vt:variant>
        <vt:i4>5</vt:i4>
      </vt:variant>
      <vt:variant>
        <vt:lpwstr/>
      </vt:variant>
      <vt:variant>
        <vt:lpwstr>_Toc145581739</vt:lpwstr>
      </vt:variant>
      <vt:variant>
        <vt:i4>1310779</vt:i4>
      </vt:variant>
      <vt:variant>
        <vt:i4>215</vt:i4>
      </vt:variant>
      <vt:variant>
        <vt:i4>0</vt:i4>
      </vt:variant>
      <vt:variant>
        <vt:i4>5</vt:i4>
      </vt:variant>
      <vt:variant>
        <vt:lpwstr/>
      </vt:variant>
      <vt:variant>
        <vt:lpwstr>_Toc145581738</vt:lpwstr>
      </vt:variant>
      <vt:variant>
        <vt:i4>1310779</vt:i4>
      </vt:variant>
      <vt:variant>
        <vt:i4>209</vt:i4>
      </vt:variant>
      <vt:variant>
        <vt:i4>0</vt:i4>
      </vt:variant>
      <vt:variant>
        <vt:i4>5</vt:i4>
      </vt:variant>
      <vt:variant>
        <vt:lpwstr/>
      </vt:variant>
      <vt:variant>
        <vt:lpwstr>_Toc145581737</vt:lpwstr>
      </vt:variant>
      <vt:variant>
        <vt:i4>1310779</vt:i4>
      </vt:variant>
      <vt:variant>
        <vt:i4>203</vt:i4>
      </vt:variant>
      <vt:variant>
        <vt:i4>0</vt:i4>
      </vt:variant>
      <vt:variant>
        <vt:i4>5</vt:i4>
      </vt:variant>
      <vt:variant>
        <vt:lpwstr/>
      </vt:variant>
      <vt:variant>
        <vt:lpwstr>_Toc145581736</vt:lpwstr>
      </vt:variant>
      <vt:variant>
        <vt:i4>1310779</vt:i4>
      </vt:variant>
      <vt:variant>
        <vt:i4>197</vt:i4>
      </vt:variant>
      <vt:variant>
        <vt:i4>0</vt:i4>
      </vt:variant>
      <vt:variant>
        <vt:i4>5</vt:i4>
      </vt:variant>
      <vt:variant>
        <vt:lpwstr/>
      </vt:variant>
      <vt:variant>
        <vt:lpwstr>_Toc145581735</vt:lpwstr>
      </vt:variant>
      <vt:variant>
        <vt:i4>1310779</vt:i4>
      </vt:variant>
      <vt:variant>
        <vt:i4>191</vt:i4>
      </vt:variant>
      <vt:variant>
        <vt:i4>0</vt:i4>
      </vt:variant>
      <vt:variant>
        <vt:i4>5</vt:i4>
      </vt:variant>
      <vt:variant>
        <vt:lpwstr/>
      </vt:variant>
      <vt:variant>
        <vt:lpwstr>_Toc145581734</vt:lpwstr>
      </vt:variant>
      <vt:variant>
        <vt:i4>1310779</vt:i4>
      </vt:variant>
      <vt:variant>
        <vt:i4>185</vt:i4>
      </vt:variant>
      <vt:variant>
        <vt:i4>0</vt:i4>
      </vt:variant>
      <vt:variant>
        <vt:i4>5</vt:i4>
      </vt:variant>
      <vt:variant>
        <vt:lpwstr/>
      </vt:variant>
      <vt:variant>
        <vt:lpwstr>_Toc145581733</vt:lpwstr>
      </vt:variant>
      <vt:variant>
        <vt:i4>1310779</vt:i4>
      </vt:variant>
      <vt:variant>
        <vt:i4>179</vt:i4>
      </vt:variant>
      <vt:variant>
        <vt:i4>0</vt:i4>
      </vt:variant>
      <vt:variant>
        <vt:i4>5</vt:i4>
      </vt:variant>
      <vt:variant>
        <vt:lpwstr/>
      </vt:variant>
      <vt:variant>
        <vt:lpwstr>_Toc145581732</vt:lpwstr>
      </vt:variant>
      <vt:variant>
        <vt:i4>1310779</vt:i4>
      </vt:variant>
      <vt:variant>
        <vt:i4>173</vt:i4>
      </vt:variant>
      <vt:variant>
        <vt:i4>0</vt:i4>
      </vt:variant>
      <vt:variant>
        <vt:i4>5</vt:i4>
      </vt:variant>
      <vt:variant>
        <vt:lpwstr/>
      </vt:variant>
      <vt:variant>
        <vt:lpwstr>_Toc145581731</vt:lpwstr>
      </vt:variant>
      <vt:variant>
        <vt:i4>1310779</vt:i4>
      </vt:variant>
      <vt:variant>
        <vt:i4>167</vt:i4>
      </vt:variant>
      <vt:variant>
        <vt:i4>0</vt:i4>
      </vt:variant>
      <vt:variant>
        <vt:i4>5</vt:i4>
      </vt:variant>
      <vt:variant>
        <vt:lpwstr/>
      </vt:variant>
      <vt:variant>
        <vt:lpwstr>_Toc145581730</vt:lpwstr>
      </vt:variant>
      <vt:variant>
        <vt:i4>1376315</vt:i4>
      </vt:variant>
      <vt:variant>
        <vt:i4>161</vt:i4>
      </vt:variant>
      <vt:variant>
        <vt:i4>0</vt:i4>
      </vt:variant>
      <vt:variant>
        <vt:i4>5</vt:i4>
      </vt:variant>
      <vt:variant>
        <vt:lpwstr/>
      </vt:variant>
      <vt:variant>
        <vt:lpwstr>_Toc145581729</vt:lpwstr>
      </vt:variant>
      <vt:variant>
        <vt:i4>1376315</vt:i4>
      </vt:variant>
      <vt:variant>
        <vt:i4>155</vt:i4>
      </vt:variant>
      <vt:variant>
        <vt:i4>0</vt:i4>
      </vt:variant>
      <vt:variant>
        <vt:i4>5</vt:i4>
      </vt:variant>
      <vt:variant>
        <vt:lpwstr/>
      </vt:variant>
      <vt:variant>
        <vt:lpwstr>_Toc145581728</vt:lpwstr>
      </vt:variant>
      <vt:variant>
        <vt:i4>1376315</vt:i4>
      </vt:variant>
      <vt:variant>
        <vt:i4>149</vt:i4>
      </vt:variant>
      <vt:variant>
        <vt:i4>0</vt:i4>
      </vt:variant>
      <vt:variant>
        <vt:i4>5</vt:i4>
      </vt:variant>
      <vt:variant>
        <vt:lpwstr/>
      </vt:variant>
      <vt:variant>
        <vt:lpwstr>_Toc145581727</vt:lpwstr>
      </vt:variant>
      <vt:variant>
        <vt:i4>1376315</vt:i4>
      </vt:variant>
      <vt:variant>
        <vt:i4>143</vt:i4>
      </vt:variant>
      <vt:variant>
        <vt:i4>0</vt:i4>
      </vt:variant>
      <vt:variant>
        <vt:i4>5</vt:i4>
      </vt:variant>
      <vt:variant>
        <vt:lpwstr/>
      </vt:variant>
      <vt:variant>
        <vt:lpwstr>_Toc145581726</vt:lpwstr>
      </vt:variant>
      <vt:variant>
        <vt:i4>1376315</vt:i4>
      </vt:variant>
      <vt:variant>
        <vt:i4>137</vt:i4>
      </vt:variant>
      <vt:variant>
        <vt:i4>0</vt:i4>
      </vt:variant>
      <vt:variant>
        <vt:i4>5</vt:i4>
      </vt:variant>
      <vt:variant>
        <vt:lpwstr/>
      </vt:variant>
      <vt:variant>
        <vt:lpwstr>_Toc145581725</vt:lpwstr>
      </vt:variant>
      <vt:variant>
        <vt:i4>1376315</vt:i4>
      </vt:variant>
      <vt:variant>
        <vt:i4>131</vt:i4>
      </vt:variant>
      <vt:variant>
        <vt:i4>0</vt:i4>
      </vt:variant>
      <vt:variant>
        <vt:i4>5</vt:i4>
      </vt:variant>
      <vt:variant>
        <vt:lpwstr/>
      </vt:variant>
      <vt:variant>
        <vt:lpwstr>_Toc145581724</vt:lpwstr>
      </vt:variant>
      <vt:variant>
        <vt:i4>1376315</vt:i4>
      </vt:variant>
      <vt:variant>
        <vt:i4>125</vt:i4>
      </vt:variant>
      <vt:variant>
        <vt:i4>0</vt:i4>
      </vt:variant>
      <vt:variant>
        <vt:i4>5</vt:i4>
      </vt:variant>
      <vt:variant>
        <vt:lpwstr/>
      </vt:variant>
      <vt:variant>
        <vt:lpwstr>_Toc145581723</vt:lpwstr>
      </vt:variant>
      <vt:variant>
        <vt:i4>1376315</vt:i4>
      </vt:variant>
      <vt:variant>
        <vt:i4>119</vt:i4>
      </vt:variant>
      <vt:variant>
        <vt:i4>0</vt:i4>
      </vt:variant>
      <vt:variant>
        <vt:i4>5</vt:i4>
      </vt:variant>
      <vt:variant>
        <vt:lpwstr/>
      </vt:variant>
      <vt:variant>
        <vt:lpwstr>_Toc145581722</vt:lpwstr>
      </vt:variant>
      <vt:variant>
        <vt:i4>1376315</vt:i4>
      </vt:variant>
      <vt:variant>
        <vt:i4>113</vt:i4>
      </vt:variant>
      <vt:variant>
        <vt:i4>0</vt:i4>
      </vt:variant>
      <vt:variant>
        <vt:i4>5</vt:i4>
      </vt:variant>
      <vt:variant>
        <vt:lpwstr/>
      </vt:variant>
      <vt:variant>
        <vt:lpwstr>_Toc145581721</vt:lpwstr>
      </vt:variant>
      <vt:variant>
        <vt:i4>1376315</vt:i4>
      </vt:variant>
      <vt:variant>
        <vt:i4>107</vt:i4>
      </vt:variant>
      <vt:variant>
        <vt:i4>0</vt:i4>
      </vt:variant>
      <vt:variant>
        <vt:i4>5</vt:i4>
      </vt:variant>
      <vt:variant>
        <vt:lpwstr/>
      </vt:variant>
      <vt:variant>
        <vt:lpwstr>_Toc145581720</vt:lpwstr>
      </vt:variant>
      <vt:variant>
        <vt:i4>1441851</vt:i4>
      </vt:variant>
      <vt:variant>
        <vt:i4>101</vt:i4>
      </vt:variant>
      <vt:variant>
        <vt:i4>0</vt:i4>
      </vt:variant>
      <vt:variant>
        <vt:i4>5</vt:i4>
      </vt:variant>
      <vt:variant>
        <vt:lpwstr/>
      </vt:variant>
      <vt:variant>
        <vt:lpwstr>_Toc145581719</vt:lpwstr>
      </vt:variant>
      <vt:variant>
        <vt:i4>1441851</vt:i4>
      </vt:variant>
      <vt:variant>
        <vt:i4>95</vt:i4>
      </vt:variant>
      <vt:variant>
        <vt:i4>0</vt:i4>
      </vt:variant>
      <vt:variant>
        <vt:i4>5</vt:i4>
      </vt:variant>
      <vt:variant>
        <vt:lpwstr/>
      </vt:variant>
      <vt:variant>
        <vt:lpwstr>_Toc145581718</vt:lpwstr>
      </vt:variant>
      <vt:variant>
        <vt:i4>1441851</vt:i4>
      </vt:variant>
      <vt:variant>
        <vt:i4>89</vt:i4>
      </vt:variant>
      <vt:variant>
        <vt:i4>0</vt:i4>
      </vt:variant>
      <vt:variant>
        <vt:i4>5</vt:i4>
      </vt:variant>
      <vt:variant>
        <vt:lpwstr/>
      </vt:variant>
      <vt:variant>
        <vt:lpwstr>_Toc145581717</vt:lpwstr>
      </vt:variant>
      <vt:variant>
        <vt:i4>1441851</vt:i4>
      </vt:variant>
      <vt:variant>
        <vt:i4>83</vt:i4>
      </vt:variant>
      <vt:variant>
        <vt:i4>0</vt:i4>
      </vt:variant>
      <vt:variant>
        <vt:i4>5</vt:i4>
      </vt:variant>
      <vt:variant>
        <vt:lpwstr/>
      </vt:variant>
      <vt:variant>
        <vt:lpwstr>_Toc145581716</vt:lpwstr>
      </vt:variant>
      <vt:variant>
        <vt:i4>1441851</vt:i4>
      </vt:variant>
      <vt:variant>
        <vt:i4>77</vt:i4>
      </vt:variant>
      <vt:variant>
        <vt:i4>0</vt:i4>
      </vt:variant>
      <vt:variant>
        <vt:i4>5</vt:i4>
      </vt:variant>
      <vt:variant>
        <vt:lpwstr/>
      </vt:variant>
      <vt:variant>
        <vt:lpwstr>_Toc145581715</vt:lpwstr>
      </vt:variant>
      <vt:variant>
        <vt:i4>1441851</vt:i4>
      </vt:variant>
      <vt:variant>
        <vt:i4>71</vt:i4>
      </vt:variant>
      <vt:variant>
        <vt:i4>0</vt:i4>
      </vt:variant>
      <vt:variant>
        <vt:i4>5</vt:i4>
      </vt:variant>
      <vt:variant>
        <vt:lpwstr/>
      </vt:variant>
      <vt:variant>
        <vt:lpwstr>_Toc145581714</vt:lpwstr>
      </vt:variant>
      <vt:variant>
        <vt:i4>1441851</vt:i4>
      </vt:variant>
      <vt:variant>
        <vt:i4>65</vt:i4>
      </vt:variant>
      <vt:variant>
        <vt:i4>0</vt:i4>
      </vt:variant>
      <vt:variant>
        <vt:i4>5</vt:i4>
      </vt:variant>
      <vt:variant>
        <vt:lpwstr/>
      </vt:variant>
      <vt:variant>
        <vt:lpwstr>_Toc145581713</vt:lpwstr>
      </vt:variant>
      <vt:variant>
        <vt:i4>1441851</vt:i4>
      </vt:variant>
      <vt:variant>
        <vt:i4>59</vt:i4>
      </vt:variant>
      <vt:variant>
        <vt:i4>0</vt:i4>
      </vt:variant>
      <vt:variant>
        <vt:i4>5</vt:i4>
      </vt:variant>
      <vt:variant>
        <vt:lpwstr/>
      </vt:variant>
      <vt:variant>
        <vt:lpwstr>_Toc145581712</vt:lpwstr>
      </vt:variant>
      <vt:variant>
        <vt:i4>1441851</vt:i4>
      </vt:variant>
      <vt:variant>
        <vt:i4>53</vt:i4>
      </vt:variant>
      <vt:variant>
        <vt:i4>0</vt:i4>
      </vt:variant>
      <vt:variant>
        <vt:i4>5</vt:i4>
      </vt:variant>
      <vt:variant>
        <vt:lpwstr/>
      </vt:variant>
      <vt:variant>
        <vt:lpwstr>_Toc145581711</vt:lpwstr>
      </vt:variant>
      <vt:variant>
        <vt:i4>1441851</vt:i4>
      </vt:variant>
      <vt:variant>
        <vt:i4>47</vt:i4>
      </vt:variant>
      <vt:variant>
        <vt:i4>0</vt:i4>
      </vt:variant>
      <vt:variant>
        <vt:i4>5</vt:i4>
      </vt:variant>
      <vt:variant>
        <vt:lpwstr/>
      </vt:variant>
      <vt:variant>
        <vt:lpwstr>_Toc145581710</vt:lpwstr>
      </vt:variant>
      <vt:variant>
        <vt:i4>1507387</vt:i4>
      </vt:variant>
      <vt:variant>
        <vt:i4>41</vt:i4>
      </vt:variant>
      <vt:variant>
        <vt:i4>0</vt:i4>
      </vt:variant>
      <vt:variant>
        <vt:i4>5</vt:i4>
      </vt:variant>
      <vt:variant>
        <vt:lpwstr/>
      </vt:variant>
      <vt:variant>
        <vt:lpwstr>_Toc145581709</vt:lpwstr>
      </vt:variant>
      <vt:variant>
        <vt:i4>1507387</vt:i4>
      </vt:variant>
      <vt:variant>
        <vt:i4>35</vt:i4>
      </vt:variant>
      <vt:variant>
        <vt:i4>0</vt:i4>
      </vt:variant>
      <vt:variant>
        <vt:i4>5</vt:i4>
      </vt:variant>
      <vt:variant>
        <vt:lpwstr/>
      </vt:variant>
      <vt:variant>
        <vt:lpwstr>_Toc145581708</vt:lpwstr>
      </vt:variant>
      <vt:variant>
        <vt:i4>1507387</vt:i4>
      </vt:variant>
      <vt:variant>
        <vt:i4>29</vt:i4>
      </vt:variant>
      <vt:variant>
        <vt:i4>0</vt:i4>
      </vt:variant>
      <vt:variant>
        <vt:i4>5</vt:i4>
      </vt:variant>
      <vt:variant>
        <vt:lpwstr/>
      </vt:variant>
      <vt:variant>
        <vt:lpwstr>_Toc145581707</vt:lpwstr>
      </vt:variant>
      <vt:variant>
        <vt:i4>1507387</vt:i4>
      </vt:variant>
      <vt:variant>
        <vt:i4>23</vt:i4>
      </vt:variant>
      <vt:variant>
        <vt:i4>0</vt:i4>
      </vt:variant>
      <vt:variant>
        <vt:i4>5</vt:i4>
      </vt:variant>
      <vt:variant>
        <vt:lpwstr/>
      </vt:variant>
      <vt:variant>
        <vt:lpwstr>_Toc145581706</vt:lpwstr>
      </vt:variant>
      <vt:variant>
        <vt:i4>1507387</vt:i4>
      </vt:variant>
      <vt:variant>
        <vt:i4>17</vt:i4>
      </vt:variant>
      <vt:variant>
        <vt:i4>0</vt:i4>
      </vt:variant>
      <vt:variant>
        <vt:i4>5</vt:i4>
      </vt:variant>
      <vt:variant>
        <vt:lpwstr/>
      </vt:variant>
      <vt:variant>
        <vt:lpwstr>_Toc145581705</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3080269</vt:i4>
      </vt:variant>
      <vt:variant>
        <vt:i4>3</vt:i4>
      </vt:variant>
      <vt:variant>
        <vt:i4>0</vt:i4>
      </vt:variant>
      <vt:variant>
        <vt:i4>5</vt:i4>
      </vt:variant>
      <vt:variant>
        <vt:lpwstr>mailto:Deidre.Steain@dtf.vic.gov.au</vt:lpwstr>
      </vt:variant>
      <vt:variant>
        <vt:lpwstr/>
      </vt:variant>
      <vt:variant>
        <vt:i4>262263</vt:i4>
      </vt:variant>
      <vt:variant>
        <vt:i4>0</vt:i4>
      </vt:variant>
      <vt:variant>
        <vt:i4>0</vt:i4>
      </vt:variant>
      <vt:variant>
        <vt:i4>5</vt:i4>
      </vt:variant>
      <vt:variant>
        <vt:lpwstr>mailto:Sarah.Black@dtf.vic.gov.au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Incentivised Target Cost Contract Suite - Guidance Notes</dc:title>
  <dc:subject/>
  <dc:creator/>
  <cp:keywords/>
  <dc:description/>
  <cp:lastModifiedBy/>
  <cp:revision>1</cp:revision>
  <dcterms:created xsi:type="dcterms:W3CDTF">2023-09-14T09:38:00Z</dcterms:created>
  <dcterms:modified xsi:type="dcterms:W3CDTF">2023-09-20T05:39:00Z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2023-09-14T09:39:26Z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517f0755-64b5-4ee8-9018-aaef975bffab</vt:lpwstr>
  </property>
  <property fmtid="{D5CDD505-2E9C-101B-9397-08002B2CF9AE}" pid="8" name="MSIP_Label_bb4ee517-5ca4-4fff-98d2-ed4f906edd6d_ContentBits">
    <vt:lpwstr>0</vt:lpwstr>
  </property>
  <property fmtid="{D5CDD505-2E9C-101B-9397-08002B2CF9AE}" pid="9" name="DocumentID">
    <vt:lpwstr>ME_208037396_6</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0x010100B90C5CF1D5BBA04DAA218BE598E345AC</vt:lpwstr>
  </property>
  <property fmtid="{D5CDD505-2E9C-101B-9397-08002B2CF9AE}" pid="13" name="Custom1">
    <vt:lpwstr>1310553</vt:lpwstr>
  </property>
  <property fmtid="{D5CDD505-2E9C-101B-9397-08002B2CF9AE}" pid="14" name="FooterType">
    <vt:lpwstr>1</vt:lpwstr>
  </property>
  <property fmtid="{D5CDD505-2E9C-101B-9397-08002B2CF9AE}" pid="15" name="TitusGUID">
    <vt:lpwstr>085dd977-e6ee-4708-94c9-754170f5ecd9</vt:lpwstr>
  </property>
</Properties>
</file>