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872A" w14:textId="6945DAF6" w:rsidR="009B1925" w:rsidRPr="003427DB" w:rsidRDefault="009B1925" w:rsidP="003427DB">
      <w:pPr>
        <w:pStyle w:val="Heading1"/>
        <w:rPr>
          <w:rFonts w:ascii="Arial" w:eastAsia="SimHei" w:hAnsi="Arial" w:cs="Arial"/>
          <w:b w:val="0"/>
          <w:bCs w:val="0"/>
          <w:color w:val="2F5496" w:themeColor="accent1" w:themeShade="BF"/>
          <w:sz w:val="52"/>
          <w:szCs w:val="52"/>
        </w:rPr>
      </w:pPr>
      <w:bookmarkStart w:id="0" w:name="_Toc515533555"/>
      <w:bookmarkStart w:id="1" w:name="_Toc5615939"/>
      <w:bookmarkStart w:id="2" w:name="_Toc9937285"/>
      <w:r w:rsidRPr="003427DB">
        <w:rPr>
          <w:rFonts w:ascii="Arial" w:eastAsia="SimHei" w:hAnsi="Arial" w:cs="Arial"/>
          <w:color w:val="2F5496" w:themeColor="accent1" w:themeShade="BF"/>
          <w:sz w:val="52"/>
          <w:szCs w:val="52"/>
        </w:rPr>
        <w:t>Guidance to Financial Reporting Direction 120</w:t>
      </w:r>
    </w:p>
    <w:p w14:paraId="0D5D943E" w14:textId="61ED1148" w:rsidR="001938D9" w:rsidRPr="001938D9" w:rsidRDefault="001938D9" w:rsidP="001938D9">
      <w:pPr>
        <w:keepNext/>
        <w:keepLines/>
        <w:pBdr>
          <w:bottom w:val="single" w:sz="12" w:space="1" w:color="auto"/>
        </w:pBdr>
        <w:spacing w:before="360" w:after="0" w:line="240" w:lineRule="auto"/>
        <w:outlineLvl w:val="0"/>
        <w:rPr>
          <w:rFonts w:ascii="Arial" w:eastAsia="SimHei" w:hAnsi="Arial" w:cs="Times New Roman"/>
          <w:b/>
          <w:bCs/>
          <w:caps/>
          <w:spacing w:val="-2"/>
          <w:sz w:val="28"/>
          <w:szCs w:val="28"/>
        </w:rPr>
      </w:pPr>
      <w:r w:rsidRPr="001938D9">
        <w:rPr>
          <w:rFonts w:ascii="Arial" w:eastAsia="SimHei" w:hAnsi="Arial" w:cs="Times New Roman"/>
          <w:b/>
          <w:bCs/>
          <w:caps/>
          <w:spacing w:val="-2"/>
          <w:sz w:val="28"/>
          <w:szCs w:val="28"/>
        </w:rPr>
        <w:t>AASB reporting requirements for for-profit and not-for-profit entities in the Victorian Public sector</w:t>
      </w:r>
      <w:bookmarkEnd w:id="0"/>
      <w:bookmarkEnd w:id="1"/>
      <w:bookmarkEnd w:id="2"/>
    </w:p>
    <w:tbl>
      <w:tblPr>
        <w:tblStyle w:val="CVtable21"/>
        <w:tblpPr w:leftFromText="180" w:rightFromText="180" w:vertAnchor="text" w:horzAnchor="margin" w:tblpXSpec="right" w:tblpY="474"/>
        <w:tblOverlap w:val="never"/>
        <w:tblW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2560"/>
      </w:tblGrid>
      <w:tr w:rsidR="003427DB" w:rsidRPr="001938D9" w14:paraId="19AD3335" w14:textId="77777777" w:rsidTr="003427DB">
        <w:tc>
          <w:tcPr>
            <w:tcW w:w="518" w:type="dxa"/>
          </w:tcPr>
          <w:p w14:paraId="16A67BC0" w14:textId="77777777" w:rsidR="003427DB" w:rsidRPr="001938D9" w:rsidRDefault="003427DB" w:rsidP="003427DB">
            <w:pPr>
              <w:spacing w:before="40" w:after="40"/>
              <w:jc w:val="right"/>
              <w:rPr>
                <w:rFonts w:ascii="Arial" w:hAnsi="Arial" w:cs="Arial"/>
                <w:spacing w:val="2"/>
                <w:sz w:val="16"/>
              </w:rPr>
            </w:pPr>
            <w:r w:rsidRPr="001938D9">
              <w:rPr>
                <w:rFonts w:ascii="Wingdings 2" w:hAnsi="Wingdings 2"/>
                <w:color w:val="000000"/>
                <w:spacing w:val="2"/>
              </w:rPr>
              <w:t></w:t>
            </w:r>
          </w:p>
        </w:tc>
        <w:tc>
          <w:tcPr>
            <w:tcW w:w="2560" w:type="dxa"/>
          </w:tcPr>
          <w:p w14:paraId="0BE635DE" w14:textId="77777777" w:rsidR="003427DB" w:rsidRPr="001938D9" w:rsidRDefault="003427DB" w:rsidP="003427DB">
            <w:pPr>
              <w:spacing w:before="40" w:after="40"/>
              <w:rPr>
                <w:rFonts w:ascii="Arial" w:hAnsi="Arial" w:cs="Arial"/>
                <w:spacing w:val="2"/>
                <w:sz w:val="16"/>
              </w:rPr>
            </w:pPr>
            <w:r w:rsidRPr="001938D9">
              <w:rPr>
                <w:rFonts w:ascii="Arial" w:hAnsi="Arial" w:cs="Arial"/>
                <w:spacing w:val="2"/>
                <w:sz w:val="16"/>
              </w:rPr>
              <w:t>Standard is applicable</w:t>
            </w:r>
          </w:p>
        </w:tc>
      </w:tr>
      <w:tr w:rsidR="003427DB" w:rsidRPr="001938D9" w14:paraId="3C039935" w14:textId="77777777" w:rsidTr="003427DB">
        <w:tc>
          <w:tcPr>
            <w:tcW w:w="518" w:type="dxa"/>
          </w:tcPr>
          <w:p w14:paraId="24923C84" w14:textId="77777777" w:rsidR="003427DB" w:rsidRPr="001938D9" w:rsidRDefault="003427DB" w:rsidP="003427DB">
            <w:pPr>
              <w:spacing w:before="40" w:after="40"/>
              <w:jc w:val="right"/>
              <w:rPr>
                <w:rFonts w:ascii="Arial" w:hAnsi="Arial" w:cs="Arial"/>
                <w:spacing w:val="2"/>
                <w:sz w:val="16"/>
              </w:rPr>
            </w:pPr>
            <w:r w:rsidRPr="001938D9">
              <w:rPr>
                <w:rFonts w:ascii="Arial" w:hAnsi="Arial" w:cs="Arial"/>
                <w:color w:val="000000"/>
                <w:spacing w:val="2"/>
                <w:sz w:val="16"/>
              </w:rPr>
              <w:sym w:font="Wingdings 2" w:char="F04F"/>
            </w:r>
          </w:p>
        </w:tc>
        <w:tc>
          <w:tcPr>
            <w:tcW w:w="2560" w:type="dxa"/>
          </w:tcPr>
          <w:p w14:paraId="192859A4" w14:textId="77777777" w:rsidR="003427DB" w:rsidRPr="001938D9" w:rsidRDefault="003427DB" w:rsidP="003427DB">
            <w:pPr>
              <w:spacing w:before="40" w:after="40"/>
              <w:rPr>
                <w:rFonts w:ascii="Arial" w:hAnsi="Arial" w:cs="Arial"/>
                <w:spacing w:val="2"/>
                <w:sz w:val="16"/>
              </w:rPr>
            </w:pPr>
            <w:r w:rsidRPr="001938D9">
              <w:rPr>
                <w:rFonts w:ascii="Arial" w:hAnsi="Arial" w:cs="Arial"/>
                <w:spacing w:val="2"/>
                <w:sz w:val="16"/>
              </w:rPr>
              <w:t>Standard is not applicable</w:t>
            </w:r>
          </w:p>
        </w:tc>
      </w:tr>
      <w:tr w:rsidR="003427DB" w:rsidRPr="001938D9" w14:paraId="1E60503F" w14:textId="77777777" w:rsidTr="003427DB">
        <w:tc>
          <w:tcPr>
            <w:tcW w:w="518" w:type="dxa"/>
          </w:tcPr>
          <w:p w14:paraId="71195BAB" w14:textId="77777777" w:rsidR="003427DB" w:rsidRPr="001938D9" w:rsidRDefault="003427DB" w:rsidP="003427DB">
            <w:pPr>
              <w:spacing w:before="40" w:after="40"/>
              <w:jc w:val="right"/>
              <w:rPr>
                <w:rFonts w:ascii="Arial" w:hAnsi="Arial" w:cs="Arial"/>
                <w:spacing w:val="2"/>
                <w:sz w:val="16"/>
              </w:rPr>
            </w:pPr>
            <w:r w:rsidRPr="001938D9">
              <w:rPr>
                <w:rFonts w:ascii="Arial" w:hAnsi="Arial" w:cs="Arial"/>
                <w:spacing w:val="2"/>
                <w:sz w:val="16"/>
              </w:rPr>
              <w:t>NR</w:t>
            </w:r>
          </w:p>
        </w:tc>
        <w:tc>
          <w:tcPr>
            <w:tcW w:w="2560" w:type="dxa"/>
          </w:tcPr>
          <w:p w14:paraId="74DEB205" w14:textId="77777777" w:rsidR="003427DB" w:rsidRPr="001938D9" w:rsidRDefault="003427DB" w:rsidP="003427DB">
            <w:pPr>
              <w:spacing w:before="40" w:after="40"/>
              <w:rPr>
                <w:rFonts w:ascii="Arial" w:hAnsi="Arial" w:cs="Arial"/>
                <w:spacing w:val="2"/>
                <w:sz w:val="16"/>
              </w:rPr>
            </w:pPr>
            <w:r w:rsidRPr="001938D9">
              <w:rPr>
                <w:rFonts w:ascii="Arial" w:hAnsi="Arial" w:cs="Arial"/>
                <w:spacing w:val="2"/>
                <w:sz w:val="16"/>
              </w:rPr>
              <w:t>Standard is applicable but is not relevant to the entity</w:t>
            </w:r>
          </w:p>
        </w:tc>
      </w:tr>
    </w:tbl>
    <w:p w14:paraId="5A0CB569" w14:textId="77777777" w:rsidR="001938D9" w:rsidRPr="001938D9" w:rsidRDefault="001938D9" w:rsidP="001938D9">
      <w:pPr>
        <w:keepLines/>
        <w:spacing w:before="120" w:after="0" w:line="240" w:lineRule="auto"/>
        <w:rPr>
          <w:rFonts w:ascii="Arial" w:eastAsia="Arial" w:hAnsi="Arial" w:cs="Times New Roman"/>
          <w:spacing w:val="2"/>
          <w:sz w:val="18"/>
          <w:szCs w:val="18"/>
        </w:rPr>
      </w:pPr>
      <w:r w:rsidRPr="001938D9">
        <w:rPr>
          <w:rFonts w:ascii="Arial" w:eastAsia="Arial" w:hAnsi="Arial" w:cs="Times New Roman"/>
          <w:spacing w:val="2"/>
          <w:sz w:val="18"/>
          <w:szCs w:val="18"/>
        </w:rPr>
        <w:t xml:space="preserve">The following table provides guidance on reporting requirements under Australian Accounting Standards applicable for for-profit entities (FP) and not-for-profit entities (NFP). </w:t>
      </w:r>
    </w:p>
    <w:tbl>
      <w:tblPr>
        <w:tblStyle w:val="Modeltable1"/>
        <w:tblW w:w="4999" w:type="pct"/>
        <w:tblBorders>
          <w:insideH w:val="single" w:sz="4" w:space="0" w:color="53565A"/>
        </w:tblBorders>
        <w:tblLook w:val="0620" w:firstRow="1" w:lastRow="0" w:firstColumn="0" w:lastColumn="0" w:noHBand="1" w:noVBand="1"/>
      </w:tblPr>
      <w:tblGrid>
        <w:gridCol w:w="605"/>
        <w:gridCol w:w="3476"/>
        <w:gridCol w:w="2182"/>
        <w:gridCol w:w="2761"/>
      </w:tblGrid>
      <w:tr w:rsidR="001938D9" w:rsidRPr="001938D9" w14:paraId="48A0C065" w14:textId="77777777" w:rsidTr="00897E66">
        <w:trPr>
          <w:cnfStyle w:val="100000000000" w:firstRow="1" w:lastRow="0" w:firstColumn="0" w:lastColumn="0" w:oddVBand="0" w:evenVBand="0" w:oddHBand="0" w:evenHBand="0" w:firstRowFirstColumn="0" w:firstRowLastColumn="0" w:lastRowFirstColumn="0" w:lastRowLastColumn="0"/>
          <w:trHeight w:val="300"/>
          <w:tblHeader/>
        </w:trPr>
        <w:tc>
          <w:tcPr>
            <w:tcW w:w="335" w:type="pct"/>
            <w:noWrap/>
            <w:hideMark/>
          </w:tcPr>
          <w:p w14:paraId="619EC401" w14:textId="77777777" w:rsidR="001938D9" w:rsidRPr="001938D9" w:rsidRDefault="001938D9" w:rsidP="001938D9">
            <w:pPr>
              <w:spacing w:before="60" w:after="40"/>
              <w:jc w:val="center"/>
              <w:rPr>
                <w:rFonts w:eastAsia="Tahoma" w:cs="Arial"/>
                <w:i/>
                <w:iCs/>
                <w:spacing w:val="2"/>
                <w:sz w:val="16"/>
                <w:szCs w:val="20"/>
                <w:lang w:eastAsia="en-AU"/>
              </w:rPr>
            </w:pPr>
            <w:r w:rsidRPr="001938D9">
              <w:rPr>
                <w:rFonts w:eastAsia="Tahoma" w:cs="Arial"/>
                <w:i/>
                <w:iCs/>
                <w:spacing w:val="2"/>
                <w:sz w:val="16"/>
                <w:szCs w:val="20"/>
                <w:lang w:eastAsia="en-AU"/>
              </w:rPr>
              <w:t xml:space="preserve">AASB </w:t>
            </w:r>
          </w:p>
        </w:tc>
        <w:tc>
          <w:tcPr>
            <w:tcW w:w="1926" w:type="pct"/>
            <w:hideMark/>
          </w:tcPr>
          <w:p w14:paraId="22D25792" w14:textId="77777777" w:rsidR="001938D9" w:rsidRPr="001938D9" w:rsidRDefault="001938D9" w:rsidP="001938D9">
            <w:pPr>
              <w:spacing w:before="60" w:after="40"/>
              <w:rPr>
                <w:rFonts w:eastAsia="Tahoma" w:cs="Arial"/>
                <w:i/>
                <w:iCs/>
                <w:spacing w:val="2"/>
                <w:sz w:val="16"/>
                <w:szCs w:val="20"/>
                <w:lang w:eastAsia="en-AU"/>
              </w:rPr>
            </w:pPr>
            <w:r w:rsidRPr="001938D9">
              <w:rPr>
                <w:rFonts w:eastAsia="Tahoma" w:cs="Arial"/>
                <w:i/>
                <w:iCs/>
                <w:spacing w:val="2"/>
                <w:sz w:val="16"/>
                <w:szCs w:val="20"/>
                <w:lang w:eastAsia="en-AU"/>
              </w:rPr>
              <w:t>Description</w:t>
            </w:r>
          </w:p>
        </w:tc>
        <w:tc>
          <w:tcPr>
            <w:tcW w:w="1209" w:type="pct"/>
            <w:noWrap/>
            <w:hideMark/>
          </w:tcPr>
          <w:p w14:paraId="7A764384" w14:textId="77777777" w:rsidR="001938D9" w:rsidRPr="001938D9" w:rsidRDefault="001938D9" w:rsidP="001938D9">
            <w:pPr>
              <w:spacing w:before="60" w:after="40"/>
              <w:jc w:val="center"/>
              <w:rPr>
                <w:rFonts w:eastAsia="Tahoma" w:cs="Arial"/>
                <w:i/>
                <w:iCs/>
                <w:spacing w:val="2"/>
                <w:sz w:val="16"/>
                <w:szCs w:val="20"/>
                <w:lang w:eastAsia="en-AU"/>
              </w:rPr>
            </w:pPr>
            <w:r w:rsidRPr="001938D9">
              <w:rPr>
                <w:rFonts w:eastAsia="Tahoma" w:cs="Arial"/>
                <w:i/>
                <w:iCs/>
                <w:spacing w:val="2"/>
                <w:sz w:val="16"/>
                <w:szCs w:val="20"/>
                <w:lang w:eastAsia="en-AU"/>
              </w:rPr>
              <w:t>For-profit</w:t>
            </w:r>
          </w:p>
        </w:tc>
        <w:tc>
          <w:tcPr>
            <w:tcW w:w="1530" w:type="pct"/>
            <w:noWrap/>
            <w:hideMark/>
          </w:tcPr>
          <w:p w14:paraId="26092A19" w14:textId="77777777" w:rsidR="001938D9" w:rsidRPr="001938D9" w:rsidRDefault="001938D9" w:rsidP="001938D9">
            <w:pPr>
              <w:spacing w:before="60" w:after="40"/>
              <w:jc w:val="center"/>
              <w:rPr>
                <w:rFonts w:eastAsia="Tahoma" w:cs="Arial"/>
                <w:i/>
                <w:iCs/>
                <w:spacing w:val="2"/>
                <w:sz w:val="16"/>
                <w:szCs w:val="20"/>
                <w:lang w:eastAsia="en-AU"/>
              </w:rPr>
            </w:pPr>
            <w:r w:rsidRPr="001938D9">
              <w:rPr>
                <w:rFonts w:eastAsia="Tahoma" w:cs="Arial"/>
                <w:i/>
                <w:iCs/>
                <w:spacing w:val="2"/>
                <w:sz w:val="16"/>
                <w:szCs w:val="20"/>
                <w:lang w:eastAsia="en-AU"/>
              </w:rPr>
              <w:t>Not-for-profit</w:t>
            </w:r>
          </w:p>
        </w:tc>
      </w:tr>
      <w:tr w:rsidR="001938D9" w:rsidRPr="001938D9" w14:paraId="560B6C9C" w14:textId="77777777" w:rsidTr="00897E66">
        <w:trPr>
          <w:trHeight w:val="70"/>
        </w:trPr>
        <w:tc>
          <w:tcPr>
            <w:tcW w:w="335" w:type="pct"/>
            <w:noWrap/>
            <w:vAlign w:val="center"/>
            <w:hideMark/>
          </w:tcPr>
          <w:p w14:paraId="5A01CF30"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w:t>
            </w:r>
          </w:p>
        </w:tc>
        <w:tc>
          <w:tcPr>
            <w:tcW w:w="1926" w:type="pct"/>
            <w:vAlign w:val="center"/>
            <w:hideMark/>
          </w:tcPr>
          <w:p w14:paraId="12763EE1" w14:textId="5C2C73CE" w:rsidR="001938D9" w:rsidRPr="001938D9" w:rsidRDefault="001938D9" w:rsidP="001A4A5A">
            <w:pPr>
              <w:spacing w:before="0"/>
              <w:rPr>
                <w:rFonts w:eastAsia="Tahoma" w:cs="Arial"/>
                <w:noProof/>
                <w:spacing w:val="2"/>
                <w:vertAlign w:val="superscript"/>
                <w:lang w:eastAsia="en-AU"/>
              </w:rPr>
            </w:pPr>
            <w:r w:rsidRPr="001938D9">
              <w:rPr>
                <w:rFonts w:eastAsia="Tahoma" w:cs="Arial"/>
                <w:noProof/>
                <w:spacing w:val="2"/>
                <w:lang w:eastAsia="en-AU"/>
              </w:rPr>
              <w:t>First-time Adoption of Australian Accounting Standards</w:t>
            </w:r>
          </w:p>
        </w:tc>
        <w:tc>
          <w:tcPr>
            <w:tcW w:w="1209" w:type="pct"/>
            <w:shd w:val="clear" w:color="auto" w:fill="A6A6A6"/>
            <w:noWrap/>
            <w:vAlign w:val="center"/>
            <w:hideMark/>
          </w:tcPr>
          <w:p w14:paraId="5D56FA6E"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CD22CBE"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518A0575" w14:textId="77777777" w:rsidTr="00897E66">
        <w:trPr>
          <w:trHeight w:val="364"/>
        </w:trPr>
        <w:tc>
          <w:tcPr>
            <w:tcW w:w="335" w:type="pct"/>
            <w:noWrap/>
            <w:vAlign w:val="center"/>
            <w:hideMark/>
          </w:tcPr>
          <w:p w14:paraId="0F52729E"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2</w:t>
            </w:r>
          </w:p>
        </w:tc>
        <w:tc>
          <w:tcPr>
            <w:tcW w:w="1926" w:type="pct"/>
            <w:vAlign w:val="center"/>
            <w:hideMark/>
          </w:tcPr>
          <w:p w14:paraId="6903D7F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Share-based Payment</w:t>
            </w:r>
          </w:p>
        </w:tc>
        <w:tc>
          <w:tcPr>
            <w:tcW w:w="1209" w:type="pct"/>
            <w:shd w:val="clear" w:color="auto" w:fill="A6A6A6"/>
            <w:vAlign w:val="center"/>
            <w:hideMark/>
          </w:tcPr>
          <w:p w14:paraId="5381CE6A"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35D8999E"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7BFB71EA" w14:textId="77777777" w:rsidTr="00897E66">
        <w:trPr>
          <w:trHeight w:val="335"/>
        </w:trPr>
        <w:tc>
          <w:tcPr>
            <w:tcW w:w="335" w:type="pct"/>
            <w:noWrap/>
            <w:vAlign w:val="center"/>
            <w:hideMark/>
          </w:tcPr>
          <w:p w14:paraId="37004926"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3</w:t>
            </w:r>
          </w:p>
        </w:tc>
        <w:tc>
          <w:tcPr>
            <w:tcW w:w="1926" w:type="pct"/>
            <w:vAlign w:val="center"/>
            <w:hideMark/>
          </w:tcPr>
          <w:p w14:paraId="21030302"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Business Combinations</w:t>
            </w:r>
          </w:p>
        </w:tc>
        <w:tc>
          <w:tcPr>
            <w:tcW w:w="1209" w:type="pct"/>
            <w:shd w:val="clear" w:color="auto" w:fill="A6A6A6"/>
            <w:noWrap/>
            <w:vAlign w:val="center"/>
            <w:hideMark/>
          </w:tcPr>
          <w:p w14:paraId="0B97332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42922753"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AE7CF16" w14:textId="77777777" w:rsidTr="00897E66">
        <w:trPr>
          <w:trHeight w:val="300"/>
        </w:trPr>
        <w:tc>
          <w:tcPr>
            <w:tcW w:w="335" w:type="pct"/>
            <w:noWrap/>
            <w:vAlign w:val="center"/>
            <w:hideMark/>
          </w:tcPr>
          <w:p w14:paraId="784E2B3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4</w:t>
            </w:r>
          </w:p>
        </w:tc>
        <w:tc>
          <w:tcPr>
            <w:tcW w:w="1926" w:type="pct"/>
            <w:vAlign w:val="center"/>
            <w:hideMark/>
          </w:tcPr>
          <w:p w14:paraId="69DDF8DC" w14:textId="77777777" w:rsidR="001938D9" w:rsidRPr="001938D9" w:rsidRDefault="001938D9" w:rsidP="001A4A5A">
            <w:pPr>
              <w:spacing w:before="0"/>
              <w:rPr>
                <w:rFonts w:eastAsia="Times New Roman" w:cs="Arial"/>
                <w:color w:val="000000"/>
                <w:spacing w:val="2"/>
                <w:vertAlign w:val="superscript"/>
                <w:lang w:eastAsia="en-AU"/>
              </w:rPr>
            </w:pPr>
            <w:r w:rsidRPr="001938D9">
              <w:rPr>
                <w:rFonts w:eastAsia="Times New Roman" w:cs="Arial"/>
                <w:color w:val="000000"/>
                <w:spacing w:val="2"/>
                <w:lang w:eastAsia="en-AU"/>
              </w:rPr>
              <w:t>Insurance Contracts</w:t>
            </w:r>
            <w:r w:rsidRPr="001938D9">
              <w:rPr>
                <w:rFonts w:eastAsia="Times New Roman" w:cs="Arial"/>
                <w:color w:val="000000"/>
                <w:spacing w:val="2"/>
                <w:vertAlign w:val="superscript"/>
                <w:lang w:eastAsia="en-AU"/>
              </w:rPr>
              <w:t>5</w:t>
            </w:r>
          </w:p>
        </w:tc>
        <w:tc>
          <w:tcPr>
            <w:tcW w:w="1209" w:type="pct"/>
            <w:shd w:val="clear" w:color="auto" w:fill="A6A6A6"/>
            <w:noWrap/>
            <w:vAlign w:val="center"/>
            <w:hideMark/>
          </w:tcPr>
          <w:p w14:paraId="03A0FC3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51F7CFB2"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0BD6B27D" w14:textId="77777777" w:rsidTr="00897E66">
        <w:trPr>
          <w:trHeight w:val="70"/>
        </w:trPr>
        <w:tc>
          <w:tcPr>
            <w:tcW w:w="335" w:type="pct"/>
            <w:noWrap/>
            <w:vAlign w:val="center"/>
            <w:hideMark/>
          </w:tcPr>
          <w:p w14:paraId="1A00364B"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5</w:t>
            </w:r>
          </w:p>
        </w:tc>
        <w:tc>
          <w:tcPr>
            <w:tcW w:w="1926" w:type="pct"/>
            <w:vAlign w:val="center"/>
            <w:hideMark/>
          </w:tcPr>
          <w:p w14:paraId="152F90A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Non-current Assets Held for Sale and Discontinued Operations</w:t>
            </w:r>
          </w:p>
        </w:tc>
        <w:tc>
          <w:tcPr>
            <w:tcW w:w="1209" w:type="pct"/>
            <w:shd w:val="clear" w:color="auto" w:fill="A6A6A6"/>
            <w:noWrap/>
            <w:vAlign w:val="center"/>
            <w:hideMark/>
          </w:tcPr>
          <w:p w14:paraId="5CCDDD8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0B7F249"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01FF5AA" w14:textId="77777777" w:rsidTr="00897E66">
        <w:trPr>
          <w:trHeight w:val="469"/>
        </w:trPr>
        <w:tc>
          <w:tcPr>
            <w:tcW w:w="335" w:type="pct"/>
            <w:noWrap/>
            <w:vAlign w:val="center"/>
            <w:hideMark/>
          </w:tcPr>
          <w:p w14:paraId="468A225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6</w:t>
            </w:r>
          </w:p>
        </w:tc>
        <w:tc>
          <w:tcPr>
            <w:tcW w:w="1926" w:type="pct"/>
            <w:vAlign w:val="center"/>
            <w:hideMark/>
          </w:tcPr>
          <w:p w14:paraId="3C53BDD8"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Exploration for and Evaluation of Mineral Resources</w:t>
            </w:r>
          </w:p>
        </w:tc>
        <w:tc>
          <w:tcPr>
            <w:tcW w:w="1209" w:type="pct"/>
            <w:shd w:val="clear" w:color="auto" w:fill="A6A6A6"/>
            <w:vAlign w:val="center"/>
            <w:hideMark/>
          </w:tcPr>
          <w:p w14:paraId="73A6CC53"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60F98995"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1C4F6D3C" w14:textId="77777777" w:rsidTr="00897E66">
        <w:trPr>
          <w:trHeight w:val="332"/>
        </w:trPr>
        <w:tc>
          <w:tcPr>
            <w:tcW w:w="335" w:type="pct"/>
            <w:noWrap/>
            <w:vAlign w:val="center"/>
            <w:hideMark/>
          </w:tcPr>
          <w:p w14:paraId="4520611C"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7</w:t>
            </w:r>
          </w:p>
        </w:tc>
        <w:tc>
          <w:tcPr>
            <w:tcW w:w="1926" w:type="pct"/>
            <w:vAlign w:val="center"/>
            <w:hideMark/>
          </w:tcPr>
          <w:p w14:paraId="063A4DA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Instruments: Disclosures</w:t>
            </w:r>
          </w:p>
        </w:tc>
        <w:tc>
          <w:tcPr>
            <w:tcW w:w="1209" w:type="pct"/>
            <w:shd w:val="clear" w:color="auto" w:fill="A6A6A6"/>
            <w:noWrap/>
            <w:vAlign w:val="center"/>
            <w:hideMark/>
          </w:tcPr>
          <w:p w14:paraId="05C201BF"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7EC9BC7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9198D84" w14:textId="77777777" w:rsidTr="00897E66">
        <w:trPr>
          <w:trHeight w:val="354"/>
        </w:trPr>
        <w:tc>
          <w:tcPr>
            <w:tcW w:w="335" w:type="pct"/>
            <w:noWrap/>
            <w:vAlign w:val="center"/>
            <w:hideMark/>
          </w:tcPr>
          <w:p w14:paraId="2E1E482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8</w:t>
            </w:r>
          </w:p>
        </w:tc>
        <w:tc>
          <w:tcPr>
            <w:tcW w:w="1926" w:type="pct"/>
            <w:vAlign w:val="center"/>
            <w:hideMark/>
          </w:tcPr>
          <w:p w14:paraId="5AC3B4B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Operating Segments</w:t>
            </w:r>
          </w:p>
        </w:tc>
        <w:tc>
          <w:tcPr>
            <w:tcW w:w="1209" w:type="pct"/>
            <w:shd w:val="clear" w:color="auto" w:fill="A6A6A6"/>
            <w:vAlign w:val="center"/>
            <w:hideMark/>
          </w:tcPr>
          <w:p w14:paraId="20F8F6E6"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0A24994B"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3427DB" w:rsidRPr="001938D9" w14:paraId="3E79CB8B" w14:textId="77777777" w:rsidTr="001A4A5A">
        <w:trPr>
          <w:trHeight w:val="231"/>
        </w:trPr>
        <w:tc>
          <w:tcPr>
            <w:tcW w:w="335" w:type="pct"/>
            <w:noWrap/>
            <w:vAlign w:val="center"/>
          </w:tcPr>
          <w:p w14:paraId="2456CE6E" w14:textId="3063922D" w:rsidR="009D2B09" w:rsidRPr="001938D9" w:rsidRDefault="009D2B09" w:rsidP="009D2B0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9</w:t>
            </w:r>
          </w:p>
        </w:tc>
        <w:tc>
          <w:tcPr>
            <w:tcW w:w="1926" w:type="pct"/>
            <w:vAlign w:val="center"/>
          </w:tcPr>
          <w:p w14:paraId="313A24C2" w14:textId="446FCE83" w:rsidR="009D2B09" w:rsidRPr="001938D9" w:rsidRDefault="009D2B0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Instruments</w:t>
            </w:r>
          </w:p>
        </w:tc>
        <w:tc>
          <w:tcPr>
            <w:tcW w:w="1209" w:type="pct"/>
            <w:shd w:val="clear" w:color="auto" w:fill="A6A6A6" w:themeFill="background1" w:themeFillShade="A6"/>
            <w:noWrap/>
            <w:vAlign w:val="center"/>
          </w:tcPr>
          <w:p w14:paraId="1EA0F54E" w14:textId="10525255" w:rsidR="009D2B09" w:rsidRPr="001938D9" w:rsidRDefault="009D2B0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tcPr>
          <w:p w14:paraId="1FEF681C" w14:textId="412D3915" w:rsidR="009D2B09" w:rsidRPr="001938D9" w:rsidRDefault="009D2B0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3BDE75B" w14:textId="77777777" w:rsidTr="001A4A5A">
        <w:trPr>
          <w:trHeight w:val="237"/>
        </w:trPr>
        <w:tc>
          <w:tcPr>
            <w:tcW w:w="335" w:type="pct"/>
            <w:noWrap/>
            <w:vAlign w:val="center"/>
            <w:hideMark/>
          </w:tcPr>
          <w:p w14:paraId="61827760"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w:t>
            </w:r>
          </w:p>
        </w:tc>
        <w:tc>
          <w:tcPr>
            <w:tcW w:w="1926" w:type="pct"/>
            <w:vAlign w:val="center"/>
            <w:hideMark/>
          </w:tcPr>
          <w:p w14:paraId="652A7C95"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Consolidated Financial Statements</w:t>
            </w:r>
          </w:p>
        </w:tc>
        <w:tc>
          <w:tcPr>
            <w:tcW w:w="1209" w:type="pct"/>
            <w:shd w:val="clear" w:color="auto" w:fill="A6A6A6"/>
            <w:noWrap/>
            <w:vAlign w:val="center"/>
            <w:hideMark/>
          </w:tcPr>
          <w:p w14:paraId="29FA50BF"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2F8897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B0BB147" w14:textId="77777777" w:rsidTr="00897E66">
        <w:trPr>
          <w:trHeight w:val="373"/>
        </w:trPr>
        <w:tc>
          <w:tcPr>
            <w:tcW w:w="335" w:type="pct"/>
            <w:noWrap/>
            <w:vAlign w:val="center"/>
            <w:hideMark/>
          </w:tcPr>
          <w:p w14:paraId="77615B16"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w:t>
            </w:r>
          </w:p>
        </w:tc>
        <w:tc>
          <w:tcPr>
            <w:tcW w:w="1926" w:type="pct"/>
            <w:vAlign w:val="center"/>
            <w:hideMark/>
          </w:tcPr>
          <w:p w14:paraId="6CF04158"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Joint Arrangements</w:t>
            </w:r>
          </w:p>
        </w:tc>
        <w:tc>
          <w:tcPr>
            <w:tcW w:w="1209" w:type="pct"/>
            <w:shd w:val="clear" w:color="auto" w:fill="A6A6A6"/>
            <w:noWrap/>
            <w:vAlign w:val="center"/>
            <w:hideMark/>
          </w:tcPr>
          <w:p w14:paraId="5807AB9A"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394F1CAB"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C8AB89F" w14:textId="77777777" w:rsidTr="00897E66">
        <w:trPr>
          <w:trHeight w:val="266"/>
        </w:trPr>
        <w:tc>
          <w:tcPr>
            <w:tcW w:w="335" w:type="pct"/>
            <w:noWrap/>
            <w:vAlign w:val="center"/>
            <w:hideMark/>
          </w:tcPr>
          <w:p w14:paraId="7A9CAC8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w:t>
            </w:r>
          </w:p>
        </w:tc>
        <w:tc>
          <w:tcPr>
            <w:tcW w:w="1926" w:type="pct"/>
            <w:vAlign w:val="center"/>
            <w:hideMark/>
          </w:tcPr>
          <w:p w14:paraId="6792EE8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Disclosure of Interests in Other Entities</w:t>
            </w:r>
          </w:p>
        </w:tc>
        <w:tc>
          <w:tcPr>
            <w:tcW w:w="1209" w:type="pct"/>
            <w:shd w:val="clear" w:color="auto" w:fill="A6A6A6"/>
            <w:noWrap/>
            <w:vAlign w:val="center"/>
            <w:hideMark/>
          </w:tcPr>
          <w:p w14:paraId="0AD4F80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273BCF41"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64C5EAA" w14:textId="77777777" w:rsidTr="00897E66">
        <w:trPr>
          <w:trHeight w:val="283"/>
        </w:trPr>
        <w:tc>
          <w:tcPr>
            <w:tcW w:w="335" w:type="pct"/>
            <w:noWrap/>
            <w:vAlign w:val="center"/>
            <w:hideMark/>
          </w:tcPr>
          <w:p w14:paraId="30D9749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w:t>
            </w:r>
          </w:p>
        </w:tc>
        <w:tc>
          <w:tcPr>
            <w:tcW w:w="1926" w:type="pct"/>
            <w:vAlign w:val="center"/>
            <w:hideMark/>
          </w:tcPr>
          <w:p w14:paraId="215AB3FA"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Fair Value Measurement</w:t>
            </w:r>
          </w:p>
        </w:tc>
        <w:tc>
          <w:tcPr>
            <w:tcW w:w="1209" w:type="pct"/>
            <w:shd w:val="clear" w:color="auto" w:fill="A6A6A6"/>
            <w:noWrap/>
            <w:vAlign w:val="center"/>
            <w:hideMark/>
          </w:tcPr>
          <w:p w14:paraId="2FB73F9C"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24100995"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EDFB0F5" w14:textId="77777777" w:rsidTr="00897E66">
        <w:trPr>
          <w:trHeight w:val="274"/>
        </w:trPr>
        <w:tc>
          <w:tcPr>
            <w:tcW w:w="335" w:type="pct"/>
            <w:noWrap/>
            <w:vAlign w:val="center"/>
            <w:hideMark/>
          </w:tcPr>
          <w:p w14:paraId="0AD868D1"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14</w:t>
            </w:r>
          </w:p>
        </w:tc>
        <w:tc>
          <w:tcPr>
            <w:tcW w:w="1926" w:type="pct"/>
            <w:vAlign w:val="center"/>
            <w:hideMark/>
          </w:tcPr>
          <w:p w14:paraId="2B39D13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Regulatory Deferral Accounts</w:t>
            </w:r>
          </w:p>
        </w:tc>
        <w:tc>
          <w:tcPr>
            <w:tcW w:w="1209" w:type="pct"/>
            <w:shd w:val="clear" w:color="auto" w:fill="A6A6A6"/>
            <w:noWrap/>
            <w:vAlign w:val="center"/>
            <w:hideMark/>
          </w:tcPr>
          <w:p w14:paraId="641C537E"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noWrap/>
            <w:vAlign w:val="center"/>
            <w:hideMark/>
          </w:tcPr>
          <w:p w14:paraId="2DBBF62C"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1F04A1E5" w14:textId="77777777" w:rsidTr="001A4A5A">
        <w:trPr>
          <w:trHeight w:val="317"/>
        </w:trPr>
        <w:tc>
          <w:tcPr>
            <w:tcW w:w="335" w:type="pct"/>
            <w:shd w:val="clear" w:color="auto" w:fill="auto"/>
            <w:noWrap/>
            <w:vAlign w:val="center"/>
            <w:hideMark/>
          </w:tcPr>
          <w:p w14:paraId="0694589C"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15</w:t>
            </w:r>
          </w:p>
        </w:tc>
        <w:tc>
          <w:tcPr>
            <w:tcW w:w="1926" w:type="pct"/>
            <w:shd w:val="clear" w:color="auto" w:fill="auto"/>
            <w:vAlign w:val="center"/>
            <w:hideMark/>
          </w:tcPr>
          <w:p w14:paraId="04181598" w14:textId="793E8EB2" w:rsidR="001938D9" w:rsidRPr="001938D9" w:rsidRDefault="001938D9" w:rsidP="001A4A5A">
            <w:pPr>
              <w:spacing w:before="0"/>
              <w:rPr>
                <w:rFonts w:eastAsia="Times New Roman" w:cs="Arial"/>
                <w:color w:val="000000"/>
                <w:spacing w:val="2"/>
                <w:lang w:eastAsia="en-AU"/>
              </w:rPr>
            </w:pPr>
            <w:r w:rsidRPr="009B1925">
              <w:rPr>
                <w:rFonts w:eastAsia="Times New Roman" w:cs="Arial"/>
                <w:color w:val="000000"/>
                <w:spacing w:val="2"/>
                <w:lang w:eastAsia="en-AU"/>
              </w:rPr>
              <w:t>Revenue from Contracts with Customers</w:t>
            </w:r>
          </w:p>
        </w:tc>
        <w:tc>
          <w:tcPr>
            <w:tcW w:w="1209" w:type="pct"/>
            <w:shd w:val="clear" w:color="auto" w:fill="A6A6A6"/>
            <w:vAlign w:val="center"/>
            <w:hideMark/>
          </w:tcPr>
          <w:p w14:paraId="2B010F2F" w14:textId="2BC31679" w:rsidR="001938D9" w:rsidRPr="001938D9" w:rsidRDefault="00897E66" w:rsidP="001A4A5A">
            <w:pPr>
              <w:spacing w:before="0"/>
              <w:jc w:val="center"/>
              <w:rPr>
                <w:rFonts w:eastAsia="Times New Roman" w:cs="Arial"/>
                <w:color w:val="000000"/>
                <w:spacing w:val="2"/>
                <w:lang w:eastAsia="en-AU"/>
              </w:rPr>
            </w:pPr>
            <w:r w:rsidRPr="003427DB">
              <w:rPr>
                <w:rFonts w:eastAsia="Times New Roman" w:cs="Arial"/>
                <w:spacing w:val="2"/>
                <w:lang w:eastAsia="en-AU"/>
              </w:rPr>
              <w:t xml:space="preserve"> </w:t>
            </w:r>
            <w:r w:rsidRPr="003427DB">
              <w:rPr>
                <w:rFonts w:ascii="Wingdings 2" w:eastAsia="Times New Roman" w:hAnsi="Wingdings 2" w:cs="Times New Roman"/>
                <w:spacing w:val="2"/>
                <w:lang w:eastAsia="en-AU"/>
              </w:rPr>
              <w:t></w:t>
            </w:r>
          </w:p>
        </w:tc>
        <w:tc>
          <w:tcPr>
            <w:tcW w:w="1530" w:type="pct"/>
            <w:shd w:val="clear" w:color="auto" w:fill="D9D9D9"/>
            <w:vAlign w:val="center"/>
          </w:tcPr>
          <w:p w14:paraId="62B042EE" w14:textId="7641ED81" w:rsidR="001938D9" w:rsidRPr="001938D9" w:rsidRDefault="00897E66" w:rsidP="001A4A5A">
            <w:pPr>
              <w:spacing w:before="0"/>
              <w:jc w:val="center"/>
              <w:rPr>
                <w:rFonts w:eastAsia="Times New Roman" w:cs="Arial"/>
                <w:color w:val="000000"/>
                <w:spacing w:val="2"/>
                <w:lang w:eastAsia="en-AU"/>
              </w:rPr>
            </w:pPr>
            <w:r>
              <w:rPr>
                <w:rFonts w:eastAsia="Times New Roman" w:cs="Arial"/>
                <w:color w:val="000000"/>
                <w:spacing w:val="2"/>
                <w:lang w:eastAsia="en-AU"/>
              </w:rPr>
              <w:t xml:space="preserve"> </w:t>
            </w:r>
            <w:r w:rsidRPr="003427DB">
              <w:rPr>
                <w:rFonts w:ascii="Wingdings 2" w:eastAsia="Times New Roman" w:hAnsi="Wingdings 2" w:cs="Times New Roman"/>
                <w:spacing w:val="2"/>
                <w:lang w:eastAsia="en-AU"/>
              </w:rPr>
              <w:t></w:t>
            </w:r>
          </w:p>
        </w:tc>
      </w:tr>
      <w:tr w:rsidR="00897E66" w:rsidRPr="001938D9" w14:paraId="366002D6" w14:textId="77777777" w:rsidTr="001A4A5A">
        <w:trPr>
          <w:trHeight w:val="265"/>
        </w:trPr>
        <w:tc>
          <w:tcPr>
            <w:tcW w:w="335" w:type="pct"/>
            <w:noWrap/>
            <w:vAlign w:val="center"/>
            <w:hideMark/>
          </w:tcPr>
          <w:p w14:paraId="0FC38438" w14:textId="77777777" w:rsidR="00897E66" w:rsidRPr="001938D9" w:rsidRDefault="00897E66"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16</w:t>
            </w:r>
          </w:p>
        </w:tc>
        <w:tc>
          <w:tcPr>
            <w:tcW w:w="1926" w:type="pct"/>
            <w:vAlign w:val="center"/>
            <w:hideMark/>
          </w:tcPr>
          <w:p w14:paraId="5AB40A65" w14:textId="5A416DFD" w:rsidR="00897E66" w:rsidRPr="009B1925" w:rsidRDefault="00897E66" w:rsidP="001A4A5A">
            <w:pPr>
              <w:spacing w:before="0"/>
              <w:rPr>
                <w:rFonts w:eastAsia="Times New Roman" w:cs="Arial"/>
                <w:color w:val="000000"/>
                <w:spacing w:val="2"/>
                <w:lang w:eastAsia="en-AU"/>
              </w:rPr>
            </w:pPr>
            <w:r w:rsidRPr="009B1925">
              <w:rPr>
                <w:rFonts w:eastAsia="Times New Roman" w:cs="Arial"/>
                <w:color w:val="000000"/>
                <w:spacing w:val="2"/>
                <w:lang w:eastAsia="en-AU"/>
              </w:rPr>
              <w:t>Leases</w:t>
            </w:r>
          </w:p>
        </w:tc>
        <w:tc>
          <w:tcPr>
            <w:tcW w:w="1209" w:type="pct"/>
            <w:shd w:val="clear" w:color="auto" w:fill="A6A6A6" w:themeFill="background1" w:themeFillShade="A6"/>
            <w:vAlign w:val="center"/>
            <w:hideMark/>
          </w:tcPr>
          <w:p w14:paraId="0D6F0F14" w14:textId="1B257421" w:rsidR="00897E66" w:rsidRPr="003427DB" w:rsidRDefault="00897E66" w:rsidP="001A4A5A">
            <w:pPr>
              <w:spacing w:before="0"/>
              <w:jc w:val="center"/>
              <w:rPr>
                <w:rFonts w:eastAsia="Times New Roman" w:cs="Arial"/>
                <w:spacing w:val="2"/>
                <w:lang w:eastAsia="en-AU"/>
              </w:rPr>
            </w:pPr>
            <w:r w:rsidRPr="003427DB">
              <w:rPr>
                <w:rFonts w:ascii="Wingdings 2" w:eastAsia="Times New Roman" w:hAnsi="Wingdings 2" w:cs="Times New Roman"/>
                <w:spacing w:val="2"/>
                <w:lang w:eastAsia="en-AU"/>
              </w:rPr>
              <w:t></w:t>
            </w:r>
          </w:p>
        </w:tc>
        <w:tc>
          <w:tcPr>
            <w:tcW w:w="1530" w:type="pct"/>
            <w:shd w:val="clear" w:color="auto" w:fill="D9D9D9"/>
            <w:vAlign w:val="center"/>
          </w:tcPr>
          <w:p w14:paraId="47FFAB6B" w14:textId="59D86BF5" w:rsidR="00897E66" w:rsidRPr="003427DB" w:rsidRDefault="00897E66" w:rsidP="001A4A5A">
            <w:pPr>
              <w:spacing w:before="0"/>
              <w:jc w:val="center"/>
              <w:rPr>
                <w:rFonts w:eastAsia="Times New Roman" w:cs="Arial"/>
                <w:spacing w:val="2"/>
                <w:lang w:eastAsia="en-AU"/>
              </w:rPr>
            </w:pPr>
            <w:r w:rsidRPr="003427DB">
              <w:rPr>
                <w:rFonts w:ascii="Wingdings 2" w:eastAsia="Times New Roman" w:hAnsi="Wingdings 2" w:cs="Times New Roman"/>
                <w:spacing w:val="2"/>
                <w:lang w:eastAsia="en-AU"/>
              </w:rPr>
              <w:t></w:t>
            </w:r>
          </w:p>
        </w:tc>
      </w:tr>
      <w:tr w:rsidR="001938D9" w:rsidRPr="001938D9" w14:paraId="373635AD" w14:textId="77777777" w:rsidTr="00897E66">
        <w:trPr>
          <w:trHeight w:val="375"/>
        </w:trPr>
        <w:tc>
          <w:tcPr>
            <w:tcW w:w="335" w:type="pct"/>
            <w:noWrap/>
            <w:vAlign w:val="center"/>
          </w:tcPr>
          <w:p w14:paraId="1C5992DA"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17</w:t>
            </w:r>
          </w:p>
        </w:tc>
        <w:tc>
          <w:tcPr>
            <w:tcW w:w="1926" w:type="pct"/>
            <w:vAlign w:val="center"/>
          </w:tcPr>
          <w:p w14:paraId="33637722" w14:textId="4DDFCD59" w:rsidR="001938D9" w:rsidRPr="003427DB" w:rsidRDefault="001938D9" w:rsidP="001A4A5A">
            <w:pPr>
              <w:spacing w:before="0"/>
              <w:rPr>
                <w:rFonts w:eastAsia="Times New Roman" w:cs="Arial"/>
                <w:color w:val="000000"/>
                <w:spacing w:val="2"/>
                <w:vertAlign w:val="superscript"/>
                <w:lang w:eastAsia="en-AU"/>
              </w:rPr>
            </w:pPr>
            <w:r w:rsidRPr="001938D9">
              <w:rPr>
                <w:rFonts w:eastAsia="Times New Roman" w:cs="Arial"/>
                <w:color w:val="000000"/>
                <w:spacing w:val="2"/>
                <w:lang w:eastAsia="en-AU"/>
              </w:rPr>
              <w:t>Insurance Contracts</w:t>
            </w:r>
            <w:r w:rsidRPr="001938D9">
              <w:rPr>
                <w:rFonts w:eastAsia="Times New Roman" w:cs="Arial"/>
                <w:color w:val="000000"/>
                <w:spacing w:val="2"/>
                <w:vertAlign w:val="superscript"/>
                <w:lang w:eastAsia="en-AU"/>
              </w:rPr>
              <w:footnoteReference w:id="1"/>
            </w:r>
          </w:p>
        </w:tc>
        <w:tc>
          <w:tcPr>
            <w:tcW w:w="1209" w:type="pct"/>
            <w:shd w:val="clear" w:color="auto" w:fill="A6A6A6"/>
            <w:noWrap/>
            <w:vAlign w:val="center"/>
          </w:tcPr>
          <w:p w14:paraId="09DE2733"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Applicable from reporting</w:t>
            </w:r>
          </w:p>
          <w:p w14:paraId="2A928CD2"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periods beginning on or after</w:t>
            </w:r>
          </w:p>
          <w:p w14:paraId="53311E18" w14:textId="527A9180"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eastAsia="Times New Roman" w:cs="Arial"/>
                <w:color w:val="000000"/>
                <w:spacing w:val="2"/>
                <w:lang w:eastAsia="en-AU"/>
              </w:rPr>
              <w:t>1 January 202</w:t>
            </w:r>
            <w:r w:rsidR="00336625">
              <w:rPr>
                <w:rFonts w:eastAsia="Times New Roman" w:cs="Arial"/>
                <w:color w:val="000000"/>
                <w:spacing w:val="2"/>
                <w:lang w:eastAsia="en-AU"/>
              </w:rPr>
              <w:t>3</w:t>
            </w:r>
          </w:p>
        </w:tc>
        <w:tc>
          <w:tcPr>
            <w:tcW w:w="1530" w:type="pct"/>
            <w:shd w:val="clear" w:color="auto" w:fill="D9D9D9"/>
            <w:noWrap/>
            <w:vAlign w:val="center"/>
          </w:tcPr>
          <w:p w14:paraId="1E5C5557"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 xml:space="preserve">The AASB is </w:t>
            </w:r>
          </w:p>
          <w:p w14:paraId="57429D2E" w14:textId="77777777" w:rsidR="001938D9" w:rsidRPr="001938D9" w:rsidDel="0097365F"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 xml:space="preserve">reviewing to replace AASB 1023 and </w:t>
            </w:r>
          </w:p>
          <w:p w14:paraId="3194DEDB"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eastAsia="Times New Roman" w:cs="Arial"/>
                <w:color w:val="000000"/>
                <w:spacing w:val="2"/>
                <w:lang w:eastAsia="en-AU"/>
              </w:rPr>
              <w:t>AASB 1038 with this standard.</w:t>
            </w:r>
          </w:p>
        </w:tc>
      </w:tr>
      <w:tr w:rsidR="001938D9" w:rsidRPr="001938D9" w14:paraId="73F38520" w14:textId="77777777" w:rsidTr="00897E66">
        <w:trPr>
          <w:trHeight w:val="375"/>
        </w:trPr>
        <w:tc>
          <w:tcPr>
            <w:tcW w:w="335" w:type="pct"/>
            <w:noWrap/>
            <w:vAlign w:val="center"/>
            <w:hideMark/>
          </w:tcPr>
          <w:p w14:paraId="35B5F79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101</w:t>
            </w:r>
          </w:p>
        </w:tc>
        <w:tc>
          <w:tcPr>
            <w:tcW w:w="1926" w:type="pct"/>
            <w:vAlign w:val="center"/>
            <w:hideMark/>
          </w:tcPr>
          <w:p w14:paraId="20E7B86B"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Presentation of Financial Statements</w:t>
            </w:r>
          </w:p>
        </w:tc>
        <w:tc>
          <w:tcPr>
            <w:tcW w:w="1209" w:type="pct"/>
            <w:shd w:val="clear" w:color="auto" w:fill="A6A6A6"/>
            <w:noWrap/>
            <w:vAlign w:val="center"/>
            <w:hideMark/>
          </w:tcPr>
          <w:p w14:paraId="749A9791"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9B58671"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FEE1E61" w14:textId="77777777" w:rsidTr="00897E66">
        <w:trPr>
          <w:trHeight w:val="949"/>
        </w:trPr>
        <w:tc>
          <w:tcPr>
            <w:tcW w:w="335" w:type="pct"/>
            <w:noWrap/>
            <w:vAlign w:val="center"/>
            <w:hideMark/>
          </w:tcPr>
          <w:p w14:paraId="604701E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102</w:t>
            </w:r>
          </w:p>
        </w:tc>
        <w:tc>
          <w:tcPr>
            <w:tcW w:w="1926" w:type="pct"/>
            <w:vAlign w:val="center"/>
            <w:hideMark/>
          </w:tcPr>
          <w:p w14:paraId="1F21D11E"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Inventories</w:t>
            </w:r>
          </w:p>
        </w:tc>
        <w:tc>
          <w:tcPr>
            <w:tcW w:w="1209" w:type="pct"/>
            <w:shd w:val="clear" w:color="auto" w:fill="A6A6A6"/>
            <w:vAlign w:val="center"/>
            <w:hideMark/>
          </w:tcPr>
          <w:p w14:paraId="6F60349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The cost of inventories comprises all costs of purchase, costs of conversion and other costs incurred.</w:t>
            </w:r>
          </w:p>
        </w:tc>
        <w:tc>
          <w:tcPr>
            <w:tcW w:w="1530" w:type="pct"/>
            <w:shd w:val="clear" w:color="auto" w:fill="D9D9D9"/>
            <w:vAlign w:val="center"/>
            <w:hideMark/>
          </w:tcPr>
          <w:p w14:paraId="58CDF2F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Where inventories are acquired at no cost, or for nominal consideration, the cost shall be the current replacement cost as at the date of acquisition.</w:t>
            </w:r>
          </w:p>
        </w:tc>
      </w:tr>
      <w:tr w:rsidR="001938D9" w:rsidRPr="001938D9" w14:paraId="793BCC6C" w14:textId="77777777" w:rsidTr="001A4A5A">
        <w:trPr>
          <w:trHeight w:val="263"/>
        </w:trPr>
        <w:tc>
          <w:tcPr>
            <w:tcW w:w="335" w:type="pct"/>
            <w:noWrap/>
            <w:vAlign w:val="center"/>
            <w:hideMark/>
          </w:tcPr>
          <w:p w14:paraId="1D1061BB"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lastRenderedPageBreak/>
              <w:t>107</w:t>
            </w:r>
          </w:p>
        </w:tc>
        <w:tc>
          <w:tcPr>
            <w:tcW w:w="1926" w:type="pct"/>
            <w:vAlign w:val="center"/>
            <w:hideMark/>
          </w:tcPr>
          <w:p w14:paraId="18820B64"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Statement of Cash Flows</w:t>
            </w:r>
          </w:p>
        </w:tc>
        <w:tc>
          <w:tcPr>
            <w:tcW w:w="1209" w:type="pct"/>
            <w:shd w:val="clear" w:color="auto" w:fill="A6A6A6"/>
            <w:noWrap/>
            <w:vAlign w:val="center"/>
            <w:hideMark/>
          </w:tcPr>
          <w:p w14:paraId="4FFBC79B" w14:textId="1BB97E0A"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r w:rsidRPr="001938D9">
              <w:rPr>
                <w:rFonts w:eastAsia="Times New Roman" w:cs="Arial"/>
                <w:color w:val="000000"/>
                <w:spacing w:val="2"/>
                <w:vertAlign w:val="superscript"/>
                <w:lang w:eastAsia="en-AU"/>
              </w:rPr>
              <w:footnoteReference w:id="2"/>
            </w:r>
          </w:p>
        </w:tc>
        <w:tc>
          <w:tcPr>
            <w:tcW w:w="1530" w:type="pct"/>
            <w:shd w:val="clear" w:color="auto" w:fill="D9D9D9"/>
            <w:noWrap/>
            <w:vAlign w:val="center"/>
            <w:hideMark/>
          </w:tcPr>
          <w:p w14:paraId="09255BB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0A17FC22" w14:textId="77777777" w:rsidTr="001A4A5A">
        <w:trPr>
          <w:trHeight w:val="410"/>
        </w:trPr>
        <w:tc>
          <w:tcPr>
            <w:tcW w:w="335" w:type="pct"/>
            <w:noWrap/>
            <w:vAlign w:val="center"/>
            <w:hideMark/>
          </w:tcPr>
          <w:p w14:paraId="061E48BE"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108</w:t>
            </w:r>
          </w:p>
        </w:tc>
        <w:tc>
          <w:tcPr>
            <w:tcW w:w="1926" w:type="pct"/>
            <w:vAlign w:val="center"/>
            <w:hideMark/>
          </w:tcPr>
          <w:p w14:paraId="52D95E17"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Accounting Policies, Changes in Accounting Estimates and Errors</w:t>
            </w:r>
          </w:p>
        </w:tc>
        <w:tc>
          <w:tcPr>
            <w:tcW w:w="1209" w:type="pct"/>
            <w:shd w:val="clear" w:color="auto" w:fill="A6A6A6"/>
            <w:noWrap/>
            <w:vAlign w:val="center"/>
            <w:hideMark/>
          </w:tcPr>
          <w:p w14:paraId="77FB739D"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48F576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F5E11F4" w14:textId="77777777" w:rsidTr="001A4A5A">
        <w:trPr>
          <w:trHeight w:val="274"/>
        </w:trPr>
        <w:tc>
          <w:tcPr>
            <w:tcW w:w="335" w:type="pct"/>
            <w:noWrap/>
            <w:vAlign w:val="center"/>
            <w:hideMark/>
          </w:tcPr>
          <w:p w14:paraId="55305A4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110</w:t>
            </w:r>
          </w:p>
        </w:tc>
        <w:tc>
          <w:tcPr>
            <w:tcW w:w="1926" w:type="pct"/>
            <w:vAlign w:val="center"/>
            <w:hideMark/>
          </w:tcPr>
          <w:p w14:paraId="3B050D6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Events after the Reporting Period</w:t>
            </w:r>
          </w:p>
        </w:tc>
        <w:tc>
          <w:tcPr>
            <w:tcW w:w="1209" w:type="pct"/>
            <w:shd w:val="clear" w:color="auto" w:fill="A6A6A6"/>
            <w:noWrap/>
            <w:vAlign w:val="center"/>
            <w:hideMark/>
          </w:tcPr>
          <w:p w14:paraId="4BE0ACB8"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54EE970"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9D1391D" w14:textId="77777777" w:rsidTr="00897E66">
        <w:trPr>
          <w:trHeight w:val="70"/>
        </w:trPr>
        <w:tc>
          <w:tcPr>
            <w:tcW w:w="335" w:type="pct"/>
            <w:noWrap/>
            <w:vAlign w:val="center"/>
            <w:hideMark/>
          </w:tcPr>
          <w:p w14:paraId="705405F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112</w:t>
            </w:r>
          </w:p>
        </w:tc>
        <w:tc>
          <w:tcPr>
            <w:tcW w:w="1926" w:type="pct"/>
            <w:vAlign w:val="center"/>
            <w:hideMark/>
          </w:tcPr>
          <w:p w14:paraId="6276BC9C"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Income Taxes</w:t>
            </w:r>
          </w:p>
        </w:tc>
        <w:tc>
          <w:tcPr>
            <w:tcW w:w="1209" w:type="pct"/>
            <w:shd w:val="clear" w:color="auto" w:fill="A6A6A6"/>
            <w:vAlign w:val="center"/>
            <w:hideMark/>
          </w:tcPr>
          <w:p w14:paraId="002E96B3"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A deferred tax asset can arise on non-taxable government grant related to an asset.</w:t>
            </w:r>
          </w:p>
        </w:tc>
        <w:tc>
          <w:tcPr>
            <w:tcW w:w="1530" w:type="pct"/>
            <w:shd w:val="clear" w:color="auto" w:fill="D9D9D9"/>
            <w:vAlign w:val="center"/>
            <w:hideMark/>
          </w:tcPr>
          <w:p w14:paraId="16580555"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A deferred tax asset does not arise on a non-taxable government grant related to an asset.</w:t>
            </w:r>
          </w:p>
        </w:tc>
      </w:tr>
      <w:tr w:rsidR="001938D9" w:rsidRPr="001938D9" w14:paraId="22CCCF78" w14:textId="77777777" w:rsidTr="00897E66">
        <w:trPr>
          <w:trHeight w:val="309"/>
        </w:trPr>
        <w:tc>
          <w:tcPr>
            <w:tcW w:w="335" w:type="pct"/>
            <w:noWrap/>
            <w:vAlign w:val="center"/>
            <w:hideMark/>
          </w:tcPr>
          <w:p w14:paraId="7A88EE5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116</w:t>
            </w:r>
          </w:p>
        </w:tc>
        <w:tc>
          <w:tcPr>
            <w:tcW w:w="1926" w:type="pct"/>
            <w:vAlign w:val="center"/>
            <w:hideMark/>
          </w:tcPr>
          <w:p w14:paraId="722BBB91"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Property, Plant and Equipment</w:t>
            </w:r>
          </w:p>
        </w:tc>
        <w:tc>
          <w:tcPr>
            <w:tcW w:w="1209" w:type="pct"/>
            <w:shd w:val="clear" w:color="auto" w:fill="A6A6A6"/>
            <w:vAlign w:val="center"/>
            <w:hideMark/>
          </w:tcPr>
          <w:p w14:paraId="12C7AC94"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individual asset.</w:t>
            </w:r>
          </w:p>
        </w:tc>
        <w:tc>
          <w:tcPr>
            <w:tcW w:w="1530" w:type="pct"/>
            <w:shd w:val="clear" w:color="auto" w:fill="D9D9D9"/>
            <w:vAlign w:val="center"/>
            <w:hideMark/>
          </w:tcPr>
          <w:p w14:paraId="113469D5"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class of assets.</w:t>
            </w:r>
          </w:p>
        </w:tc>
      </w:tr>
      <w:tr w:rsidR="001938D9" w:rsidRPr="001938D9" w14:paraId="15D9F088" w14:textId="77777777" w:rsidTr="001A4A5A">
        <w:trPr>
          <w:trHeight w:val="948"/>
        </w:trPr>
        <w:tc>
          <w:tcPr>
            <w:tcW w:w="335" w:type="pct"/>
            <w:noWrap/>
            <w:vAlign w:val="center"/>
            <w:hideMark/>
          </w:tcPr>
          <w:p w14:paraId="657CDC1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119</w:t>
            </w:r>
          </w:p>
        </w:tc>
        <w:tc>
          <w:tcPr>
            <w:tcW w:w="1926" w:type="pct"/>
            <w:vAlign w:val="center"/>
            <w:hideMark/>
          </w:tcPr>
          <w:p w14:paraId="0215810F"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Employee Benefits</w:t>
            </w:r>
          </w:p>
        </w:tc>
        <w:tc>
          <w:tcPr>
            <w:tcW w:w="1209" w:type="pct"/>
            <w:shd w:val="clear" w:color="auto" w:fill="A6A6A6"/>
            <w:vAlign w:val="center"/>
            <w:hideMark/>
          </w:tcPr>
          <w:p w14:paraId="0E04DE9D"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Employee benefit obligations shall be determined using market yields on high quality corporate bonds.</w:t>
            </w:r>
          </w:p>
        </w:tc>
        <w:tc>
          <w:tcPr>
            <w:tcW w:w="1530" w:type="pct"/>
            <w:shd w:val="clear" w:color="auto" w:fill="D9D9D9"/>
            <w:vAlign w:val="center"/>
            <w:hideMark/>
          </w:tcPr>
          <w:p w14:paraId="6BDCEF6C"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Employee benefit obligations shall be determined using market yields on government bonds.</w:t>
            </w:r>
          </w:p>
        </w:tc>
      </w:tr>
      <w:tr w:rsidR="001938D9" w:rsidRPr="001938D9" w14:paraId="32A4DFED" w14:textId="77777777" w:rsidTr="00897E66">
        <w:trPr>
          <w:trHeight w:val="307"/>
        </w:trPr>
        <w:tc>
          <w:tcPr>
            <w:tcW w:w="335" w:type="pct"/>
            <w:noWrap/>
            <w:vAlign w:val="center"/>
            <w:hideMark/>
          </w:tcPr>
          <w:p w14:paraId="64ED534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120</w:t>
            </w:r>
          </w:p>
        </w:tc>
        <w:tc>
          <w:tcPr>
            <w:tcW w:w="1926" w:type="pct"/>
            <w:vAlign w:val="center"/>
            <w:hideMark/>
          </w:tcPr>
          <w:p w14:paraId="7FA04AF0"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Accounting for Government Grants and Disclosure of Government Assistance</w:t>
            </w:r>
          </w:p>
        </w:tc>
        <w:tc>
          <w:tcPr>
            <w:tcW w:w="1209" w:type="pct"/>
            <w:shd w:val="clear" w:color="auto" w:fill="A6A6A6"/>
            <w:noWrap/>
            <w:vAlign w:val="center"/>
            <w:hideMark/>
          </w:tcPr>
          <w:p w14:paraId="4367E75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04224B06"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04902D40" w14:textId="77777777" w:rsidTr="001A4A5A">
        <w:trPr>
          <w:trHeight w:val="474"/>
        </w:trPr>
        <w:tc>
          <w:tcPr>
            <w:tcW w:w="335" w:type="pct"/>
            <w:noWrap/>
            <w:vAlign w:val="center"/>
            <w:hideMark/>
          </w:tcPr>
          <w:p w14:paraId="7A2F4A2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121</w:t>
            </w:r>
          </w:p>
        </w:tc>
        <w:tc>
          <w:tcPr>
            <w:tcW w:w="1926" w:type="pct"/>
            <w:vAlign w:val="center"/>
            <w:hideMark/>
          </w:tcPr>
          <w:p w14:paraId="033CD02E"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The Effects of Changes in Foreign Exchange Rates</w:t>
            </w:r>
          </w:p>
        </w:tc>
        <w:tc>
          <w:tcPr>
            <w:tcW w:w="1209" w:type="pct"/>
            <w:shd w:val="clear" w:color="auto" w:fill="A6A6A6"/>
            <w:vAlign w:val="center"/>
            <w:hideMark/>
          </w:tcPr>
          <w:p w14:paraId="4F0B1AB3"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780C2263"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1ADDEF77" w14:textId="77777777" w:rsidTr="001A4A5A">
        <w:trPr>
          <w:trHeight w:val="163"/>
        </w:trPr>
        <w:tc>
          <w:tcPr>
            <w:tcW w:w="335" w:type="pct"/>
            <w:noWrap/>
            <w:vAlign w:val="center"/>
            <w:hideMark/>
          </w:tcPr>
          <w:p w14:paraId="2A249857"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123</w:t>
            </w:r>
          </w:p>
        </w:tc>
        <w:tc>
          <w:tcPr>
            <w:tcW w:w="1926" w:type="pct"/>
            <w:vAlign w:val="center"/>
            <w:hideMark/>
          </w:tcPr>
          <w:p w14:paraId="58F4FBE6"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Borrowing Costs</w:t>
            </w:r>
          </w:p>
        </w:tc>
        <w:tc>
          <w:tcPr>
            <w:tcW w:w="1209" w:type="pct"/>
            <w:shd w:val="clear" w:color="auto" w:fill="A6A6A6"/>
            <w:vAlign w:val="center"/>
            <w:hideMark/>
          </w:tcPr>
          <w:p w14:paraId="49708C88" w14:textId="77777777"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7DCC1F69" w14:textId="2CBA0B01" w:rsidR="001938D9" w:rsidRPr="001938D9" w:rsidRDefault="001938D9" w:rsidP="001A4A5A">
            <w:pPr>
              <w:spacing w:before="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r w:rsidRPr="001938D9">
              <w:rPr>
                <w:rFonts w:eastAsia="Times New Roman" w:cs="Arial"/>
                <w:color w:val="000000"/>
                <w:spacing w:val="2"/>
                <w:vertAlign w:val="superscript"/>
                <w:lang w:eastAsia="en-AU"/>
              </w:rPr>
              <w:footnoteReference w:id="3"/>
            </w:r>
          </w:p>
        </w:tc>
      </w:tr>
      <w:tr w:rsidR="001938D9" w:rsidRPr="001938D9" w14:paraId="7DD62599" w14:textId="77777777" w:rsidTr="00897E66">
        <w:trPr>
          <w:trHeight w:val="238"/>
        </w:trPr>
        <w:tc>
          <w:tcPr>
            <w:tcW w:w="335" w:type="pct"/>
            <w:noWrap/>
            <w:vAlign w:val="center"/>
            <w:hideMark/>
          </w:tcPr>
          <w:p w14:paraId="4F38667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124</w:t>
            </w:r>
          </w:p>
        </w:tc>
        <w:tc>
          <w:tcPr>
            <w:tcW w:w="1926" w:type="pct"/>
            <w:vAlign w:val="center"/>
            <w:hideMark/>
          </w:tcPr>
          <w:p w14:paraId="41C0EDCE"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Related Party Disclosures</w:t>
            </w:r>
          </w:p>
        </w:tc>
        <w:tc>
          <w:tcPr>
            <w:tcW w:w="1209" w:type="pct"/>
            <w:shd w:val="clear" w:color="auto" w:fill="A6A6A6"/>
            <w:noWrap/>
            <w:vAlign w:val="center"/>
            <w:hideMark/>
          </w:tcPr>
          <w:p w14:paraId="216FBF3F"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57088B55"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0AD938EC" w14:textId="77777777" w:rsidTr="00897E66">
        <w:trPr>
          <w:trHeight w:val="86"/>
        </w:trPr>
        <w:tc>
          <w:tcPr>
            <w:tcW w:w="335" w:type="pct"/>
            <w:noWrap/>
            <w:vAlign w:val="center"/>
            <w:hideMark/>
          </w:tcPr>
          <w:p w14:paraId="1B6D6A1A"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127</w:t>
            </w:r>
          </w:p>
        </w:tc>
        <w:tc>
          <w:tcPr>
            <w:tcW w:w="1926" w:type="pct"/>
            <w:vAlign w:val="center"/>
            <w:hideMark/>
          </w:tcPr>
          <w:p w14:paraId="4F8C2350"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Separate Financial Statements</w:t>
            </w:r>
          </w:p>
        </w:tc>
        <w:tc>
          <w:tcPr>
            <w:tcW w:w="1209" w:type="pct"/>
            <w:shd w:val="clear" w:color="auto" w:fill="A6A6A6"/>
            <w:noWrap/>
            <w:vAlign w:val="center"/>
            <w:hideMark/>
          </w:tcPr>
          <w:p w14:paraId="4E3392EC"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2B983FED"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48F5C34" w14:textId="77777777" w:rsidTr="00897E66">
        <w:trPr>
          <w:trHeight w:val="388"/>
        </w:trPr>
        <w:tc>
          <w:tcPr>
            <w:tcW w:w="335" w:type="pct"/>
            <w:noWrap/>
            <w:vAlign w:val="center"/>
            <w:hideMark/>
          </w:tcPr>
          <w:p w14:paraId="4A6976B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128</w:t>
            </w:r>
          </w:p>
        </w:tc>
        <w:tc>
          <w:tcPr>
            <w:tcW w:w="1926" w:type="pct"/>
            <w:vAlign w:val="center"/>
            <w:hideMark/>
          </w:tcPr>
          <w:p w14:paraId="4AFB770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Investments in Associates and Joint Ventures</w:t>
            </w:r>
          </w:p>
        </w:tc>
        <w:tc>
          <w:tcPr>
            <w:tcW w:w="1209" w:type="pct"/>
            <w:shd w:val="clear" w:color="auto" w:fill="A6A6A6"/>
            <w:noWrap/>
            <w:vAlign w:val="center"/>
            <w:hideMark/>
          </w:tcPr>
          <w:p w14:paraId="2C117A98"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3598DE2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46C899E" w14:textId="77777777" w:rsidTr="00897E66">
        <w:trPr>
          <w:trHeight w:val="111"/>
        </w:trPr>
        <w:tc>
          <w:tcPr>
            <w:tcW w:w="335" w:type="pct"/>
            <w:noWrap/>
            <w:vAlign w:val="center"/>
            <w:hideMark/>
          </w:tcPr>
          <w:p w14:paraId="4AD10F2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129</w:t>
            </w:r>
          </w:p>
        </w:tc>
        <w:tc>
          <w:tcPr>
            <w:tcW w:w="1926" w:type="pct"/>
            <w:vAlign w:val="center"/>
            <w:hideMark/>
          </w:tcPr>
          <w:p w14:paraId="513F4A52"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Reporting in Hyperinflationary Economies</w:t>
            </w:r>
          </w:p>
        </w:tc>
        <w:tc>
          <w:tcPr>
            <w:tcW w:w="1209" w:type="pct"/>
            <w:shd w:val="clear" w:color="auto" w:fill="A6A6A6"/>
            <w:vAlign w:val="center"/>
            <w:hideMark/>
          </w:tcPr>
          <w:p w14:paraId="04130F00"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6A3312FE"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4E66A1DF" w14:textId="77777777" w:rsidTr="00897E66">
        <w:trPr>
          <w:trHeight w:val="147"/>
        </w:trPr>
        <w:tc>
          <w:tcPr>
            <w:tcW w:w="335" w:type="pct"/>
            <w:noWrap/>
            <w:vAlign w:val="center"/>
            <w:hideMark/>
          </w:tcPr>
          <w:p w14:paraId="12E8491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132</w:t>
            </w:r>
          </w:p>
        </w:tc>
        <w:tc>
          <w:tcPr>
            <w:tcW w:w="1926" w:type="pct"/>
            <w:vAlign w:val="center"/>
            <w:hideMark/>
          </w:tcPr>
          <w:p w14:paraId="7448D74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Financial Instruments: Presentation</w:t>
            </w:r>
          </w:p>
        </w:tc>
        <w:tc>
          <w:tcPr>
            <w:tcW w:w="1209" w:type="pct"/>
            <w:shd w:val="clear" w:color="auto" w:fill="A6A6A6"/>
            <w:noWrap/>
            <w:vAlign w:val="center"/>
            <w:hideMark/>
          </w:tcPr>
          <w:p w14:paraId="2977125D"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58083859"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7933FAA5" w14:textId="77777777" w:rsidTr="00897E66">
        <w:trPr>
          <w:trHeight w:val="70"/>
        </w:trPr>
        <w:tc>
          <w:tcPr>
            <w:tcW w:w="335" w:type="pct"/>
            <w:noWrap/>
            <w:vAlign w:val="center"/>
            <w:hideMark/>
          </w:tcPr>
          <w:p w14:paraId="525CC54C"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133</w:t>
            </w:r>
          </w:p>
        </w:tc>
        <w:tc>
          <w:tcPr>
            <w:tcW w:w="1926" w:type="pct"/>
            <w:vAlign w:val="center"/>
            <w:hideMark/>
          </w:tcPr>
          <w:p w14:paraId="4C09D3EB"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Earnings per Share</w:t>
            </w:r>
          </w:p>
        </w:tc>
        <w:tc>
          <w:tcPr>
            <w:tcW w:w="1209" w:type="pct"/>
            <w:shd w:val="clear" w:color="auto" w:fill="A6A6A6"/>
            <w:vAlign w:val="center"/>
            <w:hideMark/>
          </w:tcPr>
          <w:p w14:paraId="3013BA02"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7FD3BE2E"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t>NR</w:t>
            </w:r>
          </w:p>
        </w:tc>
      </w:tr>
      <w:tr w:rsidR="001938D9" w:rsidRPr="001938D9" w14:paraId="35CC51A3" w14:textId="77777777" w:rsidTr="00897E66">
        <w:trPr>
          <w:trHeight w:val="297"/>
        </w:trPr>
        <w:tc>
          <w:tcPr>
            <w:tcW w:w="335" w:type="pct"/>
            <w:noWrap/>
            <w:vAlign w:val="center"/>
            <w:hideMark/>
          </w:tcPr>
          <w:p w14:paraId="5A23899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134</w:t>
            </w:r>
          </w:p>
        </w:tc>
        <w:tc>
          <w:tcPr>
            <w:tcW w:w="1926" w:type="pct"/>
            <w:vAlign w:val="center"/>
            <w:hideMark/>
          </w:tcPr>
          <w:p w14:paraId="20627D96"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Interim Financial Reporting</w:t>
            </w:r>
          </w:p>
        </w:tc>
        <w:tc>
          <w:tcPr>
            <w:tcW w:w="1209" w:type="pct"/>
            <w:shd w:val="clear" w:color="auto" w:fill="A6A6A6"/>
            <w:noWrap/>
            <w:vAlign w:val="center"/>
            <w:hideMark/>
          </w:tcPr>
          <w:p w14:paraId="7D78B682"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1AFEA352" w14:textId="77777777" w:rsidR="001938D9" w:rsidRPr="001938D9" w:rsidRDefault="001938D9" w:rsidP="001A4A5A">
            <w:pPr>
              <w:spacing w:before="0"/>
              <w:jc w:val="center"/>
              <w:rPr>
                <w:rFonts w:ascii="Garamond" w:eastAsia="Times New Roman" w:hAnsi="Garamond"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36DF252D" w14:textId="77777777" w:rsidTr="00897E66">
        <w:trPr>
          <w:trHeight w:val="401"/>
        </w:trPr>
        <w:tc>
          <w:tcPr>
            <w:tcW w:w="335" w:type="pct"/>
            <w:vMerge w:val="restart"/>
            <w:noWrap/>
            <w:vAlign w:val="center"/>
            <w:hideMark/>
          </w:tcPr>
          <w:p w14:paraId="7A64B3A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136</w:t>
            </w:r>
          </w:p>
        </w:tc>
        <w:tc>
          <w:tcPr>
            <w:tcW w:w="1926" w:type="pct"/>
            <w:vMerge w:val="restart"/>
            <w:vAlign w:val="center"/>
            <w:hideMark/>
          </w:tcPr>
          <w:p w14:paraId="044DEF69"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Impairment of Assets</w:t>
            </w:r>
          </w:p>
        </w:tc>
        <w:tc>
          <w:tcPr>
            <w:tcW w:w="1209" w:type="pct"/>
            <w:shd w:val="clear" w:color="auto" w:fill="A6A6A6"/>
            <w:vAlign w:val="center"/>
            <w:hideMark/>
          </w:tcPr>
          <w:p w14:paraId="3CE6307D"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Value in use is determined by the present value of future cash flows associated with asset.</w:t>
            </w:r>
          </w:p>
        </w:tc>
        <w:tc>
          <w:tcPr>
            <w:tcW w:w="1530" w:type="pct"/>
            <w:shd w:val="clear" w:color="auto" w:fill="D9D9D9"/>
            <w:vAlign w:val="center"/>
            <w:hideMark/>
          </w:tcPr>
          <w:p w14:paraId="65DEFEBA"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Value in use shall be determined by current replacement cost.</w:t>
            </w:r>
          </w:p>
        </w:tc>
      </w:tr>
      <w:tr w:rsidR="001938D9" w:rsidRPr="001938D9" w14:paraId="39113E0F" w14:textId="77777777" w:rsidTr="00897E66">
        <w:trPr>
          <w:trHeight w:val="335"/>
        </w:trPr>
        <w:tc>
          <w:tcPr>
            <w:tcW w:w="335" w:type="pct"/>
            <w:vMerge/>
            <w:noWrap/>
            <w:vAlign w:val="center"/>
            <w:hideMark/>
          </w:tcPr>
          <w:p w14:paraId="29A1EFA3" w14:textId="77777777" w:rsidR="001938D9" w:rsidRPr="001938D9" w:rsidRDefault="001938D9" w:rsidP="001938D9">
            <w:pPr>
              <w:spacing w:before="20" w:after="20"/>
              <w:jc w:val="center"/>
              <w:rPr>
                <w:rFonts w:eastAsia="Times New Roman" w:cs="Arial"/>
                <w:color w:val="000000"/>
                <w:spacing w:val="2"/>
                <w:lang w:eastAsia="en-AU"/>
              </w:rPr>
            </w:pPr>
          </w:p>
        </w:tc>
        <w:tc>
          <w:tcPr>
            <w:tcW w:w="1926" w:type="pct"/>
            <w:vMerge/>
            <w:vAlign w:val="center"/>
            <w:hideMark/>
          </w:tcPr>
          <w:p w14:paraId="44731436" w14:textId="77777777" w:rsidR="001938D9" w:rsidRPr="001938D9" w:rsidRDefault="001938D9" w:rsidP="001A4A5A">
            <w:pPr>
              <w:spacing w:before="0"/>
              <w:rPr>
                <w:rFonts w:eastAsia="Times New Roman" w:cs="Arial"/>
                <w:color w:val="000000"/>
                <w:spacing w:val="2"/>
                <w:lang w:eastAsia="en-AU"/>
              </w:rPr>
            </w:pPr>
          </w:p>
        </w:tc>
        <w:tc>
          <w:tcPr>
            <w:tcW w:w="1209" w:type="pct"/>
            <w:shd w:val="clear" w:color="auto" w:fill="A6A6A6"/>
            <w:vAlign w:val="center"/>
            <w:hideMark/>
          </w:tcPr>
          <w:p w14:paraId="0DDB26D9"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Impairment loss on a revalued asset can be applied against revaluation reserve for the same asset.</w:t>
            </w:r>
          </w:p>
        </w:tc>
        <w:tc>
          <w:tcPr>
            <w:tcW w:w="1530" w:type="pct"/>
            <w:shd w:val="clear" w:color="auto" w:fill="D9D9D9"/>
            <w:vAlign w:val="center"/>
            <w:hideMark/>
          </w:tcPr>
          <w:p w14:paraId="2B6E1465"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Impairment loss on a revalued asset can be applied against revaluation reserve by class of assets.</w:t>
            </w:r>
          </w:p>
        </w:tc>
      </w:tr>
      <w:tr w:rsidR="001938D9" w:rsidRPr="001938D9" w14:paraId="6CFCD2DE" w14:textId="77777777" w:rsidTr="00897E66">
        <w:trPr>
          <w:trHeight w:val="376"/>
        </w:trPr>
        <w:tc>
          <w:tcPr>
            <w:tcW w:w="335" w:type="pct"/>
            <w:noWrap/>
            <w:vAlign w:val="center"/>
            <w:hideMark/>
          </w:tcPr>
          <w:p w14:paraId="6586975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137</w:t>
            </w:r>
          </w:p>
        </w:tc>
        <w:tc>
          <w:tcPr>
            <w:tcW w:w="1926" w:type="pct"/>
            <w:vAlign w:val="center"/>
            <w:hideMark/>
          </w:tcPr>
          <w:p w14:paraId="7768F943"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Provisions, Contingent Liabilities and Contingent Assets</w:t>
            </w:r>
          </w:p>
        </w:tc>
        <w:tc>
          <w:tcPr>
            <w:tcW w:w="1209" w:type="pct"/>
            <w:shd w:val="clear" w:color="auto" w:fill="A6A6A6"/>
            <w:noWrap/>
            <w:vAlign w:val="center"/>
            <w:hideMark/>
          </w:tcPr>
          <w:p w14:paraId="112F6791"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2A4F2A0"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1E7A71C6" w14:textId="77777777" w:rsidTr="00897E66">
        <w:trPr>
          <w:trHeight w:val="863"/>
        </w:trPr>
        <w:tc>
          <w:tcPr>
            <w:tcW w:w="335" w:type="pct"/>
            <w:noWrap/>
            <w:vAlign w:val="center"/>
            <w:hideMark/>
          </w:tcPr>
          <w:p w14:paraId="3A327A5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138</w:t>
            </w:r>
          </w:p>
        </w:tc>
        <w:tc>
          <w:tcPr>
            <w:tcW w:w="1926" w:type="pct"/>
            <w:vAlign w:val="center"/>
            <w:hideMark/>
          </w:tcPr>
          <w:p w14:paraId="3D8B7661"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Intangible Assets</w:t>
            </w:r>
          </w:p>
        </w:tc>
        <w:tc>
          <w:tcPr>
            <w:tcW w:w="1209" w:type="pct"/>
            <w:shd w:val="clear" w:color="auto" w:fill="A6A6A6"/>
            <w:vAlign w:val="center"/>
            <w:hideMark/>
          </w:tcPr>
          <w:p w14:paraId="2A4931DE"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individual asset.</w:t>
            </w:r>
          </w:p>
        </w:tc>
        <w:tc>
          <w:tcPr>
            <w:tcW w:w="1530" w:type="pct"/>
            <w:shd w:val="clear" w:color="auto" w:fill="D9D9D9"/>
            <w:vAlign w:val="center"/>
            <w:hideMark/>
          </w:tcPr>
          <w:p w14:paraId="550AE831" w14:textId="77777777" w:rsidR="001938D9" w:rsidRPr="001938D9" w:rsidRDefault="001938D9" w:rsidP="001A4A5A">
            <w:pPr>
              <w:spacing w:before="0"/>
              <w:jc w:val="center"/>
              <w:rPr>
                <w:rFonts w:eastAsia="Times New Roman" w:cs="Arial"/>
                <w:color w:val="000000"/>
                <w:spacing w:val="2"/>
                <w:lang w:eastAsia="en-AU"/>
              </w:rPr>
            </w:pPr>
            <w:r w:rsidRPr="001938D9">
              <w:rPr>
                <w:rFonts w:eastAsia="Times New Roman" w:cs="Arial"/>
                <w:color w:val="000000"/>
                <w:spacing w:val="2"/>
                <w:lang w:eastAsia="en-AU"/>
              </w:rPr>
              <w:t>Revaluation increments and decrements are offset by class of assets.</w:t>
            </w:r>
          </w:p>
        </w:tc>
      </w:tr>
      <w:tr w:rsidR="001938D9" w:rsidRPr="001938D9" w14:paraId="259990A9" w14:textId="77777777" w:rsidTr="00897E66">
        <w:trPr>
          <w:trHeight w:val="300"/>
        </w:trPr>
        <w:tc>
          <w:tcPr>
            <w:tcW w:w="335" w:type="pct"/>
            <w:noWrap/>
            <w:vAlign w:val="center"/>
            <w:hideMark/>
          </w:tcPr>
          <w:p w14:paraId="5A6B87D4"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140</w:t>
            </w:r>
          </w:p>
        </w:tc>
        <w:tc>
          <w:tcPr>
            <w:tcW w:w="1926" w:type="pct"/>
            <w:vAlign w:val="center"/>
            <w:hideMark/>
          </w:tcPr>
          <w:p w14:paraId="6A46B41E" w14:textId="77777777"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Investment Property</w:t>
            </w:r>
          </w:p>
        </w:tc>
        <w:tc>
          <w:tcPr>
            <w:tcW w:w="1209" w:type="pct"/>
            <w:shd w:val="clear" w:color="auto" w:fill="A6A6A6"/>
            <w:noWrap/>
            <w:vAlign w:val="center"/>
            <w:hideMark/>
          </w:tcPr>
          <w:p w14:paraId="3578D684"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77CA43D7" w14:textId="77777777" w:rsidR="001938D9" w:rsidRPr="001938D9" w:rsidRDefault="001938D9" w:rsidP="001A4A5A">
            <w:pPr>
              <w:spacing w:before="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064A10B3" w14:textId="77777777" w:rsidTr="00897E66">
        <w:trPr>
          <w:trHeight w:val="404"/>
        </w:trPr>
        <w:tc>
          <w:tcPr>
            <w:tcW w:w="335" w:type="pct"/>
            <w:noWrap/>
            <w:vAlign w:val="center"/>
            <w:hideMark/>
          </w:tcPr>
          <w:p w14:paraId="0F4F591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141</w:t>
            </w:r>
          </w:p>
        </w:tc>
        <w:tc>
          <w:tcPr>
            <w:tcW w:w="1926" w:type="pct"/>
            <w:vAlign w:val="center"/>
            <w:hideMark/>
          </w:tcPr>
          <w:p w14:paraId="721AB6CD" w14:textId="00D756B8" w:rsidR="001938D9" w:rsidRPr="001938D9" w:rsidRDefault="001938D9" w:rsidP="001A4A5A">
            <w:pPr>
              <w:spacing w:before="0"/>
              <w:rPr>
                <w:rFonts w:eastAsia="Times New Roman" w:cs="Arial"/>
                <w:color w:val="000000"/>
                <w:spacing w:val="2"/>
                <w:lang w:eastAsia="en-AU"/>
              </w:rPr>
            </w:pPr>
            <w:r w:rsidRPr="001938D9">
              <w:rPr>
                <w:rFonts w:eastAsia="Times New Roman" w:cs="Arial"/>
                <w:color w:val="000000"/>
                <w:spacing w:val="2"/>
                <w:lang w:eastAsia="en-AU"/>
              </w:rPr>
              <w:t>Agriculture</w:t>
            </w:r>
            <w:r w:rsidRPr="001938D9">
              <w:rPr>
                <w:rFonts w:eastAsia="Times New Roman" w:cs="Arial"/>
                <w:color w:val="000000"/>
                <w:spacing w:val="2"/>
                <w:vertAlign w:val="superscript"/>
                <w:lang w:eastAsia="en-AU"/>
              </w:rPr>
              <w:footnoteReference w:id="4"/>
            </w:r>
          </w:p>
        </w:tc>
        <w:tc>
          <w:tcPr>
            <w:tcW w:w="1209" w:type="pct"/>
            <w:shd w:val="clear" w:color="auto" w:fill="A6A6A6"/>
            <w:vAlign w:val="center"/>
            <w:hideMark/>
          </w:tcPr>
          <w:p w14:paraId="05E3CDB0" w14:textId="77777777" w:rsidR="001938D9" w:rsidRPr="001938D9" w:rsidRDefault="001938D9" w:rsidP="001A4A5A">
            <w:pPr>
              <w:spacing w:before="0"/>
              <w:jc w:val="center"/>
              <w:rPr>
                <w:rFonts w:eastAsia="Times New Roman" w:cs="Arial"/>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0F568C1E" w14:textId="77777777" w:rsidR="001938D9" w:rsidRPr="001938D9" w:rsidRDefault="001938D9" w:rsidP="001A4A5A">
            <w:pPr>
              <w:spacing w:before="0"/>
              <w:jc w:val="center"/>
              <w:rPr>
                <w:rFonts w:eastAsia="Times New Roman" w:cs="Arial"/>
                <w:color w:val="000000"/>
                <w:spacing w:val="2"/>
                <w:lang w:eastAsia="en-AU"/>
              </w:rPr>
            </w:pPr>
            <w:r w:rsidRPr="001938D9">
              <w:rPr>
                <w:rFonts w:ascii="Wingdings 2" w:eastAsia="Times New Roman" w:hAnsi="Wingdings 2" w:cs="Times New Roman"/>
                <w:color w:val="000000"/>
                <w:spacing w:val="2"/>
                <w:lang w:eastAsia="en-AU"/>
              </w:rPr>
              <w:t></w:t>
            </w:r>
            <w:r w:rsidRPr="001938D9">
              <w:rPr>
                <w:rFonts w:eastAsia="Times New Roman" w:cs="Arial"/>
                <w:color w:val="000000"/>
                <w:spacing w:val="2"/>
                <w:lang w:eastAsia="en-AU"/>
              </w:rPr>
              <w:t xml:space="preserve"> </w:t>
            </w:r>
          </w:p>
        </w:tc>
      </w:tr>
      <w:tr w:rsidR="001938D9" w:rsidRPr="001938D9" w14:paraId="7C1BDDFA" w14:textId="77777777" w:rsidTr="00897E66">
        <w:trPr>
          <w:trHeight w:val="300"/>
        </w:trPr>
        <w:tc>
          <w:tcPr>
            <w:tcW w:w="335" w:type="pct"/>
            <w:noWrap/>
            <w:vAlign w:val="center"/>
            <w:hideMark/>
          </w:tcPr>
          <w:p w14:paraId="626F6689"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1004</w:t>
            </w:r>
          </w:p>
        </w:tc>
        <w:tc>
          <w:tcPr>
            <w:tcW w:w="1926" w:type="pct"/>
            <w:vAlign w:val="center"/>
            <w:hideMark/>
          </w:tcPr>
          <w:p w14:paraId="66BD88DB" w14:textId="6026889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Contributions</w:t>
            </w:r>
            <w:r w:rsidRPr="001938D9">
              <w:rPr>
                <w:rFonts w:eastAsia="Times New Roman" w:cs="Arial"/>
                <w:color w:val="000000"/>
                <w:spacing w:val="2"/>
                <w:vertAlign w:val="superscript"/>
                <w:lang w:eastAsia="en-AU"/>
              </w:rPr>
              <w:footnoteReference w:id="5"/>
            </w:r>
          </w:p>
        </w:tc>
        <w:tc>
          <w:tcPr>
            <w:tcW w:w="1209" w:type="pct"/>
            <w:shd w:val="clear" w:color="auto" w:fill="A6A6A6"/>
            <w:noWrap/>
            <w:vAlign w:val="center"/>
            <w:hideMark/>
          </w:tcPr>
          <w:p w14:paraId="103839C4"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noWrap/>
            <w:vAlign w:val="center"/>
            <w:hideMark/>
          </w:tcPr>
          <w:p w14:paraId="580CBF83"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4E0177B" w14:textId="77777777" w:rsidTr="00897E66">
        <w:trPr>
          <w:trHeight w:val="300"/>
        </w:trPr>
        <w:tc>
          <w:tcPr>
            <w:tcW w:w="335" w:type="pct"/>
            <w:noWrap/>
            <w:vAlign w:val="center"/>
            <w:hideMark/>
          </w:tcPr>
          <w:p w14:paraId="541FB46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lastRenderedPageBreak/>
              <w:t>1023</w:t>
            </w:r>
          </w:p>
        </w:tc>
        <w:tc>
          <w:tcPr>
            <w:tcW w:w="1926" w:type="pct"/>
            <w:vAlign w:val="center"/>
            <w:hideMark/>
          </w:tcPr>
          <w:p w14:paraId="5F58EBE5" w14:textId="1B78F540"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General Insurance Contracts</w:t>
            </w:r>
            <w:r w:rsidR="003F20AA" w:rsidRPr="001938D9">
              <w:rPr>
                <w:rFonts w:eastAsia="Times New Roman" w:cs="Arial"/>
                <w:color w:val="000000"/>
                <w:spacing w:val="2"/>
                <w:vertAlign w:val="superscript"/>
                <w:lang w:eastAsia="en-AU"/>
              </w:rPr>
              <w:footnoteReference w:id="6"/>
            </w:r>
          </w:p>
        </w:tc>
        <w:tc>
          <w:tcPr>
            <w:tcW w:w="1209" w:type="pct"/>
            <w:shd w:val="clear" w:color="auto" w:fill="A6A6A6"/>
            <w:vAlign w:val="center"/>
            <w:hideMark/>
          </w:tcPr>
          <w:p w14:paraId="715EA287"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568E1C4A" w14:textId="0C7EE00E"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8B61CD3" w14:textId="77777777" w:rsidTr="001A4A5A">
        <w:trPr>
          <w:trHeight w:val="368"/>
        </w:trPr>
        <w:tc>
          <w:tcPr>
            <w:tcW w:w="335" w:type="pct"/>
            <w:noWrap/>
            <w:vAlign w:val="center"/>
            <w:hideMark/>
          </w:tcPr>
          <w:p w14:paraId="43F17FE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1038</w:t>
            </w:r>
          </w:p>
        </w:tc>
        <w:tc>
          <w:tcPr>
            <w:tcW w:w="1926" w:type="pct"/>
            <w:vAlign w:val="center"/>
            <w:hideMark/>
          </w:tcPr>
          <w:p w14:paraId="22C5BAC9" w14:textId="22AE42A8"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Life Insurance Contracts</w:t>
            </w:r>
            <w:r w:rsidR="003F20AA">
              <w:rPr>
                <w:rFonts w:eastAsia="Times New Roman" w:cs="Arial"/>
                <w:color w:val="000000"/>
                <w:spacing w:val="2"/>
                <w:vertAlign w:val="superscript"/>
                <w:lang w:eastAsia="en-AU"/>
              </w:rPr>
              <w:t>6</w:t>
            </w:r>
          </w:p>
        </w:tc>
        <w:tc>
          <w:tcPr>
            <w:tcW w:w="1209" w:type="pct"/>
            <w:shd w:val="clear" w:color="auto" w:fill="A6A6A6"/>
            <w:vAlign w:val="center"/>
            <w:hideMark/>
          </w:tcPr>
          <w:p w14:paraId="169B6506" w14:textId="247AB538" w:rsidR="001938D9" w:rsidRPr="001938D9" w:rsidRDefault="000361DE" w:rsidP="001938D9">
            <w:pPr>
              <w:spacing w:before="20" w:after="20"/>
              <w:jc w:val="center"/>
              <w:rPr>
                <w:rFonts w:ascii="Calibri" w:eastAsia="Times New Roman" w:hAnsi="Calibri"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627F4CE7" w14:textId="1286F43F"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4CA065AC" w14:textId="77777777" w:rsidTr="00897E66">
        <w:trPr>
          <w:trHeight w:val="300"/>
        </w:trPr>
        <w:tc>
          <w:tcPr>
            <w:tcW w:w="335" w:type="pct"/>
            <w:noWrap/>
            <w:vAlign w:val="center"/>
            <w:hideMark/>
          </w:tcPr>
          <w:p w14:paraId="0D7C9B81"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1039</w:t>
            </w:r>
          </w:p>
        </w:tc>
        <w:tc>
          <w:tcPr>
            <w:tcW w:w="1926" w:type="pct"/>
            <w:vAlign w:val="center"/>
            <w:hideMark/>
          </w:tcPr>
          <w:p w14:paraId="006656F8"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Concise Financial Reports</w:t>
            </w:r>
          </w:p>
        </w:tc>
        <w:tc>
          <w:tcPr>
            <w:tcW w:w="1209" w:type="pct"/>
            <w:shd w:val="clear" w:color="auto" w:fill="A6A6A6"/>
            <w:vAlign w:val="center"/>
            <w:hideMark/>
          </w:tcPr>
          <w:p w14:paraId="712316EC"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6A3349BA"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4139CB30" w14:textId="77777777" w:rsidTr="00897E66">
        <w:trPr>
          <w:trHeight w:val="300"/>
        </w:trPr>
        <w:tc>
          <w:tcPr>
            <w:tcW w:w="335" w:type="pct"/>
            <w:noWrap/>
            <w:vAlign w:val="center"/>
            <w:hideMark/>
          </w:tcPr>
          <w:p w14:paraId="4069500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1048</w:t>
            </w:r>
          </w:p>
        </w:tc>
        <w:tc>
          <w:tcPr>
            <w:tcW w:w="1926" w:type="pct"/>
            <w:vAlign w:val="center"/>
            <w:hideMark/>
          </w:tcPr>
          <w:p w14:paraId="2330D106"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Interpretation of Standards</w:t>
            </w:r>
          </w:p>
        </w:tc>
        <w:tc>
          <w:tcPr>
            <w:tcW w:w="1209" w:type="pct"/>
            <w:shd w:val="clear" w:color="auto" w:fill="A6A6A6"/>
            <w:noWrap/>
            <w:vAlign w:val="center"/>
            <w:hideMark/>
          </w:tcPr>
          <w:p w14:paraId="22CFA5E7"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131C56C7"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400CBE1F" w14:textId="77777777" w:rsidTr="00897E66">
        <w:trPr>
          <w:trHeight w:val="600"/>
        </w:trPr>
        <w:tc>
          <w:tcPr>
            <w:tcW w:w="335" w:type="pct"/>
            <w:noWrap/>
            <w:vAlign w:val="center"/>
            <w:hideMark/>
          </w:tcPr>
          <w:p w14:paraId="6134C16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1049</w:t>
            </w:r>
          </w:p>
        </w:tc>
        <w:tc>
          <w:tcPr>
            <w:tcW w:w="1926" w:type="pct"/>
            <w:vAlign w:val="center"/>
            <w:hideMark/>
          </w:tcPr>
          <w:p w14:paraId="3FEDA6BA"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Whole of Government and General Government Sector Financial Reporting</w:t>
            </w:r>
          </w:p>
        </w:tc>
        <w:tc>
          <w:tcPr>
            <w:tcW w:w="1209" w:type="pct"/>
            <w:shd w:val="clear" w:color="auto" w:fill="A6A6A6"/>
            <w:vAlign w:val="center"/>
            <w:hideMark/>
          </w:tcPr>
          <w:p w14:paraId="1B21FA86"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vAlign w:val="center"/>
            <w:hideMark/>
          </w:tcPr>
          <w:p w14:paraId="0194AF11"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39AD024" w14:textId="77777777" w:rsidTr="00897E66">
        <w:trPr>
          <w:trHeight w:val="70"/>
        </w:trPr>
        <w:tc>
          <w:tcPr>
            <w:tcW w:w="335" w:type="pct"/>
            <w:noWrap/>
            <w:vAlign w:val="center"/>
            <w:hideMark/>
          </w:tcPr>
          <w:p w14:paraId="43E685C7"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1050</w:t>
            </w:r>
          </w:p>
        </w:tc>
        <w:tc>
          <w:tcPr>
            <w:tcW w:w="1926" w:type="pct"/>
            <w:vAlign w:val="center"/>
            <w:hideMark/>
          </w:tcPr>
          <w:p w14:paraId="7DA6F26A"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Administered Items</w:t>
            </w:r>
          </w:p>
        </w:tc>
        <w:tc>
          <w:tcPr>
            <w:tcW w:w="1209" w:type="pct"/>
            <w:shd w:val="clear" w:color="auto" w:fill="A6A6A6"/>
            <w:vAlign w:val="center"/>
            <w:hideMark/>
          </w:tcPr>
          <w:p w14:paraId="08AEC585"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Calibri" w:eastAsia="Times New Roman" w:hAnsi="Calibri" w:cs="Times New Roman"/>
                <w:color w:val="000000"/>
                <w:spacing w:val="2"/>
                <w:lang w:eastAsia="en-AU"/>
              </w:rPr>
              <w:t>NR</w:t>
            </w:r>
          </w:p>
        </w:tc>
        <w:tc>
          <w:tcPr>
            <w:tcW w:w="1530" w:type="pct"/>
            <w:shd w:val="clear" w:color="auto" w:fill="D9D9D9"/>
            <w:vAlign w:val="center"/>
            <w:hideMark/>
          </w:tcPr>
          <w:p w14:paraId="33DC4048"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57A70A05" w14:textId="77777777" w:rsidTr="00897E66">
        <w:trPr>
          <w:trHeight w:val="70"/>
        </w:trPr>
        <w:tc>
          <w:tcPr>
            <w:tcW w:w="335" w:type="pct"/>
            <w:noWrap/>
            <w:vAlign w:val="center"/>
            <w:hideMark/>
          </w:tcPr>
          <w:p w14:paraId="052FC195"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1051</w:t>
            </w:r>
          </w:p>
        </w:tc>
        <w:tc>
          <w:tcPr>
            <w:tcW w:w="1926" w:type="pct"/>
            <w:vAlign w:val="center"/>
            <w:hideMark/>
          </w:tcPr>
          <w:p w14:paraId="14223611"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Land Under Roads</w:t>
            </w:r>
          </w:p>
        </w:tc>
        <w:tc>
          <w:tcPr>
            <w:tcW w:w="1209" w:type="pct"/>
            <w:shd w:val="clear" w:color="auto" w:fill="A6A6A6"/>
            <w:noWrap/>
            <w:vAlign w:val="center"/>
            <w:hideMark/>
          </w:tcPr>
          <w:p w14:paraId="7F80E1D8"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E651A1A"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22A33EB0" w14:textId="77777777" w:rsidTr="00897E66">
        <w:trPr>
          <w:trHeight w:val="300"/>
        </w:trPr>
        <w:tc>
          <w:tcPr>
            <w:tcW w:w="335" w:type="pct"/>
            <w:noWrap/>
            <w:vAlign w:val="center"/>
            <w:hideMark/>
          </w:tcPr>
          <w:p w14:paraId="3E3852F5"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1052</w:t>
            </w:r>
          </w:p>
        </w:tc>
        <w:tc>
          <w:tcPr>
            <w:tcW w:w="1926" w:type="pct"/>
            <w:vAlign w:val="center"/>
            <w:hideMark/>
          </w:tcPr>
          <w:p w14:paraId="11D3657C"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Disaggregated Disclosures</w:t>
            </w:r>
          </w:p>
        </w:tc>
        <w:tc>
          <w:tcPr>
            <w:tcW w:w="1209" w:type="pct"/>
            <w:shd w:val="clear" w:color="auto" w:fill="A6A6A6"/>
            <w:noWrap/>
            <w:vAlign w:val="center"/>
            <w:hideMark/>
          </w:tcPr>
          <w:p w14:paraId="75E90FC6"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090F14F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FE94A5B" w14:textId="77777777" w:rsidTr="00897E66">
        <w:trPr>
          <w:trHeight w:val="70"/>
        </w:trPr>
        <w:tc>
          <w:tcPr>
            <w:tcW w:w="335" w:type="pct"/>
            <w:noWrap/>
            <w:vAlign w:val="center"/>
          </w:tcPr>
          <w:p w14:paraId="6BA8B74F"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1053</w:t>
            </w:r>
          </w:p>
        </w:tc>
        <w:tc>
          <w:tcPr>
            <w:tcW w:w="1926" w:type="pct"/>
            <w:vAlign w:val="center"/>
          </w:tcPr>
          <w:p w14:paraId="428D3594"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Application of Tiers of Australian Accounting Standards</w:t>
            </w:r>
          </w:p>
        </w:tc>
        <w:tc>
          <w:tcPr>
            <w:tcW w:w="1209" w:type="pct"/>
            <w:shd w:val="clear" w:color="auto" w:fill="A6A6A6"/>
            <w:noWrap/>
            <w:vAlign w:val="center"/>
          </w:tcPr>
          <w:p w14:paraId="3E4D4D8D"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tcPr>
          <w:p w14:paraId="36A4EB7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50D22C73" w14:textId="77777777" w:rsidTr="00897E66">
        <w:trPr>
          <w:trHeight w:val="70"/>
        </w:trPr>
        <w:tc>
          <w:tcPr>
            <w:tcW w:w="335" w:type="pct"/>
            <w:noWrap/>
            <w:vAlign w:val="center"/>
            <w:hideMark/>
          </w:tcPr>
          <w:p w14:paraId="63D66C02"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1054</w:t>
            </w:r>
          </w:p>
        </w:tc>
        <w:tc>
          <w:tcPr>
            <w:tcW w:w="1926" w:type="pct"/>
            <w:vAlign w:val="center"/>
            <w:hideMark/>
          </w:tcPr>
          <w:p w14:paraId="33FA78BF"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Australian Additional Disclosures</w:t>
            </w:r>
          </w:p>
        </w:tc>
        <w:tc>
          <w:tcPr>
            <w:tcW w:w="1209" w:type="pct"/>
            <w:shd w:val="clear" w:color="auto" w:fill="A6A6A6"/>
            <w:noWrap/>
            <w:vAlign w:val="center"/>
            <w:hideMark/>
          </w:tcPr>
          <w:p w14:paraId="2AF7001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60CA6D5B"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07FCDC5" w14:textId="77777777" w:rsidTr="00897E66">
        <w:trPr>
          <w:trHeight w:val="300"/>
        </w:trPr>
        <w:tc>
          <w:tcPr>
            <w:tcW w:w="335" w:type="pct"/>
            <w:noWrap/>
            <w:vAlign w:val="center"/>
            <w:hideMark/>
          </w:tcPr>
          <w:p w14:paraId="2A00234D"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1055</w:t>
            </w:r>
          </w:p>
        </w:tc>
        <w:tc>
          <w:tcPr>
            <w:tcW w:w="1926" w:type="pct"/>
            <w:vAlign w:val="center"/>
            <w:hideMark/>
          </w:tcPr>
          <w:p w14:paraId="62570D8C"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Budgetary Reporting</w:t>
            </w:r>
          </w:p>
        </w:tc>
        <w:tc>
          <w:tcPr>
            <w:tcW w:w="1209" w:type="pct"/>
            <w:shd w:val="clear" w:color="auto" w:fill="A6A6A6"/>
            <w:vAlign w:val="center"/>
            <w:hideMark/>
          </w:tcPr>
          <w:p w14:paraId="40AFA620"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noWrap/>
            <w:vAlign w:val="center"/>
            <w:hideMark/>
          </w:tcPr>
          <w:p w14:paraId="2D84F38A"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6F873F05" w14:textId="77777777" w:rsidTr="00897E66">
        <w:trPr>
          <w:trHeight w:val="300"/>
        </w:trPr>
        <w:tc>
          <w:tcPr>
            <w:tcW w:w="335" w:type="pct"/>
            <w:noWrap/>
            <w:vAlign w:val="center"/>
            <w:hideMark/>
          </w:tcPr>
          <w:p w14:paraId="2205FA33"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1056</w:t>
            </w:r>
          </w:p>
        </w:tc>
        <w:tc>
          <w:tcPr>
            <w:tcW w:w="1926" w:type="pct"/>
            <w:vAlign w:val="center"/>
            <w:hideMark/>
          </w:tcPr>
          <w:p w14:paraId="5A5C4520"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Superannuation Entities</w:t>
            </w:r>
          </w:p>
        </w:tc>
        <w:tc>
          <w:tcPr>
            <w:tcW w:w="1209" w:type="pct"/>
            <w:shd w:val="clear" w:color="auto" w:fill="A6A6A6"/>
            <w:vAlign w:val="center"/>
            <w:hideMark/>
          </w:tcPr>
          <w:p w14:paraId="20D4CB39"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c>
          <w:tcPr>
            <w:tcW w:w="1530" w:type="pct"/>
            <w:shd w:val="clear" w:color="auto" w:fill="D9D9D9"/>
            <w:vAlign w:val="center"/>
            <w:hideMark/>
          </w:tcPr>
          <w:p w14:paraId="1E850115" w14:textId="77777777" w:rsidR="001938D9" w:rsidRPr="001938D9" w:rsidRDefault="001938D9" w:rsidP="001938D9">
            <w:pPr>
              <w:spacing w:before="20" w:after="20"/>
              <w:jc w:val="center"/>
              <w:rPr>
                <w:rFonts w:ascii="Calibri" w:eastAsia="Times New Roman" w:hAnsi="Calibri" w:cs="Times New Roman"/>
                <w:color w:val="000000"/>
                <w:spacing w:val="2"/>
                <w:lang w:eastAsia="en-AU"/>
              </w:rPr>
            </w:pPr>
            <w:r w:rsidRPr="001938D9">
              <w:rPr>
                <w:rFonts w:ascii="Calibri" w:eastAsia="Times New Roman" w:hAnsi="Calibri" w:cs="Times New Roman"/>
                <w:color w:val="000000"/>
                <w:spacing w:val="2"/>
                <w:lang w:eastAsia="en-AU"/>
              </w:rPr>
              <w:sym w:font="Wingdings 2" w:char="F04F"/>
            </w:r>
          </w:p>
        </w:tc>
      </w:tr>
      <w:tr w:rsidR="001938D9" w:rsidRPr="001938D9" w14:paraId="35744A12" w14:textId="77777777" w:rsidTr="00897E66">
        <w:trPr>
          <w:trHeight w:val="300"/>
        </w:trPr>
        <w:tc>
          <w:tcPr>
            <w:tcW w:w="335" w:type="pct"/>
            <w:noWrap/>
            <w:vAlign w:val="center"/>
            <w:hideMark/>
          </w:tcPr>
          <w:p w14:paraId="32898C1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1057</w:t>
            </w:r>
          </w:p>
        </w:tc>
        <w:tc>
          <w:tcPr>
            <w:tcW w:w="1926" w:type="pct"/>
            <w:vAlign w:val="center"/>
            <w:hideMark/>
          </w:tcPr>
          <w:p w14:paraId="61D03023" w14:textId="77777777" w:rsidR="001938D9" w:rsidRPr="001938D9" w:rsidRDefault="001938D9" w:rsidP="001938D9">
            <w:pPr>
              <w:spacing w:before="20" w:after="20"/>
              <w:rPr>
                <w:rFonts w:eastAsia="Times New Roman" w:cs="Arial"/>
                <w:color w:val="000000"/>
                <w:spacing w:val="2"/>
                <w:lang w:eastAsia="en-AU"/>
              </w:rPr>
            </w:pPr>
            <w:r w:rsidRPr="001938D9">
              <w:rPr>
                <w:rFonts w:eastAsia="Times New Roman" w:cs="Arial"/>
                <w:color w:val="000000"/>
                <w:spacing w:val="2"/>
                <w:lang w:eastAsia="en-AU"/>
              </w:rPr>
              <w:t>Application of Australian Accounting Standards</w:t>
            </w:r>
          </w:p>
        </w:tc>
        <w:tc>
          <w:tcPr>
            <w:tcW w:w="1209" w:type="pct"/>
            <w:shd w:val="clear" w:color="auto" w:fill="A6A6A6"/>
            <w:noWrap/>
            <w:vAlign w:val="center"/>
            <w:hideMark/>
          </w:tcPr>
          <w:p w14:paraId="0AD38A22"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c>
          <w:tcPr>
            <w:tcW w:w="1530" w:type="pct"/>
            <w:shd w:val="clear" w:color="auto" w:fill="D9D9D9"/>
            <w:noWrap/>
            <w:vAlign w:val="center"/>
            <w:hideMark/>
          </w:tcPr>
          <w:p w14:paraId="7066DE8A" w14:textId="77777777" w:rsidR="001938D9" w:rsidRPr="001938D9" w:rsidRDefault="001938D9" w:rsidP="001938D9">
            <w:pPr>
              <w:spacing w:before="20" w:after="20"/>
              <w:jc w:val="center"/>
              <w:rPr>
                <w:rFonts w:ascii="Wingdings 2" w:eastAsia="Times New Roman" w:hAnsi="Wingdings 2" w:cs="Times New Roman"/>
                <w:color w:val="000000"/>
                <w:spacing w:val="2"/>
                <w:lang w:eastAsia="en-AU"/>
              </w:rPr>
            </w:pPr>
            <w:r w:rsidRPr="001938D9">
              <w:rPr>
                <w:rFonts w:ascii="Wingdings 2" w:eastAsia="Times New Roman" w:hAnsi="Wingdings 2" w:cs="Times New Roman"/>
                <w:color w:val="000000"/>
                <w:spacing w:val="2"/>
                <w:lang w:eastAsia="en-AU"/>
              </w:rPr>
              <w:t></w:t>
            </w:r>
          </w:p>
        </w:tc>
      </w:tr>
      <w:tr w:rsidR="001938D9" w:rsidRPr="001938D9" w14:paraId="3EF9112E" w14:textId="77777777" w:rsidTr="00897E66">
        <w:trPr>
          <w:trHeight w:val="234"/>
        </w:trPr>
        <w:tc>
          <w:tcPr>
            <w:tcW w:w="335" w:type="pct"/>
            <w:noWrap/>
            <w:vAlign w:val="center"/>
            <w:hideMark/>
          </w:tcPr>
          <w:p w14:paraId="494A6AC8"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lang w:eastAsia="en-AU"/>
              </w:rPr>
              <w:t>1058</w:t>
            </w:r>
          </w:p>
        </w:tc>
        <w:tc>
          <w:tcPr>
            <w:tcW w:w="1926" w:type="pct"/>
            <w:vAlign w:val="center"/>
            <w:hideMark/>
          </w:tcPr>
          <w:p w14:paraId="46EF571E" w14:textId="77777777" w:rsidR="001938D9" w:rsidRPr="001938D9" w:rsidRDefault="001938D9" w:rsidP="001938D9">
            <w:pPr>
              <w:spacing w:before="20" w:after="20"/>
              <w:rPr>
                <w:rFonts w:eastAsia="Times New Roman" w:cs="Arial"/>
                <w:color w:val="000000"/>
                <w:spacing w:val="2"/>
                <w:vertAlign w:val="superscript"/>
                <w:lang w:eastAsia="en-AU"/>
              </w:rPr>
            </w:pPr>
            <w:r w:rsidRPr="009B1925">
              <w:rPr>
                <w:rFonts w:eastAsia="Times New Roman" w:cs="Arial"/>
                <w:color w:val="000000"/>
                <w:spacing w:val="2"/>
                <w:lang w:eastAsia="en-AU"/>
              </w:rPr>
              <w:t>Income of Not-for-Profit Entities</w:t>
            </w:r>
          </w:p>
        </w:tc>
        <w:tc>
          <w:tcPr>
            <w:tcW w:w="1209" w:type="pct"/>
            <w:shd w:val="clear" w:color="auto" w:fill="A6A6A6"/>
            <w:vAlign w:val="center"/>
            <w:hideMark/>
          </w:tcPr>
          <w:p w14:paraId="66EDF948" w14:textId="77777777" w:rsidR="001938D9" w:rsidRPr="003427DB" w:rsidRDefault="001938D9" w:rsidP="001938D9">
            <w:pPr>
              <w:spacing w:before="20" w:after="20"/>
              <w:jc w:val="center"/>
              <w:rPr>
                <w:rFonts w:ascii="Calibri" w:eastAsia="Times New Roman" w:hAnsi="Calibri" w:cs="Times New Roman"/>
                <w:spacing w:val="2"/>
                <w:lang w:eastAsia="en-AU"/>
              </w:rPr>
            </w:pPr>
            <w:r w:rsidRPr="003427DB">
              <w:rPr>
                <w:rFonts w:ascii="Calibri" w:eastAsia="Times New Roman" w:hAnsi="Calibri" w:cs="Times New Roman"/>
                <w:spacing w:val="2"/>
                <w:lang w:eastAsia="en-AU"/>
              </w:rPr>
              <w:sym w:font="Wingdings 2" w:char="F04F"/>
            </w:r>
          </w:p>
        </w:tc>
        <w:tc>
          <w:tcPr>
            <w:tcW w:w="1530" w:type="pct"/>
            <w:shd w:val="clear" w:color="auto" w:fill="D9D9D9"/>
            <w:vAlign w:val="center"/>
            <w:hideMark/>
          </w:tcPr>
          <w:p w14:paraId="528121C3" w14:textId="14E36A01" w:rsidR="001938D9" w:rsidRPr="003427DB" w:rsidRDefault="00897E66" w:rsidP="001938D9">
            <w:pPr>
              <w:spacing w:before="20" w:after="20"/>
              <w:jc w:val="center"/>
              <w:rPr>
                <w:rFonts w:eastAsia="Times New Roman" w:cs="Arial"/>
                <w:spacing w:val="2"/>
                <w:lang w:eastAsia="en-AU"/>
              </w:rPr>
            </w:pPr>
            <w:r w:rsidRPr="003427DB">
              <w:rPr>
                <w:rFonts w:eastAsia="Times New Roman" w:cs="Arial"/>
                <w:spacing w:val="2"/>
                <w:lang w:eastAsia="en-AU"/>
              </w:rPr>
              <w:t xml:space="preserve"> </w:t>
            </w:r>
            <w:r w:rsidRPr="003427DB">
              <w:rPr>
                <w:rFonts w:ascii="Wingdings 2" w:eastAsia="Times New Roman" w:hAnsi="Wingdings 2" w:cs="Times New Roman"/>
                <w:spacing w:val="2"/>
                <w:lang w:eastAsia="en-AU"/>
              </w:rPr>
              <w:t></w:t>
            </w:r>
          </w:p>
        </w:tc>
      </w:tr>
      <w:tr w:rsidR="001938D9" w:rsidRPr="001938D9" w14:paraId="7DFAE51B" w14:textId="77777777" w:rsidTr="00897E66">
        <w:trPr>
          <w:trHeight w:val="234"/>
        </w:trPr>
        <w:tc>
          <w:tcPr>
            <w:tcW w:w="335" w:type="pct"/>
            <w:noWrap/>
            <w:vAlign w:val="center"/>
          </w:tcPr>
          <w:p w14:paraId="7414D54B" w14:textId="77777777" w:rsidR="001938D9" w:rsidRPr="001938D9" w:rsidRDefault="001938D9" w:rsidP="001938D9">
            <w:pPr>
              <w:spacing w:before="20" w:after="20"/>
              <w:jc w:val="center"/>
              <w:rPr>
                <w:rFonts w:eastAsia="Times New Roman" w:cs="Arial"/>
                <w:color w:val="000000"/>
                <w:spacing w:val="2"/>
                <w:lang w:eastAsia="en-AU"/>
              </w:rPr>
            </w:pPr>
            <w:r w:rsidRPr="001938D9">
              <w:rPr>
                <w:rFonts w:eastAsia="Times New Roman" w:cs="Arial"/>
                <w:color w:val="000000"/>
                <w:spacing w:val="2"/>
              </w:rPr>
              <w:t>1059</w:t>
            </w:r>
          </w:p>
        </w:tc>
        <w:tc>
          <w:tcPr>
            <w:tcW w:w="1926" w:type="pct"/>
            <w:vAlign w:val="center"/>
          </w:tcPr>
          <w:p w14:paraId="5E47984E" w14:textId="4F22BAC3" w:rsidR="001938D9" w:rsidRPr="003427DB" w:rsidRDefault="001938D9" w:rsidP="001938D9">
            <w:pPr>
              <w:spacing w:before="20" w:after="20"/>
              <w:rPr>
                <w:rFonts w:eastAsia="Times New Roman" w:cs="Arial"/>
                <w:color w:val="000000"/>
                <w:spacing w:val="2"/>
                <w:vertAlign w:val="superscript"/>
                <w:lang w:eastAsia="en-AU"/>
              </w:rPr>
            </w:pPr>
            <w:r w:rsidRPr="001938D9">
              <w:rPr>
                <w:rFonts w:eastAsia="Times New Roman" w:cs="Arial"/>
                <w:color w:val="000000"/>
                <w:spacing w:val="2"/>
              </w:rPr>
              <w:t>Service Concession Arrangements: Grantors</w:t>
            </w:r>
            <w:r w:rsidR="003427DB">
              <w:rPr>
                <w:rFonts w:eastAsia="Times New Roman" w:cs="Arial"/>
                <w:color w:val="000000"/>
                <w:spacing w:val="2"/>
                <w:vertAlign w:val="superscript"/>
              </w:rPr>
              <w:t>7</w:t>
            </w:r>
          </w:p>
        </w:tc>
        <w:tc>
          <w:tcPr>
            <w:tcW w:w="1209" w:type="pct"/>
            <w:shd w:val="clear" w:color="auto" w:fill="A6A6A6"/>
            <w:vAlign w:val="center"/>
          </w:tcPr>
          <w:p w14:paraId="7BAABE20" w14:textId="0263AA3A" w:rsidR="001938D9" w:rsidRPr="003427DB" w:rsidRDefault="009D2B09" w:rsidP="001938D9">
            <w:pPr>
              <w:spacing w:before="20" w:after="20"/>
              <w:jc w:val="center"/>
              <w:rPr>
                <w:rFonts w:ascii="Calibri" w:eastAsia="Times New Roman" w:hAnsi="Calibri" w:cs="Times New Roman"/>
                <w:spacing w:val="2"/>
                <w:lang w:eastAsia="en-AU"/>
              </w:rPr>
            </w:pPr>
            <w:r w:rsidRPr="003427DB">
              <w:rPr>
                <w:rFonts w:ascii="Wingdings 2" w:eastAsia="Times New Roman" w:hAnsi="Wingdings 2" w:cs="Times New Roman"/>
                <w:spacing w:val="2"/>
                <w:lang w:eastAsia="en-AU"/>
              </w:rPr>
              <w:t></w:t>
            </w:r>
          </w:p>
        </w:tc>
        <w:tc>
          <w:tcPr>
            <w:tcW w:w="1530" w:type="pct"/>
            <w:shd w:val="clear" w:color="auto" w:fill="D9D9D9"/>
            <w:vAlign w:val="center"/>
          </w:tcPr>
          <w:p w14:paraId="604CD100" w14:textId="1240A902" w:rsidR="001938D9" w:rsidRPr="003427DB" w:rsidRDefault="00897E66" w:rsidP="001938D9">
            <w:pPr>
              <w:spacing w:before="20" w:after="20"/>
              <w:jc w:val="center"/>
              <w:rPr>
                <w:rFonts w:eastAsia="Times New Roman" w:cs="Arial"/>
                <w:spacing w:val="2"/>
                <w:lang w:eastAsia="en-AU"/>
              </w:rPr>
            </w:pPr>
            <w:r w:rsidRPr="003427DB">
              <w:rPr>
                <w:rFonts w:eastAsia="Times New Roman" w:cs="Arial"/>
                <w:spacing w:val="2"/>
                <w:lang w:eastAsia="en-AU"/>
              </w:rPr>
              <w:t xml:space="preserve"> </w:t>
            </w:r>
            <w:r w:rsidRPr="003427DB">
              <w:rPr>
                <w:rFonts w:ascii="Wingdings 2" w:eastAsia="Times New Roman" w:hAnsi="Wingdings 2" w:cs="Times New Roman"/>
                <w:spacing w:val="2"/>
                <w:lang w:eastAsia="en-AU"/>
              </w:rPr>
              <w:t></w:t>
            </w:r>
          </w:p>
        </w:tc>
      </w:tr>
    </w:tbl>
    <w:p w14:paraId="1D344388" w14:textId="77777777" w:rsidR="001938D9" w:rsidRPr="001938D9" w:rsidRDefault="001938D9" w:rsidP="001938D9">
      <w:pPr>
        <w:keepLines/>
        <w:spacing w:before="120" w:after="0" w:line="240" w:lineRule="auto"/>
        <w:rPr>
          <w:rFonts w:ascii="Arial" w:eastAsia="Arial" w:hAnsi="Arial" w:cs="Times New Roman"/>
          <w:spacing w:val="2"/>
          <w:sz w:val="18"/>
          <w:szCs w:val="18"/>
        </w:rPr>
      </w:pPr>
    </w:p>
    <w:p w14:paraId="790F82A8" w14:textId="77777777" w:rsidR="00376AC0" w:rsidRPr="001938D9" w:rsidRDefault="00376AC0" w:rsidP="001938D9"/>
    <w:sectPr w:rsidR="00376AC0" w:rsidRPr="001938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9C7D" w14:textId="77777777" w:rsidR="003435BA" w:rsidRDefault="003435BA" w:rsidP="001938D9">
      <w:pPr>
        <w:spacing w:after="0" w:line="240" w:lineRule="auto"/>
      </w:pPr>
      <w:r>
        <w:separator/>
      </w:r>
    </w:p>
  </w:endnote>
  <w:endnote w:type="continuationSeparator" w:id="0">
    <w:p w14:paraId="12A6C4B0" w14:textId="77777777" w:rsidR="003435BA" w:rsidRDefault="003435BA" w:rsidP="0019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454F" w14:textId="257A7205" w:rsidR="009B1925" w:rsidRDefault="009B1925" w:rsidP="009B1925">
    <w:pPr>
      <w:rPr>
        <w:rFonts w:ascii="Arial" w:hAnsi="Arial" w:cs="Arial"/>
        <w:b/>
        <w:bCs/>
        <w:sz w:val="20"/>
        <w:szCs w:val="20"/>
      </w:rPr>
    </w:pPr>
  </w:p>
  <w:p w14:paraId="2933BBD8" w14:textId="77777777" w:rsidR="009B1925" w:rsidRPr="003427DB" w:rsidRDefault="009B1925" w:rsidP="009B1925">
    <w:pPr>
      <w:rPr>
        <w:rFonts w:ascii="Arial" w:hAnsi="Arial" w:cs="Arial"/>
        <w:b/>
        <w:bCs/>
        <w:color w:val="2F5496" w:themeColor="accent1" w:themeShade="BF"/>
        <w:sz w:val="20"/>
        <w:szCs w:val="20"/>
      </w:rPr>
    </w:pPr>
  </w:p>
  <w:p w14:paraId="4340B66A" w14:textId="25E1A7E7" w:rsidR="009B1925" w:rsidRPr="003427DB" w:rsidRDefault="009B1925" w:rsidP="003427DB">
    <w:pPr>
      <w:tabs>
        <w:tab w:val="left" w:pos="8287"/>
      </w:tabs>
      <w:rPr>
        <w:rFonts w:ascii="Arial" w:hAnsi="Arial" w:cs="Arial"/>
        <w:sz w:val="20"/>
        <w:szCs w:val="20"/>
      </w:rPr>
    </w:pPr>
    <w:r w:rsidRPr="003427DB">
      <w:rPr>
        <w:rFonts w:ascii="Arial" w:hAnsi="Arial" w:cs="Arial"/>
        <w:b/>
        <w:bCs/>
        <w:color w:val="2F5496" w:themeColor="accent1" w:themeShade="BF"/>
        <w:sz w:val="20"/>
        <w:szCs w:val="20"/>
      </w:rPr>
      <w:t>Guidance to Financial Reporting Direction 120</w:t>
    </w:r>
    <w:r w:rsidRPr="003427DB">
      <w:rPr>
        <w:rFonts w:ascii="Arial" w:hAnsi="Arial" w:cs="Arial"/>
        <w:b/>
        <w:bCs/>
        <w:sz w:val="20"/>
        <w:szCs w:val="20"/>
      </w:rPr>
      <w:tab/>
    </w:r>
    <w:r w:rsidRPr="003427DB">
      <w:rPr>
        <w:rFonts w:ascii="Arial" w:hAnsi="Arial" w:cs="Arial"/>
        <w:sz w:val="20"/>
        <w:szCs w:val="20"/>
      </w:rPr>
      <w:t xml:space="preserve">Page </w:t>
    </w:r>
    <w:r w:rsidRPr="003427DB">
      <w:rPr>
        <w:rStyle w:val="PageNumber"/>
        <w:rFonts w:ascii="Arial" w:hAnsi="Arial" w:cs="Arial"/>
        <w:color w:val="auto"/>
        <w:sz w:val="20"/>
        <w:szCs w:val="20"/>
      </w:rPr>
      <w:fldChar w:fldCharType="begin"/>
    </w:r>
    <w:r w:rsidRPr="003427DB">
      <w:rPr>
        <w:rStyle w:val="PageNumber"/>
        <w:rFonts w:ascii="Arial" w:hAnsi="Arial" w:cs="Arial"/>
        <w:color w:val="auto"/>
        <w:sz w:val="20"/>
        <w:szCs w:val="20"/>
      </w:rPr>
      <w:instrText xml:space="preserve"> Page </w:instrText>
    </w:r>
    <w:r w:rsidRPr="003427DB">
      <w:rPr>
        <w:rStyle w:val="PageNumber"/>
        <w:rFonts w:ascii="Arial" w:hAnsi="Arial" w:cs="Arial"/>
        <w:color w:val="auto"/>
        <w:sz w:val="20"/>
        <w:szCs w:val="20"/>
      </w:rPr>
      <w:fldChar w:fldCharType="separate"/>
    </w:r>
    <w:r w:rsidRPr="003427DB">
      <w:rPr>
        <w:rStyle w:val="PageNumber"/>
        <w:rFonts w:ascii="Arial" w:hAnsi="Arial" w:cs="Arial"/>
        <w:color w:val="auto"/>
        <w:sz w:val="20"/>
        <w:szCs w:val="20"/>
      </w:rPr>
      <w:t>1</w:t>
    </w:r>
    <w:r w:rsidRPr="003427DB">
      <w:rPr>
        <w:rStyle w:val="PageNumber"/>
        <w:rFonts w:ascii="Arial" w:hAnsi="Arial" w:cs="Arial"/>
        <w:color w:val="auto"/>
        <w:sz w:val="20"/>
        <w:szCs w:val="20"/>
      </w:rPr>
      <w:fldChar w:fldCharType="end"/>
    </w:r>
  </w:p>
  <w:p w14:paraId="468C2C44" w14:textId="77777777" w:rsidR="001938D9" w:rsidRDefault="001938D9">
    <w:pPr>
      <w:pStyle w:val="Footer"/>
    </w:pPr>
    <w:r>
      <w:rPr>
        <w:noProof/>
      </w:rPr>
      <mc:AlternateContent>
        <mc:Choice Requires="wps">
          <w:drawing>
            <wp:anchor distT="0" distB="0" distL="114300" distR="114300" simplePos="0" relativeHeight="251659264" behindDoc="0" locked="0" layoutInCell="0" allowOverlap="1" wp14:anchorId="4D823891" wp14:editId="17C10219">
              <wp:simplePos x="0" y="0"/>
              <wp:positionH relativeFrom="page">
                <wp:posOffset>0</wp:posOffset>
              </wp:positionH>
              <wp:positionV relativeFrom="page">
                <wp:posOffset>10234930</wp:posOffset>
              </wp:positionV>
              <wp:extent cx="7560310" cy="266700"/>
              <wp:effectExtent l="0" t="0" r="0" b="0"/>
              <wp:wrapNone/>
              <wp:docPr id="1" name="MSIPCM554c4642a0db1137103737e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BFD30A" w14:textId="77777777" w:rsidR="001938D9" w:rsidRPr="001938D9" w:rsidRDefault="001938D9" w:rsidP="001938D9">
                          <w:pPr>
                            <w:spacing w:after="0"/>
                            <w:rPr>
                              <w:rFonts w:ascii="Calibri" w:hAnsi="Calibri" w:cs="Calibri"/>
                              <w:color w:val="000000"/>
                            </w:rPr>
                          </w:pPr>
                          <w:r w:rsidRPr="001938D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823891" id="_x0000_t202" coordsize="21600,21600" o:spt="202" path="m,l,21600r21600,l21600,xe">
              <v:stroke joinstyle="miter"/>
              <v:path gradientshapeok="t" o:connecttype="rect"/>
            </v:shapetype>
            <v:shape id="MSIPCM554c4642a0db1137103737ec"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YisgIAAEgFAAAOAAAAZHJzL2Uyb0RvYy54bWysVN1v0zAQf0fif7D8wBMsSZu2W1k6lU6F&#10;Sd1WqUN7dh2niZT4PNtdUxD/O2fH6WDwhHix78v38bs7X161TU2ehTYVyIwmZzElQnLIK7nL6NeH&#10;5YdzSoxlMmc1SJHRozD0avb2zeVBTcUASqhzoQk6kWZ6UBktrVXTKDK8FA0zZ6CERGUBumEWWb2L&#10;cs0O6L2po0Ecj6MD6Fxp4MIYlF53Sjrz/otCcHtfFEZYUmcUc7P+1P7cujOaXbLpTjNVVjykwf4h&#10;i4ZVEoOeXF0zy8heV3+4aiquwUBhzzg0ERRFxYWvAatJ4lfVbEqmhK8FwTHqBJP5f2753fNakyrH&#10;3lEiWYMtut3crBe3o1HK03E6YHG+TZLhJImHk+FEcEpyYTgi+P3d0x7sxy/MlAvIRcdNPySD8WQc&#10;D0fx8H0wENWutEF9nuKIBMVjldsyyEcXo5N8XTMuGiH7N53JEsAK3dHBwY3MRRscdNdaVw3Tx9+s&#10;NjgDOJzBLglvH0AFSXwKvBJFHxOFP9xsHJSZIkQbhSDZ9hO0DqcgNyh0LW8L3bgbm0lQj1N2PE2W&#10;aC3hKJyMEJMEVRx1g/F4EvvRi15eK23sZwENcURGNWbtB4o9r4zFiGjam7hgEpZVXfvprSU5ZHSM&#10;kPsHJw2+qCU+dDV0uTrKtts2FLCF/Ih1aei2wii+rDD4ihm7ZhrXAPPF1bb3eBQ1YBAIFCUl6G9/&#10;kzt7nE7UUnLAtcqoedozLSipbyTO7WCUxlg7sZ5DQnviIklTZLa9VO6bBeDK4lBiWp50trbuyUJD&#10;84irP3fhUMUkx6AZ3fbkwiKHCvw6uJjPPY0rp5hdyY3izrXD0WH60D4yrQLwFlt2B/3msekr/Dvb&#10;rgPzvYWi8s1xyHZwBsBxXX3Pwtfi/oNfeW/18gHOfgI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jU1YisgIAAEgFAAAO&#10;AAAAAAAAAAAAAAAAAC4CAABkcnMvZTJvRG9jLnhtbFBLAQItABQABgAIAAAAIQBgEcYm3gAAAAsB&#10;AAAPAAAAAAAAAAAAAAAAAAwFAABkcnMvZG93bnJldi54bWxQSwUGAAAAAAQABADzAAAAFwYAAAAA&#10;" o:allowincell="f" filled="f" stroked="f" strokeweight=".5pt">
              <v:textbox inset="20pt,0,,0">
                <w:txbxContent>
                  <w:p w14:paraId="58BFD30A" w14:textId="77777777" w:rsidR="001938D9" w:rsidRPr="001938D9" w:rsidRDefault="001938D9" w:rsidP="001938D9">
                    <w:pPr>
                      <w:spacing w:after="0"/>
                      <w:rPr>
                        <w:rFonts w:ascii="Calibri" w:hAnsi="Calibri" w:cs="Calibri"/>
                        <w:color w:val="000000"/>
                      </w:rPr>
                    </w:pPr>
                    <w:r w:rsidRPr="001938D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BB9D1" w14:textId="77777777" w:rsidR="003435BA" w:rsidRDefault="003435BA" w:rsidP="001938D9">
      <w:pPr>
        <w:spacing w:after="0" w:line="240" w:lineRule="auto"/>
      </w:pPr>
      <w:r>
        <w:separator/>
      </w:r>
    </w:p>
  </w:footnote>
  <w:footnote w:type="continuationSeparator" w:id="0">
    <w:p w14:paraId="65D1C77E" w14:textId="77777777" w:rsidR="003435BA" w:rsidRDefault="003435BA" w:rsidP="001938D9">
      <w:pPr>
        <w:spacing w:after="0" w:line="240" w:lineRule="auto"/>
      </w:pPr>
      <w:r>
        <w:continuationSeparator/>
      </w:r>
    </w:p>
  </w:footnote>
  <w:footnote w:id="1">
    <w:p w14:paraId="416B2043" w14:textId="76E16A25" w:rsidR="001938D9" w:rsidRPr="000E16B3" w:rsidRDefault="000361DE" w:rsidP="001938D9">
      <w:pPr>
        <w:pStyle w:val="FootnoteText"/>
        <w:spacing w:line="276" w:lineRule="auto"/>
      </w:pPr>
      <w:r>
        <w:rPr>
          <w:rStyle w:val="FootnoteReference"/>
          <w:sz w:val="16"/>
          <w:szCs w:val="16"/>
        </w:rPr>
        <w:t>1</w:t>
      </w:r>
      <w:r w:rsidRPr="001938D9">
        <w:rPr>
          <w:sz w:val="16"/>
          <w:szCs w:val="16"/>
        </w:rPr>
        <w:t xml:space="preserve"> </w:t>
      </w:r>
      <w:r w:rsidR="001938D9" w:rsidRPr="001938D9">
        <w:rPr>
          <w:sz w:val="16"/>
          <w:szCs w:val="16"/>
        </w:rPr>
        <w:t xml:space="preserve">AASB 17 </w:t>
      </w:r>
      <w:r w:rsidR="001938D9" w:rsidRPr="001938D9">
        <w:rPr>
          <w:i/>
          <w:sz w:val="16"/>
          <w:szCs w:val="16"/>
        </w:rPr>
        <w:t xml:space="preserve">Insurance Contracts </w:t>
      </w:r>
      <w:r w:rsidR="001938D9" w:rsidRPr="001938D9">
        <w:rPr>
          <w:sz w:val="16"/>
          <w:szCs w:val="16"/>
        </w:rPr>
        <w:t xml:space="preserve">will supersede AASB 4 </w:t>
      </w:r>
      <w:r w:rsidR="001938D9" w:rsidRPr="001938D9">
        <w:rPr>
          <w:i/>
          <w:sz w:val="16"/>
          <w:szCs w:val="16"/>
        </w:rPr>
        <w:t>Insurance Contracts</w:t>
      </w:r>
      <w:r w:rsidR="001938D9" w:rsidRPr="001938D9">
        <w:rPr>
          <w:sz w:val="16"/>
          <w:szCs w:val="16"/>
        </w:rPr>
        <w:t xml:space="preserve"> and will apply to the for-profit entities for periods beginning on or after 1 January 202</w:t>
      </w:r>
      <w:r w:rsidR="00C2534B">
        <w:rPr>
          <w:sz w:val="16"/>
          <w:szCs w:val="16"/>
        </w:rPr>
        <w:t>3</w:t>
      </w:r>
      <w:r w:rsidR="001938D9" w:rsidRPr="001938D9">
        <w:rPr>
          <w:sz w:val="16"/>
          <w:szCs w:val="16"/>
        </w:rPr>
        <w:t>.</w:t>
      </w:r>
    </w:p>
  </w:footnote>
  <w:footnote w:id="2">
    <w:p w14:paraId="45C18D9F" w14:textId="5AF5C569" w:rsidR="001938D9" w:rsidRPr="001938D9" w:rsidRDefault="000361DE" w:rsidP="001938D9">
      <w:pPr>
        <w:pStyle w:val="FootnoteText"/>
        <w:spacing w:line="276" w:lineRule="auto"/>
        <w:rPr>
          <w:sz w:val="16"/>
          <w:szCs w:val="16"/>
        </w:rPr>
      </w:pPr>
      <w:r>
        <w:rPr>
          <w:rStyle w:val="FootnoteReference"/>
          <w:sz w:val="16"/>
          <w:szCs w:val="16"/>
        </w:rPr>
        <w:t>2</w:t>
      </w:r>
      <w:r w:rsidR="003427DB">
        <w:rPr>
          <w:sz w:val="16"/>
          <w:szCs w:val="16"/>
        </w:rPr>
        <w:t xml:space="preserve"> </w:t>
      </w:r>
      <w:r w:rsidR="001938D9" w:rsidRPr="001938D9">
        <w:rPr>
          <w:sz w:val="16"/>
          <w:szCs w:val="16"/>
        </w:rPr>
        <w:t>Treasury Corporation of Victoria report their cash flows on a net basis as it satisfies the criteria in AASB 107.22.</w:t>
      </w:r>
    </w:p>
  </w:footnote>
  <w:footnote w:id="3">
    <w:p w14:paraId="2D62DA17" w14:textId="7D4BEBB4" w:rsidR="001938D9" w:rsidRPr="000E16B3" w:rsidRDefault="000361DE" w:rsidP="001938D9">
      <w:pPr>
        <w:pStyle w:val="FootnoteText"/>
        <w:spacing w:line="276" w:lineRule="auto"/>
      </w:pPr>
      <w:r>
        <w:rPr>
          <w:rStyle w:val="FootnoteReference"/>
          <w:sz w:val="16"/>
          <w:szCs w:val="16"/>
        </w:rPr>
        <w:t>3</w:t>
      </w:r>
      <w:r w:rsidR="003427DB">
        <w:rPr>
          <w:sz w:val="16"/>
          <w:szCs w:val="16"/>
        </w:rPr>
        <w:t xml:space="preserve"> </w:t>
      </w:r>
      <w:r w:rsidR="001938D9" w:rsidRPr="001938D9">
        <w:rPr>
          <w:sz w:val="16"/>
          <w:szCs w:val="16"/>
        </w:rPr>
        <w:t xml:space="preserve">Under AASB 123 </w:t>
      </w:r>
      <w:r w:rsidR="001938D9" w:rsidRPr="001938D9">
        <w:rPr>
          <w:i/>
          <w:sz w:val="16"/>
          <w:szCs w:val="16"/>
        </w:rPr>
        <w:t>Borrowing Costs</w:t>
      </w:r>
      <w:r w:rsidR="001938D9" w:rsidRPr="001938D9">
        <w:rPr>
          <w:sz w:val="16"/>
          <w:szCs w:val="16"/>
        </w:rPr>
        <w:t>, NFP e</w:t>
      </w:r>
      <w:r w:rsidR="001938D9" w:rsidRPr="001938D9">
        <w:rPr>
          <w:rFonts w:eastAsia="Times New Roman"/>
          <w:sz w:val="16"/>
          <w:szCs w:val="16"/>
        </w:rPr>
        <w:t xml:space="preserve">ntities can elect to recognise borrowing cost as an expense regardless of how the borrowings are applied. However, FRD 105B </w:t>
      </w:r>
      <w:r w:rsidR="001938D9" w:rsidRPr="001938D9">
        <w:rPr>
          <w:rFonts w:eastAsia="Times New Roman"/>
          <w:i/>
          <w:sz w:val="16"/>
          <w:szCs w:val="16"/>
        </w:rPr>
        <w:t>Borrowing costs</w:t>
      </w:r>
      <w:r w:rsidR="001938D9" w:rsidRPr="001938D9">
        <w:rPr>
          <w:rFonts w:eastAsia="Times New Roman"/>
          <w:sz w:val="16"/>
          <w:szCs w:val="16"/>
        </w:rPr>
        <w:t xml:space="preserve"> requires entities to expense all borrowing costs.</w:t>
      </w:r>
    </w:p>
  </w:footnote>
  <w:footnote w:id="4">
    <w:p w14:paraId="44556937" w14:textId="7D4553C0" w:rsidR="001938D9" w:rsidRPr="001938D9" w:rsidRDefault="00ED57BA" w:rsidP="001938D9">
      <w:pPr>
        <w:pStyle w:val="FootnoteText"/>
        <w:spacing w:line="276" w:lineRule="auto"/>
        <w:rPr>
          <w:sz w:val="16"/>
          <w:szCs w:val="16"/>
        </w:rPr>
      </w:pPr>
      <w:r>
        <w:rPr>
          <w:rStyle w:val="FootnoteReference"/>
          <w:sz w:val="16"/>
          <w:szCs w:val="16"/>
        </w:rPr>
        <w:t>4</w:t>
      </w:r>
      <w:r w:rsidRPr="001938D9">
        <w:rPr>
          <w:sz w:val="16"/>
          <w:szCs w:val="16"/>
        </w:rPr>
        <w:t xml:space="preserve"> </w:t>
      </w:r>
      <w:r w:rsidR="001938D9" w:rsidRPr="001938D9">
        <w:rPr>
          <w:sz w:val="16"/>
          <w:szCs w:val="16"/>
        </w:rPr>
        <w:t>For periods beginning on or after 1 January 2018, for-profit entit</w:t>
      </w:r>
      <w:r w:rsidR="003F20AA">
        <w:rPr>
          <w:sz w:val="16"/>
          <w:szCs w:val="16"/>
        </w:rPr>
        <w:t>y</w:t>
      </w:r>
      <w:r w:rsidR="001938D9" w:rsidRPr="001938D9">
        <w:rPr>
          <w:sz w:val="16"/>
          <w:szCs w:val="16"/>
        </w:rPr>
        <w:t xml:space="preserve"> grants will need to be assessed under AASB 15 and other related accounting guidance. For periods beginning on or after 1 January 2019, the not-for-profit entities will need to assess and apply the appropriate accounting treatment under AASB 15, AASB 1058 and other related accounting standards. </w:t>
      </w:r>
    </w:p>
  </w:footnote>
  <w:footnote w:id="5">
    <w:p w14:paraId="1BB23A0D" w14:textId="126A2698" w:rsidR="001938D9" w:rsidRPr="001938D9" w:rsidRDefault="000361DE" w:rsidP="001938D9">
      <w:pPr>
        <w:pStyle w:val="FootnoteText"/>
        <w:spacing w:line="276" w:lineRule="auto"/>
        <w:rPr>
          <w:sz w:val="16"/>
          <w:szCs w:val="16"/>
        </w:rPr>
      </w:pPr>
      <w:r>
        <w:rPr>
          <w:rStyle w:val="FootnoteReference"/>
          <w:sz w:val="16"/>
          <w:szCs w:val="16"/>
        </w:rPr>
        <w:t>5</w:t>
      </w:r>
      <w:r w:rsidRPr="001938D9">
        <w:rPr>
          <w:sz w:val="16"/>
          <w:szCs w:val="16"/>
        </w:rPr>
        <w:t xml:space="preserve"> </w:t>
      </w:r>
      <w:r w:rsidR="001938D9" w:rsidRPr="001938D9">
        <w:rPr>
          <w:sz w:val="16"/>
          <w:szCs w:val="16"/>
        </w:rPr>
        <w:t>The majority of income recognition requirements in AASB 1004</w:t>
      </w:r>
      <w:r w:rsidR="003427DB">
        <w:rPr>
          <w:sz w:val="16"/>
          <w:szCs w:val="16"/>
        </w:rPr>
        <w:t xml:space="preserve"> </w:t>
      </w:r>
      <w:r w:rsidR="00134C10">
        <w:rPr>
          <w:sz w:val="16"/>
          <w:szCs w:val="16"/>
        </w:rPr>
        <w:t>ha</w:t>
      </w:r>
      <w:r w:rsidR="00A1103B">
        <w:rPr>
          <w:sz w:val="16"/>
          <w:szCs w:val="16"/>
        </w:rPr>
        <w:t xml:space="preserve">ve </w:t>
      </w:r>
      <w:r w:rsidR="00134C10">
        <w:rPr>
          <w:sz w:val="16"/>
          <w:szCs w:val="16"/>
        </w:rPr>
        <w:t xml:space="preserve">been </w:t>
      </w:r>
      <w:r w:rsidR="001938D9" w:rsidRPr="001938D9">
        <w:rPr>
          <w:sz w:val="16"/>
          <w:szCs w:val="16"/>
        </w:rPr>
        <w:t>superseded by AASB 15 and AASB 1058 for periods beginning on or after 1 January 2019. However, AASB 1004 retain</w:t>
      </w:r>
      <w:r w:rsidR="00134C10">
        <w:rPr>
          <w:sz w:val="16"/>
          <w:szCs w:val="16"/>
        </w:rPr>
        <w:t>s</w:t>
      </w:r>
      <w:r w:rsidR="001938D9" w:rsidRPr="001938D9">
        <w:rPr>
          <w:sz w:val="16"/>
          <w:szCs w:val="16"/>
        </w:rPr>
        <w:t xml:space="preserve"> the accounting requirements in relation to parliamentary appropriations by government departments, restructures of administrative arrangements for other government controlled NFP entities and contributions by owners and distributions to owners by whole of government and local government.</w:t>
      </w:r>
    </w:p>
  </w:footnote>
  <w:footnote w:id="6">
    <w:p w14:paraId="0A6563C8" w14:textId="77777777" w:rsidR="003F20AA" w:rsidRDefault="003F20AA" w:rsidP="003F20AA">
      <w:pPr>
        <w:pStyle w:val="FootnoteText"/>
        <w:spacing w:line="276" w:lineRule="auto"/>
        <w:rPr>
          <w:rFonts w:eastAsia="Times New Roman" w:cs="Arial"/>
          <w:color w:val="000000"/>
          <w:sz w:val="16"/>
          <w:szCs w:val="16"/>
          <w:lang w:eastAsia="en-AU"/>
        </w:rPr>
      </w:pPr>
      <w:r>
        <w:rPr>
          <w:rStyle w:val="FootnoteReference"/>
          <w:sz w:val="16"/>
          <w:szCs w:val="16"/>
        </w:rPr>
        <w:t xml:space="preserve">6 </w:t>
      </w:r>
      <w:r w:rsidRPr="001938D9">
        <w:rPr>
          <w:sz w:val="16"/>
          <w:szCs w:val="16"/>
        </w:rPr>
        <w:t xml:space="preserve">AASB is </w:t>
      </w:r>
      <w:r w:rsidRPr="001938D9">
        <w:rPr>
          <w:rFonts w:eastAsia="Times New Roman" w:cs="Arial"/>
          <w:color w:val="000000"/>
          <w:sz w:val="16"/>
          <w:szCs w:val="16"/>
          <w:lang w:eastAsia="en-AU"/>
        </w:rPr>
        <w:t>reviewing to replace AASB 1023 and AASB 1038 with AASB 17 standard.</w:t>
      </w:r>
    </w:p>
    <w:p w14:paraId="6EB1A6BA" w14:textId="263850A4" w:rsidR="003F20AA" w:rsidRPr="003F20AA" w:rsidRDefault="003F20AA" w:rsidP="003F20AA">
      <w:pPr>
        <w:pStyle w:val="FootnoteText"/>
        <w:spacing w:line="276" w:lineRule="auto"/>
        <w:rPr>
          <w:rFonts w:eastAsia="Times New Roman" w:cs="Arial"/>
          <w:color w:val="000000"/>
          <w:sz w:val="16"/>
          <w:szCs w:val="16"/>
          <w:vertAlign w:val="superscript"/>
          <w:lang w:eastAsia="en-AU"/>
        </w:rPr>
      </w:pPr>
      <w:r w:rsidRPr="003F20AA">
        <w:rPr>
          <w:rFonts w:eastAsia="Times New Roman" w:cs="Arial"/>
          <w:color w:val="000000"/>
          <w:sz w:val="16"/>
          <w:szCs w:val="16"/>
          <w:vertAlign w:val="superscript"/>
          <w:lang w:eastAsia="en-AU"/>
        </w:rPr>
        <w:t>7</w:t>
      </w:r>
      <w:r>
        <w:rPr>
          <w:rFonts w:eastAsia="Times New Roman" w:cs="Arial"/>
          <w:color w:val="000000"/>
          <w:sz w:val="16"/>
          <w:szCs w:val="16"/>
          <w:vertAlign w:val="superscript"/>
          <w:lang w:eastAsia="en-AU"/>
        </w:rPr>
        <w:t xml:space="preserve"> </w:t>
      </w:r>
      <w:r w:rsidRPr="003F20AA">
        <w:rPr>
          <w:sz w:val="16"/>
          <w:szCs w:val="16"/>
        </w:rPr>
        <w:t>AASB 1059 applies to annual periods beginning on or after 1 January 2020, with earlier application permitted. The State</w:t>
      </w:r>
      <w:r w:rsidR="00540744">
        <w:rPr>
          <w:sz w:val="16"/>
          <w:szCs w:val="16"/>
        </w:rPr>
        <w:t xml:space="preserve"> </w:t>
      </w:r>
      <w:r w:rsidRPr="003F20AA">
        <w:rPr>
          <w:sz w:val="16"/>
          <w:szCs w:val="16"/>
        </w:rPr>
        <w:t xml:space="preserve">early adopted the standard and </w:t>
      </w:r>
      <w:r w:rsidR="00540744">
        <w:rPr>
          <w:sz w:val="16"/>
          <w:szCs w:val="16"/>
        </w:rPr>
        <w:t>was</w:t>
      </w:r>
      <w:r w:rsidRPr="003F20AA">
        <w:rPr>
          <w:sz w:val="16"/>
          <w:szCs w:val="16"/>
        </w:rPr>
        <w:t xml:space="preserve"> applied to annual periods beginning on or after 1 January 2019.</w:t>
      </w:r>
    </w:p>
    <w:p w14:paraId="30561AD1" w14:textId="77777777" w:rsidR="003F20AA" w:rsidRPr="001938D9" w:rsidRDefault="003F20AA" w:rsidP="003F20AA">
      <w:pPr>
        <w:pStyle w:val="FootnoteText"/>
        <w:spacing w:line="276"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1DFA" w14:textId="77777777" w:rsidR="009B1925" w:rsidRPr="0041689E" w:rsidRDefault="009B1925" w:rsidP="009B1925">
    <w:pPr>
      <w:pStyle w:val="Header"/>
    </w:pPr>
    <w:r>
      <w:rPr>
        <w:noProof/>
      </w:rPr>
      <w:drawing>
        <wp:anchor distT="0" distB="0" distL="114300" distR="114300" simplePos="0" relativeHeight="251662336" behindDoc="0" locked="0" layoutInCell="1" allowOverlap="1" wp14:anchorId="6486BFE2" wp14:editId="207C268F">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5DFED2D" wp14:editId="0A9ABE27">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14:paraId="679B1A60" w14:textId="77777777" w:rsidR="009B1925" w:rsidRDefault="009B1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D9"/>
    <w:rsid w:val="000361DE"/>
    <w:rsid w:val="00134C10"/>
    <w:rsid w:val="001938D9"/>
    <w:rsid w:val="001A4A5A"/>
    <w:rsid w:val="0021357C"/>
    <w:rsid w:val="00336625"/>
    <w:rsid w:val="003427DB"/>
    <w:rsid w:val="003435BA"/>
    <w:rsid w:val="00376AC0"/>
    <w:rsid w:val="003A3CC5"/>
    <w:rsid w:val="003F20AA"/>
    <w:rsid w:val="0041083D"/>
    <w:rsid w:val="00540744"/>
    <w:rsid w:val="0057631D"/>
    <w:rsid w:val="006E01DA"/>
    <w:rsid w:val="007B08D5"/>
    <w:rsid w:val="00897E0A"/>
    <w:rsid w:val="00897E66"/>
    <w:rsid w:val="00965FD5"/>
    <w:rsid w:val="009B1925"/>
    <w:rsid w:val="009D2B09"/>
    <w:rsid w:val="00A1103B"/>
    <w:rsid w:val="00AA7007"/>
    <w:rsid w:val="00AF44D9"/>
    <w:rsid w:val="00B4638F"/>
    <w:rsid w:val="00B8036B"/>
    <w:rsid w:val="00BF3C74"/>
    <w:rsid w:val="00C2534B"/>
    <w:rsid w:val="00D305C0"/>
    <w:rsid w:val="00D35D67"/>
    <w:rsid w:val="00ED57BA"/>
    <w:rsid w:val="00F20FCE"/>
    <w:rsid w:val="00F4255C"/>
    <w:rsid w:val="00F4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DB5BD"/>
  <w15:chartTrackingRefBased/>
  <w15:docId w15:val="{83292722-A00D-4071-A9C5-0FA0FBF0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B1925"/>
    <w:pPr>
      <w:keepNext/>
      <w:keepLines/>
      <w:spacing w:before="600" w:after="240" w:line="276" w:lineRule="auto"/>
      <w:outlineLvl w:val="0"/>
    </w:pPr>
    <w:rPr>
      <w:rFonts w:asciiTheme="majorHAnsi" w:eastAsiaTheme="majorEastAsia" w:hAnsiTheme="majorHAnsi" w:cstheme="majorBidi"/>
      <w:b/>
      <w:bCs/>
      <w:color w:val="201547"/>
      <w:spacing w:val="-1"/>
      <w:sz w:val="36"/>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1938D9"/>
    <w:pPr>
      <w:spacing w:after="0" w:line="240" w:lineRule="auto"/>
    </w:pPr>
    <w:rPr>
      <w:sz w:val="20"/>
      <w:szCs w:val="20"/>
    </w:rPr>
  </w:style>
  <w:style w:type="character" w:customStyle="1" w:styleId="FootnoteTextChar">
    <w:name w:val="Footnote Text Char"/>
    <w:basedOn w:val="DefaultParagraphFont"/>
    <w:link w:val="FootnoteText"/>
    <w:rsid w:val="001938D9"/>
    <w:rPr>
      <w:sz w:val="20"/>
      <w:szCs w:val="20"/>
    </w:rPr>
  </w:style>
  <w:style w:type="table" w:customStyle="1" w:styleId="Modeltable">
    <w:name w:val="Model table"/>
    <w:basedOn w:val="TableNormal"/>
    <w:uiPriority w:val="99"/>
    <w:rsid w:val="001938D9"/>
    <w:pPr>
      <w:spacing w:before="40" w:after="0" w:line="240" w:lineRule="auto"/>
    </w:pPr>
    <w:rPr>
      <w:rFonts w:ascii="Arial" w:hAnsi="Arial"/>
      <w:sz w:val="16"/>
    </w:rPr>
    <w:tblPr>
      <w:tblStyleRowBandSize w:val="1"/>
      <w:tblStyleColBandSize w:val="1"/>
      <w:tblBorders>
        <w:bottom w:val="single" w:sz="12" w:space="0" w:color="000000"/>
      </w:tblBorders>
      <w:tblCellMar>
        <w:left w:w="43" w:type="dxa"/>
        <w:right w:w="43" w:type="dxa"/>
      </w:tblCellMar>
    </w:tblPr>
    <w:tblStylePr w:type="firstRow">
      <w:rPr>
        <w:rFonts w:ascii="Arial" w:hAnsi="Arial"/>
        <w:color w:val="FFFFFF"/>
        <w:sz w:val="18"/>
      </w:rPr>
      <w:tblPr/>
      <w:tcPr>
        <w:shd w:val="clear" w:color="auto" w:fill="000000"/>
        <w:vAlign w:val="bottom"/>
      </w:tcPr>
    </w:tblStylePr>
    <w:tblStylePr w:type="lastRow">
      <w:tblPr/>
      <w:tcPr>
        <w:tcBorders>
          <w:top w:val="nil"/>
          <w:left w:val="nil"/>
          <w:bottom w:val="single" w:sz="12" w:space="0" w:color="000000"/>
          <w:right w:val="nil"/>
          <w:insideH w:val="nil"/>
          <w:insideV w:val="nil"/>
          <w:tl2br w:val="nil"/>
          <w:tr2bl w:val="nil"/>
        </w:tcBorders>
      </w:tcPr>
    </w:tblStylePr>
    <w:tblStylePr w:type="band1Horz">
      <w:tblPr/>
      <w:tcPr>
        <w:shd w:val="clear" w:color="auto" w:fill="D9D9D9"/>
      </w:tcPr>
    </w:tblStylePr>
  </w:style>
  <w:style w:type="table" w:customStyle="1" w:styleId="CVtable2">
    <w:name w:val="CV table2"/>
    <w:basedOn w:val="TableNormal"/>
    <w:next w:val="TableGrid"/>
    <w:uiPriority w:val="59"/>
    <w:rsid w:val="001938D9"/>
    <w:pPr>
      <w:spacing w:before="120" w:after="0" w:line="240" w:lineRule="atLeast"/>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938D9"/>
    <w:pPr>
      <w:keepLines/>
      <w:spacing w:before="120" w:after="0" w:line="240" w:lineRule="auto"/>
    </w:pPr>
    <w:rPr>
      <w:spacing w:val="2"/>
      <w:sz w:val="20"/>
      <w:szCs w:val="20"/>
    </w:rPr>
  </w:style>
  <w:style w:type="character" w:customStyle="1" w:styleId="CommentTextChar">
    <w:name w:val="Comment Text Char"/>
    <w:basedOn w:val="DefaultParagraphFont"/>
    <w:link w:val="CommentText"/>
    <w:uiPriority w:val="99"/>
    <w:rsid w:val="001938D9"/>
    <w:rPr>
      <w:spacing w:val="2"/>
      <w:sz w:val="20"/>
      <w:szCs w:val="20"/>
    </w:rPr>
  </w:style>
  <w:style w:type="character" w:styleId="CommentReference">
    <w:name w:val="annotation reference"/>
    <w:basedOn w:val="DefaultParagraphFont"/>
    <w:uiPriority w:val="99"/>
    <w:unhideWhenUsed/>
    <w:rsid w:val="001938D9"/>
    <w:rPr>
      <w:sz w:val="16"/>
      <w:szCs w:val="16"/>
    </w:rPr>
  </w:style>
  <w:style w:type="table" w:styleId="TableGrid">
    <w:name w:val="Table Grid"/>
    <w:basedOn w:val="TableNormal"/>
    <w:uiPriority w:val="39"/>
    <w:rsid w:val="0019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D9"/>
    <w:rPr>
      <w:rFonts w:ascii="Segoe UI" w:hAnsi="Segoe UI" w:cs="Segoe UI"/>
      <w:sz w:val="18"/>
      <w:szCs w:val="18"/>
    </w:rPr>
  </w:style>
  <w:style w:type="character" w:styleId="FootnoteReference">
    <w:name w:val="footnote reference"/>
    <w:basedOn w:val="DefaultParagraphFont"/>
    <w:unhideWhenUsed/>
    <w:rsid w:val="001938D9"/>
    <w:rPr>
      <w:vertAlign w:val="superscript"/>
    </w:rPr>
  </w:style>
  <w:style w:type="paragraph" w:customStyle="1" w:styleId="AppendixHeading">
    <w:name w:val="Appendix Heading"/>
    <w:basedOn w:val="Normal"/>
    <w:qFormat/>
    <w:rsid w:val="001938D9"/>
    <w:pPr>
      <w:keepNext/>
      <w:keepLines/>
      <w:pBdr>
        <w:bottom w:val="single" w:sz="12" w:space="1" w:color="auto"/>
      </w:pBdr>
      <w:spacing w:before="360" w:after="0" w:line="240" w:lineRule="auto"/>
      <w:outlineLvl w:val="0"/>
    </w:pPr>
    <w:rPr>
      <w:rFonts w:asciiTheme="majorHAnsi" w:eastAsiaTheme="majorEastAsia" w:hAnsiTheme="majorHAnsi" w:cstheme="majorBidi"/>
      <w:b/>
      <w:bCs/>
      <w:caps/>
      <w:spacing w:val="-2"/>
      <w:sz w:val="28"/>
      <w:szCs w:val="28"/>
    </w:rPr>
  </w:style>
  <w:style w:type="table" w:customStyle="1" w:styleId="Modeltable1">
    <w:name w:val="Model table1"/>
    <w:basedOn w:val="TableNormal"/>
    <w:uiPriority w:val="99"/>
    <w:rsid w:val="001938D9"/>
    <w:pPr>
      <w:spacing w:before="40" w:after="0" w:line="240" w:lineRule="auto"/>
    </w:pPr>
    <w:rPr>
      <w:rFonts w:ascii="Arial" w:hAnsi="Arial"/>
      <w:sz w:val="16"/>
    </w:rPr>
    <w:tblPr>
      <w:tblStyleRowBandSize w:val="1"/>
      <w:tblStyleColBandSize w:val="1"/>
      <w:tblBorders>
        <w:bottom w:val="single" w:sz="12" w:space="0" w:color="000000"/>
      </w:tblBorders>
      <w:tblCellMar>
        <w:left w:w="43" w:type="dxa"/>
        <w:right w:w="43" w:type="dxa"/>
      </w:tblCellMar>
    </w:tblPr>
    <w:tblStylePr w:type="firstRow">
      <w:rPr>
        <w:rFonts w:ascii="Arial" w:hAnsi="Arial"/>
        <w:color w:val="FFFFFF"/>
        <w:sz w:val="18"/>
      </w:rPr>
      <w:tblPr/>
      <w:tcPr>
        <w:shd w:val="clear" w:color="auto" w:fill="000000"/>
        <w:vAlign w:val="bottom"/>
      </w:tcPr>
    </w:tblStylePr>
    <w:tblStylePr w:type="lastRow">
      <w:tblPr/>
      <w:tcPr>
        <w:tcBorders>
          <w:top w:val="nil"/>
          <w:left w:val="nil"/>
          <w:bottom w:val="single" w:sz="12" w:space="0" w:color="000000"/>
          <w:right w:val="nil"/>
          <w:insideH w:val="nil"/>
          <w:insideV w:val="nil"/>
          <w:tl2br w:val="nil"/>
          <w:tr2bl w:val="nil"/>
        </w:tcBorders>
      </w:tcPr>
    </w:tblStylePr>
    <w:tblStylePr w:type="band1Horz">
      <w:tblPr/>
      <w:tcPr>
        <w:shd w:val="clear" w:color="auto" w:fill="D9D9D9"/>
      </w:tcPr>
    </w:tblStylePr>
  </w:style>
  <w:style w:type="table" w:customStyle="1" w:styleId="CVtable21">
    <w:name w:val="CV table21"/>
    <w:basedOn w:val="TableNormal"/>
    <w:next w:val="TableGrid"/>
    <w:uiPriority w:val="59"/>
    <w:rsid w:val="001938D9"/>
    <w:pPr>
      <w:spacing w:before="120" w:after="0" w:line="240" w:lineRule="atLeast"/>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D9"/>
  </w:style>
  <w:style w:type="paragraph" w:styleId="Footer">
    <w:name w:val="footer"/>
    <w:basedOn w:val="Normal"/>
    <w:link w:val="FooterChar"/>
    <w:uiPriority w:val="99"/>
    <w:unhideWhenUsed/>
    <w:rsid w:val="0019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D9"/>
  </w:style>
  <w:style w:type="character" w:customStyle="1" w:styleId="Heading1Char">
    <w:name w:val="Heading 1 Char"/>
    <w:basedOn w:val="DefaultParagraphFont"/>
    <w:link w:val="Heading1"/>
    <w:rsid w:val="009B1925"/>
    <w:rPr>
      <w:rFonts w:asciiTheme="majorHAnsi" w:eastAsiaTheme="majorEastAsia" w:hAnsiTheme="majorHAnsi" w:cstheme="majorBidi"/>
      <w:b/>
      <w:bCs/>
      <w:color w:val="201547"/>
      <w:spacing w:val="-1"/>
      <w:sz w:val="36"/>
      <w:szCs w:val="28"/>
      <w:lang w:eastAsia="en-AU"/>
    </w:rPr>
  </w:style>
  <w:style w:type="character" w:styleId="PageNumber">
    <w:name w:val="page number"/>
    <w:uiPriority w:val="49"/>
    <w:semiHidden/>
    <w:rsid w:val="009B1925"/>
    <w:rPr>
      <w:b w:val="0"/>
      <w:color w:val="000000" w:themeColor="text1"/>
    </w:rPr>
  </w:style>
  <w:style w:type="paragraph" w:styleId="Revision">
    <w:name w:val="Revision"/>
    <w:hidden/>
    <w:uiPriority w:val="99"/>
    <w:semiHidden/>
    <w:rsid w:val="00342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E3CE1C9-5FDE-4E1B-A276-026BE179CC36}">
  <ds:schemaRefs>
    <ds:schemaRef ds:uri="http://schemas.openxmlformats.org/officeDocument/2006/bibliography"/>
  </ds:schemaRefs>
</ds:datastoreItem>
</file>

<file path=customXml/itemProps2.xml><?xml version="1.0" encoding="utf-8"?>
<ds:datastoreItem xmlns:ds="http://schemas.openxmlformats.org/officeDocument/2006/customXml" ds:itemID="{69F9DCE3-6676-4BE2-AC6E-633AF8E83EA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Pham (DTF)</dc:creator>
  <cp:keywords/>
  <dc:description/>
  <cp:lastModifiedBy>Bhavisha Mistry (DTF)</cp:lastModifiedBy>
  <cp:revision>6</cp:revision>
  <dcterms:created xsi:type="dcterms:W3CDTF">2020-12-16T00:54:00Z</dcterms:created>
  <dcterms:modified xsi:type="dcterms:W3CDTF">2021-06-23T02:11:00Z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2021-06-23T02:11:46Z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
  </property>
  <property fmtid="{D5CDD505-2E9C-101B-9397-08002B2CF9AE}" pid="8" name="MSIP_Label_7158ebbd-6c5e-441f-bfc9-4eb8c11e3978_ContentBits">
    <vt:lpwstr>2</vt:lpwstr>
  </property>
</Properties>
</file>