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TFtexttable"/>
        <w:tblW w:w="9237" w:type="dxa"/>
        <w:tblLayout w:type="fixed"/>
        <w:tblLook w:val="0620" w:firstRow="1" w:lastRow="0" w:firstColumn="0" w:lastColumn="0" w:noHBand="1" w:noVBand="1"/>
      </w:tblPr>
      <w:tblGrid>
        <w:gridCol w:w="2293"/>
        <w:gridCol w:w="270"/>
        <w:gridCol w:w="540"/>
        <w:gridCol w:w="6134"/>
      </w:tblGrid>
      <w:tr w:rsidR="006C78FB" w:rsidRPr="00231BD3" w14:paraId="76DDD4ED" w14:textId="77777777" w:rsidTr="00FF0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3" w:type="dxa"/>
          </w:tcPr>
          <w:p w14:paraId="36995FE6" w14:textId="77777777" w:rsidR="006C78FB" w:rsidRPr="00231BD3" w:rsidRDefault="00AA67F5" w:rsidP="00E97F26">
            <w:pPr>
              <w:pStyle w:val="FRDNumber"/>
            </w:pPr>
            <w:r>
              <w:t>FRD 13</w:t>
            </w:r>
          </w:p>
        </w:tc>
        <w:tc>
          <w:tcPr>
            <w:tcW w:w="270" w:type="dxa"/>
          </w:tcPr>
          <w:p w14:paraId="3500C0EA" w14:textId="77777777" w:rsidR="006C78FB" w:rsidRPr="00231BD3" w:rsidRDefault="006C78FB" w:rsidP="00E97F26"/>
        </w:tc>
        <w:tc>
          <w:tcPr>
            <w:tcW w:w="540" w:type="dxa"/>
          </w:tcPr>
          <w:p w14:paraId="78F599FC" w14:textId="77777777" w:rsidR="006C78FB" w:rsidRPr="00231BD3" w:rsidRDefault="006C78FB" w:rsidP="00E97F26"/>
        </w:tc>
        <w:tc>
          <w:tcPr>
            <w:tcW w:w="6134" w:type="dxa"/>
          </w:tcPr>
          <w:p w14:paraId="0121559B" w14:textId="5493855B" w:rsidR="006C78FB" w:rsidRPr="00231BD3" w:rsidRDefault="00AA67F5" w:rsidP="00E97F26">
            <w:pPr>
              <w:pStyle w:val="FRDHeader"/>
            </w:pPr>
            <w:r>
              <w:rPr>
                <w:rFonts w:ascii="Arial" w:hAnsi="Arial" w:cs="Arial"/>
              </w:rPr>
              <w:t>Disclosure of Parliamentary Appropriations</w:t>
            </w:r>
            <w:r w:rsidR="000D4A64">
              <w:rPr>
                <w:rFonts w:ascii="Arial" w:hAnsi="Arial" w:cs="Arial"/>
              </w:rPr>
              <w:t xml:space="preserve"> (</w:t>
            </w:r>
            <w:r w:rsidR="007628F9">
              <w:rPr>
                <w:rFonts w:ascii="Arial" w:hAnsi="Arial" w:cs="Arial"/>
              </w:rPr>
              <w:t>April</w:t>
            </w:r>
            <w:r w:rsidR="00F940E8">
              <w:rPr>
                <w:rFonts w:ascii="Arial" w:hAnsi="Arial" w:cs="Arial"/>
              </w:rPr>
              <w:t xml:space="preserve"> 202</w:t>
            </w:r>
            <w:r w:rsidR="007628F9">
              <w:rPr>
                <w:rFonts w:ascii="Arial" w:hAnsi="Arial" w:cs="Arial"/>
              </w:rPr>
              <w:t>2</w:t>
            </w:r>
            <w:r w:rsidR="000D4A64">
              <w:rPr>
                <w:rFonts w:ascii="Arial" w:hAnsi="Arial" w:cs="Arial"/>
              </w:rPr>
              <w:t xml:space="preserve">) </w:t>
            </w:r>
          </w:p>
        </w:tc>
      </w:tr>
      <w:tr w:rsidR="006C78FB" w:rsidRPr="00E10ADB" w14:paraId="0ED7AEA5" w14:textId="77777777" w:rsidTr="00E97F26">
        <w:trPr>
          <w:trHeight w:hRule="exact" w:val="120"/>
        </w:trPr>
        <w:tc>
          <w:tcPr>
            <w:tcW w:w="2293" w:type="dxa"/>
          </w:tcPr>
          <w:p w14:paraId="373E7C17" w14:textId="77777777" w:rsidR="006C78FB" w:rsidRPr="008A601F" w:rsidRDefault="006C78FB" w:rsidP="00E97F26">
            <w:pPr>
              <w:pStyle w:val="Tabletext"/>
            </w:pPr>
          </w:p>
        </w:tc>
        <w:tc>
          <w:tcPr>
            <w:tcW w:w="270" w:type="dxa"/>
          </w:tcPr>
          <w:p w14:paraId="732B4443" w14:textId="77777777" w:rsidR="006C78FB" w:rsidRPr="008A601F" w:rsidRDefault="006C78FB" w:rsidP="006D66F9">
            <w:pPr>
              <w:pStyle w:val="Normalgrey"/>
            </w:pPr>
          </w:p>
        </w:tc>
        <w:tc>
          <w:tcPr>
            <w:tcW w:w="540" w:type="dxa"/>
          </w:tcPr>
          <w:p w14:paraId="5DE6AA3C" w14:textId="77777777" w:rsidR="006C78FB" w:rsidRPr="008A601F" w:rsidRDefault="006C78FB" w:rsidP="00E97F26"/>
        </w:tc>
        <w:tc>
          <w:tcPr>
            <w:tcW w:w="6134" w:type="dxa"/>
          </w:tcPr>
          <w:p w14:paraId="751DAF36" w14:textId="77777777" w:rsidR="006C78FB" w:rsidRPr="008A601F" w:rsidRDefault="006C78FB" w:rsidP="00E97F26"/>
        </w:tc>
      </w:tr>
      <w:tr w:rsidR="005828FE" w:rsidRPr="005828FE" w14:paraId="6646CCAE" w14:textId="77777777" w:rsidTr="00E97F26">
        <w:tc>
          <w:tcPr>
            <w:tcW w:w="2293" w:type="dxa"/>
          </w:tcPr>
          <w:p w14:paraId="0353A585" w14:textId="77777777" w:rsidR="006C78FB" w:rsidRPr="005828FE" w:rsidRDefault="006C78FB" w:rsidP="00382EE1">
            <w:pPr>
              <w:pStyle w:val="Normalgrey"/>
            </w:pPr>
            <w:r w:rsidRPr="005828FE">
              <w:t>Purpose</w:t>
            </w:r>
          </w:p>
        </w:tc>
        <w:tc>
          <w:tcPr>
            <w:tcW w:w="270" w:type="dxa"/>
          </w:tcPr>
          <w:p w14:paraId="3B018DEC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540" w:type="dxa"/>
          </w:tcPr>
          <w:p w14:paraId="45AE6FD4" w14:textId="77777777" w:rsidR="006C78FB" w:rsidRPr="005828FE" w:rsidRDefault="00894C3C" w:rsidP="006519F6">
            <w:pPr>
              <w:pStyle w:val="Normalgrey"/>
            </w:pPr>
            <w:r>
              <w:t>1.1</w:t>
            </w:r>
          </w:p>
        </w:tc>
        <w:tc>
          <w:tcPr>
            <w:tcW w:w="6134" w:type="dxa"/>
          </w:tcPr>
          <w:p w14:paraId="5004E15F" w14:textId="2449A6A0" w:rsidR="006C78FB" w:rsidRPr="00AA67F5" w:rsidRDefault="00AA67F5" w:rsidP="00AA67F5">
            <w:pPr>
              <w:pStyle w:val="Normalgrey"/>
            </w:pPr>
            <w:r>
              <w:t xml:space="preserve">To specify the format for disclosures required by </w:t>
            </w:r>
            <w:r w:rsidR="00E97F26">
              <w:t>AASB</w:t>
            </w:r>
            <w:r w:rsidR="0078021C">
              <w:t xml:space="preserve"> </w:t>
            </w:r>
            <w:r w:rsidR="00E97F26">
              <w:t>10</w:t>
            </w:r>
            <w:r w:rsidR="0078021C">
              <w:t>58</w:t>
            </w:r>
            <w:r w:rsidR="00E97F26">
              <w:t xml:space="preserve"> </w:t>
            </w:r>
            <w:r w:rsidR="0078021C">
              <w:rPr>
                <w:i/>
              </w:rPr>
              <w:t xml:space="preserve">Income of </w:t>
            </w:r>
            <w:r w:rsidR="0063739A">
              <w:rPr>
                <w:i/>
              </w:rPr>
              <w:t>N</w:t>
            </w:r>
            <w:r w:rsidR="0078021C">
              <w:rPr>
                <w:i/>
              </w:rPr>
              <w:t>ot-for-</w:t>
            </w:r>
            <w:r w:rsidR="0063739A">
              <w:rPr>
                <w:i/>
              </w:rPr>
              <w:t>P</w:t>
            </w:r>
            <w:r w:rsidR="0078021C">
              <w:rPr>
                <w:i/>
              </w:rPr>
              <w:t xml:space="preserve">rofit </w:t>
            </w:r>
            <w:r w:rsidR="0063739A">
              <w:rPr>
                <w:i/>
              </w:rPr>
              <w:t>E</w:t>
            </w:r>
            <w:r w:rsidR="0078021C">
              <w:rPr>
                <w:i/>
              </w:rPr>
              <w:t>ntities</w:t>
            </w:r>
            <w:r>
              <w:t xml:space="preserve">, paragraph </w:t>
            </w:r>
            <w:r w:rsidR="0078021C">
              <w:t>39</w:t>
            </w:r>
            <w:r>
              <w:t>.</w:t>
            </w:r>
          </w:p>
        </w:tc>
      </w:tr>
      <w:tr w:rsidR="006C78FB" w:rsidRPr="005828FE" w14:paraId="65C274CD" w14:textId="77777777" w:rsidTr="00963C94">
        <w:tc>
          <w:tcPr>
            <w:tcW w:w="2293" w:type="dxa"/>
            <w:shd w:val="clear" w:color="auto" w:fill="F2F2F2" w:themeFill="background1" w:themeFillShade="F2"/>
          </w:tcPr>
          <w:p w14:paraId="452720E1" w14:textId="77777777" w:rsidR="006C78FB" w:rsidRPr="005828FE" w:rsidRDefault="006C78FB" w:rsidP="00A516DE">
            <w:pPr>
              <w:pStyle w:val="Normalbold"/>
            </w:pPr>
            <w:r w:rsidRPr="005828FE">
              <w:t>Application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09252046" w14:textId="77777777" w:rsidR="006C78FB" w:rsidRPr="008B2A17" w:rsidRDefault="006C78FB" w:rsidP="00286F9A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053CA4F" w14:textId="77777777" w:rsidR="006C78FB" w:rsidRPr="005828FE" w:rsidRDefault="00894C3C" w:rsidP="00286F9A">
            <w:pPr>
              <w:pStyle w:val="Normalgrey"/>
            </w:pPr>
            <w:r>
              <w:t>2.1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59853155" w14:textId="77777777" w:rsidR="006C78FB" w:rsidRPr="00AA67F5" w:rsidRDefault="00AA67F5" w:rsidP="00AA67F5">
            <w:pPr>
              <w:pStyle w:val="Normalbold"/>
            </w:pPr>
            <w:r>
              <w:t xml:space="preserve">Applies to all entities defined as a department under section 3 of the </w:t>
            </w:r>
            <w:r>
              <w:rPr>
                <w:i/>
                <w:iCs/>
              </w:rPr>
              <w:t>Financial Management Act</w:t>
            </w:r>
            <w:r>
              <w:t xml:space="preserve"> </w:t>
            </w:r>
            <w:r w:rsidRPr="00AA67F5">
              <w:rPr>
                <w:i/>
              </w:rPr>
              <w:t>1994</w:t>
            </w:r>
            <w:r>
              <w:t>.</w:t>
            </w:r>
          </w:p>
        </w:tc>
      </w:tr>
      <w:tr w:rsidR="006C78FB" w:rsidRPr="005828FE" w14:paraId="0B7D0266" w14:textId="77777777" w:rsidTr="00963C94">
        <w:tc>
          <w:tcPr>
            <w:tcW w:w="2293" w:type="dxa"/>
            <w:shd w:val="clear" w:color="auto" w:fill="F2F2F2" w:themeFill="background1" w:themeFillShade="F2"/>
          </w:tcPr>
          <w:p w14:paraId="7007BE07" w14:textId="77777777" w:rsidR="006C78FB" w:rsidRPr="005828FE" w:rsidRDefault="006C78FB" w:rsidP="00A516DE">
            <w:pPr>
              <w:pStyle w:val="Normalbold"/>
            </w:pPr>
            <w:r w:rsidRPr="005828FE">
              <w:t>Operative date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7411FF69" w14:textId="77777777" w:rsidR="006C78FB" w:rsidRPr="008B2A17" w:rsidRDefault="006C78FB" w:rsidP="00286F9A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1805C7F" w14:textId="77777777" w:rsidR="006C78FB" w:rsidRPr="005828FE" w:rsidRDefault="00894C3C" w:rsidP="00286F9A">
            <w:pPr>
              <w:pStyle w:val="Normalgrey"/>
            </w:pPr>
            <w:r>
              <w:t>3.1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3BFA46DB" w14:textId="388A123B" w:rsidR="006C78FB" w:rsidRPr="005828FE" w:rsidRDefault="00AA67F5" w:rsidP="0079355D">
            <w:pPr>
              <w:pStyle w:val="Bullet1"/>
              <w:numPr>
                <w:ilvl w:val="0"/>
                <w:numId w:val="0"/>
              </w:numPr>
            </w:pPr>
            <w:r w:rsidRPr="00AA67F5">
              <w:rPr>
                <w:b/>
              </w:rPr>
              <w:t>Reporting periods commencing 1 July 2003.</w:t>
            </w:r>
          </w:p>
        </w:tc>
      </w:tr>
      <w:tr w:rsidR="0079355D" w:rsidRPr="005828FE" w14:paraId="12AD417C" w14:textId="77777777" w:rsidTr="00963C94">
        <w:tc>
          <w:tcPr>
            <w:tcW w:w="2293" w:type="dxa"/>
            <w:shd w:val="clear" w:color="auto" w:fill="F2F2F2" w:themeFill="background1" w:themeFillShade="F2"/>
          </w:tcPr>
          <w:p w14:paraId="3EEB0256" w14:textId="77777777" w:rsidR="0079355D" w:rsidRPr="005828FE" w:rsidRDefault="0079355D" w:rsidP="00A516DE">
            <w:pPr>
              <w:pStyle w:val="Normalbold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58C5634D" w14:textId="77777777" w:rsidR="0079355D" w:rsidRPr="008B2A17" w:rsidRDefault="0079355D" w:rsidP="00286F9A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77F5472" w14:textId="7403E4A5" w:rsidR="0079355D" w:rsidRDefault="0079355D" w:rsidP="00286F9A">
            <w:pPr>
              <w:pStyle w:val="Normalgrey"/>
            </w:pPr>
            <w:r>
              <w:t>3.2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7E24C305" w14:textId="6C5E56D1" w:rsidR="002C667C" w:rsidRDefault="0079355D" w:rsidP="0079355D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AA67F5">
              <w:rPr>
                <w:b/>
              </w:rPr>
              <w:t xml:space="preserve">AFRB No. 28 </w:t>
            </w:r>
            <w:r w:rsidRPr="00AA67F5">
              <w:rPr>
                <w:b/>
                <w:i/>
              </w:rPr>
              <w:t>Disclosure of Parliamentary Appropriations</w:t>
            </w:r>
            <w:r w:rsidRPr="00AA67F5">
              <w:rPr>
                <w:b/>
              </w:rPr>
              <w:t xml:space="preserve"> is withdrawn effective 1 July 2003.</w:t>
            </w:r>
          </w:p>
          <w:p w14:paraId="5AD75A3A" w14:textId="77777777" w:rsidR="0079355D" w:rsidRPr="00AA67F5" w:rsidRDefault="0079355D" w:rsidP="0079355D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BC6691" w:rsidRPr="005828FE" w14:paraId="35852428" w14:textId="77777777" w:rsidTr="00E97F26">
        <w:tc>
          <w:tcPr>
            <w:tcW w:w="2293" w:type="dxa"/>
            <w:shd w:val="clear" w:color="auto" w:fill="F2F2F2" w:themeFill="background1" w:themeFillShade="F2"/>
          </w:tcPr>
          <w:p w14:paraId="55D1B76E" w14:textId="77777777" w:rsidR="00BC6691" w:rsidRPr="005828FE" w:rsidRDefault="00BC6691" w:rsidP="00E97F26">
            <w:pPr>
              <w:pStyle w:val="Normalbold"/>
            </w:pPr>
            <w:r w:rsidRPr="005828FE">
              <w:t>Requirement</w:t>
            </w:r>
            <w:r>
              <w:t>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6976CF86" w14:textId="77777777" w:rsidR="00BC6691" w:rsidRPr="008B2A17" w:rsidRDefault="00BC6691" w:rsidP="00286F9A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E043C59" w14:textId="77777777" w:rsidR="00BC6691" w:rsidRPr="005828FE" w:rsidRDefault="00894C3C" w:rsidP="00286F9A">
            <w:pPr>
              <w:pStyle w:val="Normalgrey"/>
            </w:pPr>
            <w:r>
              <w:t>4.1</w:t>
            </w:r>
          </w:p>
        </w:tc>
        <w:tc>
          <w:tcPr>
            <w:tcW w:w="6134" w:type="dxa"/>
            <w:shd w:val="clear" w:color="auto" w:fill="F2F2F2" w:themeFill="background1" w:themeFillShade="F2"/>
          </w:tcPr>
          <w:p w14:paraId="538BCEB0" w14:textId="0F2DE853" w:rsidR="00BC6691" w:rsidRPr="005828FE" w:rsidRDefault="00AA67F5" w:rsidP="00AA67F5">
            <w:pPr>
              <w:pStyle w:val="Normalbold"/>
            </w:pPr>
            <w:r>
              <w:t xml:space="preserve">Disclosures required by paragraph </w:t>
            </w:r>
            <w:r w:rsidR="0078021C">
              <w:t>39</w:t>
            </w:r>
            <w:r>
              <w:t xml:space="preserve"> of </w:t>
            </w:r>
            <w:r w:rsidR="00E97F26">
              <w:t>AASB</w:t>
            </w:r>
            <w:r w:rsidR="00E341D4">
              <w:t xml:space="preserve"> </w:t>
            </w:r>
            <w:r w:rsidR="00E97F26">
              <w:t>10</w:t>
            </w:r>
            <w:r w:rsidR="0078021C">
              <w:t>58</w:t>
            </w:r>
            <w:r>
              <w:t xml:space="preserve"> must be presented </w:t>
            </w:r>
            <w:r w:rsidRPr="00AA67F5">
              <w:t>in</w:t>
            </w:r>
            <w:r>
              <w:t xml:space="preserve"> a tabular format, with columns for applicable legislation, total Parliamentary authority, appropriations applied and variance, as illustrated in </w:t>
            </w:r>
            <w:r w:rsidR="00153FE1">
              <w:t>the Model Report for Victorian Government Departments</w:t>
            </w:r>
            <w:r>
              <w:t>.</w:t>
            </w:r>
          </w:p>
        </w:tc>
      </w:tr>
      <w:tr w:rsidR="005828FE" w:rsidRPr="005828FE" w14:paraId="4E0ACAC9" w14:textId="77777777" w:rsidTr="00E97F26">
        <w:tc>
          <w:tcPr>
            <w:tcW w:w="2293" w:type="dxa"/>
          </w:tcPr>
          <w:p w14:paraId="4FC8F3CA" w14:textId="77777777" w:rsidR="006C78FB" w:rsidRPr="005828FE" w:rsidRDefault="006C78FB" w:rsidP="00382EE1">
            <w:pPr>
              <w:pStyle w:val="Normalgrey"/>
            </w:pPr>
            <w:r w:rsidRPr="005828FE">
              <w:t>Relevant pronouncements</w:t>
            </w:r>
          </w:p>
        </w:tc>
        <w:tc>
          <w:tcPr>
            <w:tcW w:w="270" w:type="dxa"/>
          </w:tcPr>
          <w:p w14:paraId="6B3D5D61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540" w:type="dxa"/>
          </w:tcPr>
          <w:p w14:paraId="2C3439A4" w14:textId="7FAD8D73" w:rsidR="006C78FB" w:rsidRPr="005828FE" w:rsidRDefault="00894C3C" w:rsidP="00286F9A">
            <w:pPr>
              <w:pStyle w:val="Normalgrey"/>
            </w:pPr>
            <w:r>
              <w:t>5.1</w:t>
            </w:r>
          </w:p>
        </w:tc>
        <w:tc>
          <w:tcPr>
            <w:tcW w:w="6134" w:type="dxa"/>
          </w:tcPr>
          <w:p w14:paraId="6A941587" w14:textId="1B9E7EA4" w:rsidR="00421F2E" w:rsidRPr="005828FE" w:rsidRDefault="0078021C" w:rsidP="00153FE1">
            <w:pPr>
              <w:pStyle w:val="Normalgrey"/>
            </w:pPr>
            <w:r>
              <w:t xml:space="preserve">AASB 1058 Income of </w:t>
            </w:r>
            <w:r w:rsidR="0063739A">
              <w:t>N</w:t>
            </w:r>
            <w:r>
              <w:t>ot-for-</w:t>
            </w:r>
            <w:r w:rsidR="0063739A">
              <w:t>P</w:t>
            </w:r>
            <w:r>
              <w:t>rofit entities</w:t>
            </w:r>
            <w:r w:rsidDel="0078021C">
              <w:t xml:space="preserve"> </w:t>
            </w:r>
          </w:p>
        </w:tc>
      </w:tr>
      <w:tr w:rsidR="005828FE" w:rsidRPr="005828FE" w14:paraId="63E73A20" w14:textId="77777777" w:rsidTr="00E97F26">
        <w:tc>
          <w:tcPr>
            <w:tcW w:w="2293" w:type="dxa"/>
          </w:tcPr>
          <w:p w14:paraId="0F126CB2" w14:textId="77777777" w:rsidR="006C78FB" w:rsidRPr="005828FE" w:rsidRDefault="006C78FB" w:rsidP="00382EE1">
            <w:pPr>
              <w:pStyle w:val="Normalgrey"/>
            </w:pPr>
            <w:r w:rsidRPr="005828FE">
              <w:t>Background</w:t>
            </w:r>
          </w:p>
        </w:tc>
        <w:tc>
          <w:tcPr>
            <w:tcW w:w="270" w:type="dxa"/>
          </w:tcPr>
          <w:p w14:paraId="50E09CD0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540" w:type="dxa"/>
          </w:tcPr>
          <w:p w14:paraId="53ECC196" w14:textId="250A1983" w:rsidR="006C78FB" w:rsidRPr="005828FE" w:rsidRDefault="00894C3C" w:rsidP="00286F9A">
            <w:pPr>
              <w:pStyle w:val="Normalgrey"/>
            </w:pPr>
            <w:r>
              <w:t>6.1</w:t>
            </w:r>
          </w:p>
        </w:tc>
        <w:tc>
          <w:tcPr>
            <w:tcW w:w="6134" w:type="dxa"/>
          </w:tcPr>
          <w:p w14:paraId="3CCB7228" w14:textId="60B5E531" w:rsidR="00494632" w:rsidRPr="005828FE" w:rsidRDefault="00AA67F5" w:rsidP="00153FE1">
            <w:pPr>
              <w:pStyle w:val="Bullet1grey"/>
              <w:numPr>
                <w:ilvl w:val="0"/>
                <w:numId w:val="0"/>
              </w:numPr>
              <w:spacing w:after="60"/>
            </w:pPr>
            <w:r>
              <w:t xml:space="preserve">This FRD specifies the format for disclosure of Parliamentary appropriations, to ensure consistent and compliant information is presented in accordance with </w:t>
            </w:r>
            <w:r w:rsidR="00E97F26">
              <w:t>AASB 10</w:t>
            </w:r>
            <w:r w:rsidR="0078021C">
              <w:t>58</w:t>
            </w:r>
            <w:r>
              <w:t>.  This will enhance the comparability of financial statements across departments to assist in economic decision-making and assessments of accountability.  AFRB No. 28 previously required the format prescribed by this FRD.</w:t>
            </w:r>
          </w:p>
        </w:tc>
      </w:tr>
      <w:tr w:rsidR="005C13D7" w:rsidRPr="005828FE" w14:paraId="166573A6" w14:textId="77777777" w:rsidTr="00E97F26">
        <w:tc>
          <w:tcPr>
            <w:tcW w:w="2293" w:type="dxa"/>
          </w:tcPr>
          <w:p w14:paraId="31EBEF2A" w14:textId="77777777" w:rsidR="005C13D7" w:rsidRPr="005828FE" w:rsidRDefault="005C13D7" w:rsidP="00382EE1">
            <w:pPr>
              <w:pStyle w:val="Normalgrey"/>
            </w:pPr>
          </w:p>
        </w:tc>
        <w:tc>
          <w:tcPr>
            <w:tcW w:w="270" w:type="dxa"/>
          </w:tcPr>
          <w:p w14:paraId="4342F4F3" w14:textId="77777777" w:rsidR="005C13D7" w:rsidRPr="005828FE" w:rsidRDefault="005C13D7" w:rsidP="00286F9A">
            <w:pPr>
              <w:pStyle w:val="Normalgrey"/>
            </w:pPr>
          </w:p>
        </w:tc>
        <w:tc>
          <w:tcPr>
            <w:tcW w:w="540" w:type="dxa"/>
          </w:tcPr>
          <w:p w14:paraId="7ABBEE2F" w14:textId="1DD3559F" w:rsidR="005C13D7" w:rsidRDefault="005C13D7" w:rsidP="00286F9A">
            <w:pPr>
              <w:pStyle w:val="Normalgrey"/>
            </w:pPr>
            <w:r>
              <w:t>6.2</w:t>
            </w:r>
          </w:p>
        </w:tc>
        <w:tc>
          <w:tcPr>
            <w:tcW w:w="6134" w:type="dxa"/>
          </w:tcPr>
          <w:p w14:paraId="2E9FE8E6" w14:textId="77777777" w:rsidR="005C13D7" w:rsidRDefault="005C13D7" w:rsidP="005C13D7">
            <w:pPr>
              <w:pStyle w:val="Normalgrey"/>
            </w:pPr>
            <w:r>
              <w:t xml:space="preserve">This FRD was </w:t>
            </w:r>
            <w:r w:rsidRPr="005C13D7">
              <w:t>updated</w:t>
            </w:r>
            <w:r>
              <w:t xml:space="preserve"> in:</w:t>
            </w:r>
          </w:p>
          <w:p w14:paraId="16AD6E19" w14:textId="44CF8A62" w:rsidR="005C13D7" w:rsidRPr="005C13D7" w:rsidRDefault="005C13D7" w:rsidP="005C13D7">
            <w:pPr>
              <w:pStyle w:val="Bullet1grey"/>
            </w:pPr>
            <w:r w:rsidRPr="005C13D7">
              <w:t xml:space="preserve">April 2022 to update references from AAS 29 to AASB 1058 and remove Appendix 1 </w:t>
            </w:r>
            <w:r>
              <w:t xml:space="preserve">as an identical illustration is included </w:t>
            </w:r>
            <w:r w:rsidRPr="005C13D7">
              <w:t>in the Model Report.</w:t>
            </w:r>
          </w:p>
        </w:tc>
      </w:tr>
      <w:tr w:rsidR="005C13D7" w:rsidRPr="005828FE" w14:paraId="66E7EA91" w14:textId="77777777" w:rsidTr="00E97F26">
        <w:tc>
          <w:tcPr>
            <w:tcW w:w="2293" w:type="dxa"/>
          </w:tcPr>
          <w:p w14:paraId="1E1F0BFE" w14:textId="42FD9ADD" w:rsidR="005C13D7" w:rsidRPr="005828FE" w:rsidRDefault="005C13D7" w:rsidP="005C13D7">
            <w:pPr>
              <w:pStyle w:val="Normalgrey"/>
            </w:pPr>
            <w:r w:rsidRPr="009932F2">
              <w:t>Model for Disclosure</w:t>
            </w:r>
          </w:p>
        </w:tc>
        <w:tc>
          <w:tcPr>
            <w:tcW w:w="270" w:type="dxa"/>
          </w:tcPr>
          <w:p w14:paraId="281BC333" w14:textId="77777777" w:rsidR="005C13D7" w:rsidRPr="005828FE" w:rsidRDefault="005C13D7" w:rsidP="005C13D7">
            <w:pPr>
              <w:pStyle w:val="Normalgrey"/>
            </w:pPr>
          </w:p>
        </w:tc>
        <w:tc>
          <w:tcPr>
            <w:tcW w:w="540" w:type="dxa"/>
          </w:tcPr>
          <w:p w14:paraId="4C1C50A5" w14:textId="07BE16A8" w:rsidR="005C13D7" w:rsidRDefault="005C13D7" w:rsidP="005C13D7">
            <w:pPr>
              <w:pStyle w:val="Normalgrey"/>
            </w:pPr>
            <w:r>
              <w:t>7.1</w:t>
            </w:r>
          </w:p>
        </w:tc>
        <w:tc>
          <w:tcPr>
            <w:tcW w:w="6134" w:type="dxa"/>
          </w:tcPr>
          <w:p w14:paraId="6BD859C7" w14:textId="77777777" w:rsidR="005C13D7" w:rsidRDefault="00497C2C" w:rsidP="005C13D7">
            <w:pPr>
              <w:pStyle w:val="Normalgrey"/>
            </w:pPr>
            <w:r w:rsidRPr="00125F24">
              <w:rPr>
                <w:i/>
              </w:rPr>
              <w:t>Model Report for Victorian Government Departments</w:t>
            </w:r>
            <w:r w:rsidRPr="00125F24">
              <w:t xml:space="preserve"> – Section </w:t>
            </w:r>
            <w:r>
              <w:t>2</w:t>
            </w:r>
            <w:r w:rsidRPr="00125F24">
              <w:t xml:space="preserve"> </w:t>
            </w:r>
            <w:r>
              <w:t>Funding delivery of our services</w:t>
            </w:r>
          </w:p>
          <w:p w14:paraId="754EB0F7" w14:textId="77BB4EC4" w:rsidR="00153FE1" w:rsidRDefault="00153FE1" w:rsidP="005C13D7">
            <w:pPr>
              <w:pStyle w:val="Normalgrey"/>
            </w:pPr>
            <w:r>
              <w:t>2.3 Summary of compliance with annual Parliamentary and special appropriations</w:t>
            </w:r>
          </w:p>
        </w:tc>
      </w:tr>
    </w:tbl>
    <w:p w14:paraId="21D14AFF" w14:textId="1377E490" w:rsidR="0042274E" w:rsidRDefault="0042274E" w:rsidP="009D4744">
      <w:pPr>
        <w:pStyle w:val="NormalIndent"/>
        <w:ind w:left="0"/>
      </w:pPr>
    </w:p>
    <w:p w14:paraId="19EAEE58" w14:textId="295EE867" w:rsidR="0042274E" w:rsidRPr="0042274E" w:rsidRDefault="0042274E" w:rsidP="0042274E">
      <w:pPr>
        <w:pStyle w:val="Normalbold"/>
      </w:pPr>
    </w:p>
    <w:p w14:paraId="539DDA07" w14:textId="77777777" w:rsidR="0042274E" w:rsidRPr="0042274E" w:rsidRDefault="0042274E" w:rsidP="00E531A5">
      <w:pPr>
        <w:pStyle w:val="Spacer"/>
      </w:pPr>
    </w:p>
    <w:sectPr w:rsidR="0042274E" w:rsidRPr="0042274E" w:rsidSect="009D4744">
      <w:headerReference w:type="default" r:id="rId9"/>
      <w:footerReference w:type="default" r:id="rId10"/>
      <w:pgSz w:w="11906" w:h="16838" w:code="9"/>
      <w:pgMar w:top="1440" w:right="990" w:bottom="1440" w:left="1296" w:header="446" w:footer="4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2C1A" w14:textId="77777777" w:rsidR="00E341D4" w:rsidRDefault="00E341D4" w:rsidP="002D711A">
      <w:pPr>
        <w:spacing w:after="0" w:line="240" w:lineRule="auto"/>
      </w:pPr>
      <w:r>
        <w:separator/>
      </w:r>
    </w:p>
    <w:p w14:paraId="07ADDA9C" w14:textId="77777777" w:rsidR="00E341D4" w:rsidRDefault="00E341D4"/>
  </w:endnote>
  <w:endnote w:type="continuationSeparator" w:id="0">
    <w:p w14:paraId="57F4445B" w14:textId="77777777" w:rsidR="00E341D4" w:rsidRDefault="00E341D4" w:rsidP="002D711A">
      <w:pPr>
        <w:spacing w:after="0" w:line="240" w:lineRule="auto"/>
      </w:pPr>
      <w:r>
        <w:continuationSeparator/>
      </w:r>
    </w:p>
    <w:p w14:paraId="50EF4AAC" w14:textId="77777777" w:rsidR="00E341D4" w:rsidRDefault="00E3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7C97" w14:textId="4B266B28" w:rsidR="00E341D4" w:rsidRDefault="009043F5" w:rsidP="00A516DE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BE9AFCE" wp14:editId="695C27C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0" name="MSIPCMb69947d9b785bcf3f11b430a" descr="{&quot;HashCode&quot;:-1267603503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14BAD1" w14:textId="34C8697D" w:rsidR="009043F5" w:rsidRPr="009043F5" w:rsidRDefault="009043F5" w:rsidP="009043F5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043F5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9AFCE" id="_x0000_t202" coordsize="21600,21600" o:spt="202" path="m,l,21600r21600,l21600,xe">
              <v:stroke joinstyle="miter"/>
              <v:path gradientshapeok="t" o:connecttype="rect"/>
            </v:shapetype>
            <v:shape id="MSIPCMb69947d9b785bcf3f11b430a" o:spid="_x0000_s1026" type="#_x0000_t202" alt="{&quot;HashCode&quot;:-1267603503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B0iPGpsgIAAEk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2214BAD1" w14:textId="34C8697D" w:rsidR="009043F5" w:rsidRPr="009043F5" w:rsidRDefault="009043F5" w:rsidP="009043F5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043F5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D26C18" wp14:editId="2B12EA3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" name="MSIPCM1d694169b0fc482e106a0ae4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52DE9D" w14:textId="0D062443" w:rsidR="009043F5" w:rsidRPr="009043F5" w:rsidRDefault="009043F5" w:rsidP="009043F5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043F5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D26C18" id="MSIPCM1d694169b0fc482e106a0ae4" o:spid="_x0000_s1027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DmSyhktQIAAE8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1152DE9D" w14:textId="0D062443" w:rsidR="009043F5" w:rsidRPr="009043F5" w:rsidRDefault="009043F5" w:rsidP="009043F5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043F5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8A8438" w14:textId="2A95C31B" w:rsidR="00E341D4" w:rsidRPr="005828FE" w:rsidRDefault="00E341D4" w:rsidP="0042274E">
    <w:pPr>
      <w:pStyle w:val="Footer"/>
      <w:tabs>
        <w:tab w:val="clear" w:pos="9026"/>
        <w:tab w:val="right" w:pos="13950"/>
      </w:tabs>
      <w:spacing w:before="0"/>
    </w:pPr>
    <w:r w:rsidRPr="005828FE">
      <w:rPr>
        <w:b/>
        <w:noProof w:val="0"/>
      </w:rPr>
      <w:fldChar w:fldCharType="begin"/>
    </w:r>
    <w:r w:rsidRPr="005828FE">
      <w:rPr>
        <w:b/>
      </w:rPr>
      <w:instrText xml:space="preserve"> StyleRef “FRD number” </w:instrText>
    </w:r>
    <w:r w:rsidRPr="005828FE">
      <w:rPr>
        <w:b/>
        <w:noProof w:val="0"/>
      </w:rPr>
      <w:fldChar w:fldCharType="separate"/>
    </w:r>
    <w:r w:rsidR="006F7DCF">
      <w:rPr>
        <w:b/>
      </w:rPr>
      <w:t>FRD 13</w:t>
    </w:r>
    <w:r w:rsidRPr="005828FE">
      <w:rPr>
        <w:b/>
      </w:rPr>
      <w:fldChar w:fldCharType="end"/>
    </w:r>
    <w:r w:rsidRPr="005828FE">
      <w:rPr>
        <w:b/>
      </w:rPr>
      <w:t xml:space="preserve"> </w:t>
    </w:r>
    <w:r w:rsidRPr="006C78FB">
      <w:fldChar w:fldCharType="begin"/>
    </w:r>
    <w:r w:rsidRPr="006C78FB">
      <w:instrText xml:space="preserve"> StyleRef “FRD Header” </w:instrText>
    </w:r>
    <w:r w:rsidRPr="006C78FB">
      <w:fldChar w:fldCharType="separate"/>
    </w:r>
    <w:r w:rsidR="006F7DCF">
      <w:t>Disclosure of Parliamentary Appropriations (April 2022)</w:t>
    </w:r>
    <w:r w:rsidRPr="006C78FB">
      <w:fldChar w:fldCharType="end"/>
    </w:r>
    <w:r w:rsidRPr="00C022F9">
      <w:tab/>
    </w:r>
    <w:r w:rsidRPr="005828FE">
      <w:t xml:space="preserve">Page </w:t>
    </w:r>
    <w:r w:rsidRPr="005828FE">
      <w:rPr>
        <w:rStyle w:val="PageNumber"/>
        <w:color w:val="auto"/>
      </w:rPr>
      <w:fldChar w:fldCharType="begin"/>
    </w:r>
    <w:r w:rsidRPr="005828FE">
      <w:rPr>
        <w:rStyle w:val="PageNumber"/>
        <w:color w:val="auto"/>
      </w:rPr>
      <w:instrText xml:space="preserve"> Page </w:instrText>
    </w:r>
    <w:r w:rsidRPr="005828FE">
      <w:rPr>
        <w:rStyle w:val="PageNumber"/>
        <w:color w:val="auto"/>
      </w:rPr>
      <w:fldChar w:fldCharType="separate"/>
    </w:r>
    <w:r>
      <w:rPr>
        <w:rStyle w:val="PageNumber"/>
        <w:color w:val="auto"/>
      </w:rPr>
      <w:t>1</w:t>
    </w:r>
    <w:r w:rsidRPr="005828FE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09F0" w14:textId="77777777" w:rsidR="00E341D4" w:rsidRDefault="00E341D4" w:rsidP="002D711A">
      <w:pPr>
        <w:spacing w:after="0" w:line="240" w:lineRule="auto"/>
      </w:pPr>
      <w:r>
        <w:separator/>
      </w:r>
    </w:p>
    <w:p w14:paraId="5DDD13ED" w14:textId="77777777" w:rsidR="00E341D4" w:rsidRDefault="00E341D4"/>
  </w:footnote>
  <w:footnote w:type="continuationSeparator" w:id="0">
    <w:p w14:paraId="44336E6E" w14:textId="77777777" w:rsidR="00E341D4" w:rsidRDefault="00E341D4" w:rsidP="002D711A">
      <w:pPr>
        <w:spacing w:after="0" w:line="240" w:lineRule="auto"/>
      </w:pPr>
      <w:r>
        <w:continuationSeparator/>
      </w:r>
    </w:p>
    <w:p w14:paraId="04205C10" w14:textId="77777777" w:rsidR="00E341D4" w:rsidRDefault="00E34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6BD7" w14:textId="77777777" w:rsidR="00E341D4" w:rsidRPr="0041689E" w:rsidRDefault="00E341D4" w:rsidP="005828FE">
    <w:pPr>
      <w:pStyle w:val="Header"/>
      <w:tabs>
        <w:tab w:val="clear" w:pos="9026"/>
      </w:tabs>
      <w:ind w:right="-694"/>
      <w:jc w:val="right"/>
    </w:pPr>
    <w:r>
      <w:rPr>
        <w:noProof/>
      </w:rPr>
      <w:drawing>
        <wp:inline distT="0" distB="0" distL="0" distR="0" wp14:anchorId="7E9C1AD2" wp14:editId="45BDEC71">
          <wp:extent cx="813816" cy="466344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logo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46D3A6A"/>
    <w:multiLevelType w:val="multilevel"/>
    <w:tmpl w:val="7B804CF0"/>
    <w:lvl w:ilvl="0">
      <w:start w:val="1"/>
      <w:numFmt w:val="bullet"/>
      <w:pStyle w:val="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vanish w:val="0"/>
        <w:color w:val="auto"/>
        <w:sz w:val="18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vanish w:val="0"/>
        <w:color w:val="4D4D4D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152"/>
        </w:tabs>
        <w:ind w:left="1152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2" w15:restartNumberingAfterBreak="0">
    <w:nsid w:val="4AC35A9B"/>
    <w:multiLevelType w:val="multilevel"/>
    <w:tmpl w:val="03925288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C0124D7"/>
    <w:multiLevelType w:val="multilevel"/>
    <w:tmpl w:val="576071D4"/>
    <w:lvl w:ilvl="0">
      <w:start w:val="1"/>
      <w:numFmt w:val="decimal"/>
      <w:pStyle w:val="Refnum1"/>
      <w:suff w:val="nothing"/>
      <w:lvlText w:val="%1.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efnum2grey"/>
      <w:suff w:val="nothing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2F2F2" w:themeColor="background1" w:themeShade="F2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efnum2"/>
      <w:suff w:val="nothing"/>
      <w:lvlText w:val="%1.%3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370627C"/>
    <w:multiLevelType w:val="singleLevel"/>
    <w:tmpl w:val="5D66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C334F7"/>
    <w:multiLevelType w:val="multilevel"/>
    <w:tmpl w:val="E9D8919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FD44514"/>
    <w:multiLevelType w:val="multilevel"/>
    <w:tmpl w:val="0562CB6E"/>
    <w:lvl w:ilvl="0">
      <w:start w:val="1"/>
      <w:numFmt w:val="lowerLetter"/>
      <w:pStyle w:val="Listnum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lowerLetter"/>
      <w:lvlRestart w:val="0"/>
      <w:pStyle w:val="Listnumgrey"/>
      <w:lvlText w:val="(%3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lowerRoman"/>
      <w:pStyle w:val="Listnum2grey"/>
      <w:lvlText w:val="(%4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0"/>
  </w:num>
  <w:num w:numId="18">
    <w:abstractNumId w:val="0"/>
  </w:num>
  <w:num w:numId="19">
    <w:abstractNumId w:val="2"/>
  </w:num>
  <w:num w:numId="20">
    <w:abstractNumId w:val="5"/>
  </w:num>
  <w:num w:numId="21">
    <w:abstractNumId w:val="5"/>
  </w:num>
  <w:num w:numId="22">
    <w:abstractNumId w:val="3"/>
  </w:num>
  <w:num w:numId="23">
    <w:abstractNumId w:val="3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9C8"/>
    <w:rsid w:val="0000176A"/>
    <w:rsid w:val="00012F6F"/>
    <w:rsid w:val="00014213"/>
    <w:rsid w:val="00014B55"/>
    <w:rsid w:val="00020E3E"/>
    <w:rsid w:val="00023BF3"/>
    <w:rsid w:val="00026811"/>
    <w:rsid w:val="0004356D"/>
    <w:rsid w:val="00045296"/>
    <w:rsid w:val="00075E6C"/>
    <w:rsid w:val="000B1219"/>
    <w:rsid w:val="000B29AD"/>
    <w:rsid w:val="000C6372"/>
    <w:rsid w:val="000D4A64"/>
    <w:rsid w:val="000E392D"/>
    <w:rsid w:val="000F4288"/>
    <w:rsid w:val="000F7165"/>
    <w:rsid w:val="00102379"/>
    <w:rsid w:val="001065D6"/>
    <w:rsid w:val="00106E44"/>
    <w:rsid w:val="00117C6B"/>
    <w:rsid w:val="00121252"/>
    <w:rsid w:val="00124609"/>
    <w:rsid w:val="001254CE"/>
    <w:rsid w:val="001302DE"/>
    <w:rsid w:val="00134CEA"/>
    <w:rsid w:val="001422CC"/>
    <w:rsid w:val="00153FE1"/>
    <w:rsid w:val="00154FDB"/>
    <w:rsid w:val="00157F59"/>
    <w:rsid w:val="001617B6"/>
    <w:rsid w:val="00165E66"/>
    <w:rsid w:val="001A72EC"/>
    <w:rsid w:val="001C7BAE"/>
    <w:rsid w:val="001E31FA"/>
    <w:rsid w:val="001E64F6"/>
    <w:rsid w:val="001F5335"/>
    <w:rsid w:val="00204CB9"/>
    <w:rsid w:val="00215F7C"/>
    <w:rsid w:val="00222BEB"/>
    <w:rsid w:val="00225E60"/>
    <w:rsid w:val="00231BD3"/>
    <w:rsid w:val="0023202C"/>
    <w:rsid w:val="00236203"/>
    <w:rsid w:val="00245043"/>
    <w:rsid w:val="00257760"/>
    <w:rsid w:val="002752C5"/>
    <w:rsid w:val="00286F9A"/>
    <w:rsid w:val="00292D36"/>
    <w:rsid w:val="00297281"/>
    <w:rsid w:val="002A4004"/>
    <w:rsid w:val="002A79B8"/>
    <w:rsid w:val="002C54E0"/>
    <w:rsid w:val="002C667C"/>
    <w:rsid w:val="002D711A"/>
    <w:rsid w:val="002D7336"/>
    <w:rsid w:val="002E3396"/>
    <w:rsid w:val="0031149C"/>
    <w:rsid w:val="00321AC8"/>
    <w:rsid w:val="003225E4"/>
    <w:rsid w:val="00361426"/>
    <w:rsid w:val="00382EE1"/>
    <w:rsid w:val="00385422"/>
    <w:rsid w:val="0038771C"/>
    <w:rsid w:val="0039405B"/>
    <w:rsid w:val="003A1C92"/>
    <w:rsid w:val="003A541A"/>
    <w:rsid w:val="003A6923"/>
    <w:rsid w:val="003C2C67"/>
    <w:rsid w:val="003C5BA4"/>
    <w:rsid w:val="003E3E26"/>
    <w:rsid w:val="003F1295"/>
    <w:rsid w:val="003F76FC"/>
    <w:rsid w:val="004002EB"/>
    <w:rsid w:val="0041689E"/>
    <w:rsid w:val="00421F2E"/>
    <w:rsid w:val="0042274E"/>
    <w:rsid w:val="004236C8"/>
    <w:rsid w:val="00427681"/>
    <w:rsid w:val="00433DB7"/>
    <w:rsid w:val="00453750"/>
    <w:rsid w:val="00456941"/>
    <w:rsid w:val="00464F7E"/>
    <w:rsid w:val="0046697B"/>
    <w:rsid w:val="004702EA"/>
    <w:rsid w:val="00482D02"/>
    <w:rsid w:val="00494632"/>
    <w:rsid w:val="00497C2C"/>
    <w:rsid w:val="004A7519"/>
    <w:rsid w:val="004D3518"/>
    <w:rsid w:val="004D4EE0"/>
    <w:rsid w:val="004D62D6"/>
    <w:rsid w:val="004D71D7"/>
    <w:rsid w:val="004F163E"/>
    <w:rsid w:val="004F6445"/>
    <w:rsid w:val="0053416C"/>
    <w:rsid w:val="00541C2F"/>
    <w:rsid w:val="00554086"/>
    <w:rsid w:val="00563527"/>
    <w:rsid w:val="00565CF3"/>
    <w:rsid w:val="0057703D"/>
    <w:rsid w:val="0058124E"/>
    <w:rsid w:val="005828FE"/>
    <w:rsid w:val="005875A3"/>
    <w:rsid w:val="005A3416"/>
    <w:rsid w:val="005B27FE"/>
    <w:rsid w:val="005C13D7"/>
    <w:rsid w:val="005C3E6D"/>
    <w:rsid w:val="005D51F0"/>
    <w:rsid w:val="005F61DF"/>
    <w:rsid w:val="005F681F"/>
    <w:rsid w:val="006023F9"/>
    <w:rsid w:val="00610559"/>
    <w:rsid w:val="006332F6"/>
    <w:rsid w:val="0063739A"/>
    <w:rsid w:val="006519F6"/>
    <w:rsid w:val="00652625"/>
    <w:rsid w:val="006534B2"/>
    <w:rsid w:val="0065615D"/>
    <w:rsid w:val="00657011"/>
    <w:rsid w:val="006650B5"/>
    <w:rsid w:val="006651B1"/>
    <w:rsid w:val="00665778"/>
    <w:rsid w:val="006A5B34"/>
    <w:rsid w:val="006A5F5B"/>
    <w:rsid w:val="006B2873"/>
    <w:rsid w:val="006B3229"/>
    <w:rsid w:val="006C77A9"/>
    <w:rsid w:val="006C78FB"/>
    <w:rsid w:val="006D66F9"/>
    <w:rsid w:val="006F6693"/>
    <w:rsid w:val="006F7DCF"/>
    <w:rsid w:val="0070117D"/>
    <w:rsid w:val="00707FE8"/>
    <w:rsid w:val="00724962"/>
    <w:rsid w:val="00724A0F"/>
    <w:rsid w:val="00732162"/>
    <w:rsid w:val="00736732"/>
    <w:rsid w:val="00740302"/>
    <w:rsid w:val="0074281E"/>
    <w:rsid w:val="00745174"/>
    <w:rsid w:val="00750CBE"/>
    <w:rsid w:val="007628F9"/>
    <w:rsid w:val="00766B5A"/>
    <w:rsid w:val="0078021C"/>
    <w:rsid w:val="007834F2"/>
    <w:rsid w:val="00791020"/>
    <w:rsid w:val="0079355D"/>
    <w:rsid w:val="007A5F82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63669"/>
    <w:rsid w:val="0087466D"/>
    <w:rsid w:val="00894C3C"/>
    <w:rsid w:val="008A0B24"/>
    <w:rsid w:val="008A4900"/>
    <w:rsid w:val="008B2A17"/>
    <w:rsid w:val="008C63EE"/>
    <w:rsid w:val="008D0281"/>
    <w:rsid w:val="008E3C4E"/>
    <w:rsid w:val="008F6D45"/>
    <w:rsid w:val="009043F5"/>
    <w:rsid w:val="00942CF8"/>
    <w:rsid w:val="00957221"/>
    <w:rsid w:val="00962BE9"/>
    <w:rsid w:val="00963C94"/>
    <w:rsid w:val="009834C0"/>
    <w:rsid w:val="00986322"/>
    <w:rsid w:val="00986AAC"/>
    <w:rsid w:val="0099093E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C503D"/>
    <w:rsid w:val="009D4744"/>
    <w:rsid w:val="009E3858"/>
    <w:rsid w:val="009E70DD"/>
    <w:rsid w:val="009F2ED9"/>
    <w:rsid w:val="009F3231"/>
    <w:rsid w:val="009F5C58"/>
    <w:rsid w:val="009F6C35"/>
    <w:rsid w:val="00A023A0"/>
    <w:rsid w:val="00A03F5F"/>
    <w:rsid w:val="00A1562B"/>
    <w:rsid w:val="00A170F4"/>
    <w:rsid w:val="00A2559E"/>
    <w:rsid w:val="00A25FD9"/>
    <w:rsid w:val="00A46BA8"/>
    <w:rsid w:val="00A47634"/>
    <w:rsid w:val="00A516DE"/>
    <w:rsid w:val="00A612FE"/>
    <w:rsid w:val="00A736BE"/>
    <w:rsid w:val="00AA26B8"/>
    <w:rsid w:val="00AA4D53"/>
    <w:rsid w:val="00AA67F5"/>
    <w:rsid w:val="00AB3FE2"/>
    <w:rsid w:val="00AC11CF"/>
    <w:rsid w:val="00AC4B9D"/>
    <w:rsid w:val="00AD3322"/>
    <w:rsid w:val="00AD7E4E"/>
    <w:rsid w:val="00AF3D47"/>
    <w:rsid w:val="00AF48A0"/>
    <w:rsid w:val="00AF4D58"/>
    <w:rsid w:val="00AF6666"/>
    <w:rsid w:val="00B10154"/>
    <w:rsid w:val="00B6366E"/>
    <w:rsid w:val="00B71CFB"/>
    <w:rsid w:val="00B81B44"/>
    <w:rsid w:val="00B9053B"/>
    <w:rsid w:val="00B93C44"/>
    <w:rsid w:val="00BC3422"/>
    <w:rsid w:val="00BC6691"/>
    <w:rsid w:val="00C015B9"/>
    <w:rsid w:val="00C022F9"/>
    <w:rsid w:val="00C032EA"/>
    <w:rsid w:val="00C04715"/>
    <w:rsid w:val="00C06EB5"/>
    <w:rsid w:val="00C1145F"/>
    <w:rsid w:val="00C24745"/>
    <w:rsid w:val="00C637E1"/>
    <w:rsid w:val="00C70D50"/>
    <w:rsid w:val="00C907D7"/>
    <w:rsid w:val="00C92338"/>
    <w:rsid w:val="00CA1DC8"/>
    <w:rsid w:val="00CA7C3A"/>
    <w:rsid w:val="00CB4622"/>
    <w:rsid w:val="00CC2DB2"/>
    <w:rsid w:val="00CD0307"/>
    <w:rsid w:val="00CD1647"/>
    <w:rsid w:val="00CD3D1B"/>
    <w:rsid w:val="00CF7DCA"/>
    <w:rsid w:val="00D0364F"/>
    <w:rsid w:val="00D211E9"/>
    <w:rsid w:val="00D2312F"/>
    <w:rsid w:val="00D269C1"/>
    <w:rsid w:val="00D44953"/>
    <w:rsid w:val="00D45E19"/>
    <w:rsid w:val="00D542F3"/>
    <w:rsid w:val="00D5644B"/>
    <w:rsid w:val="00D56E25"/>
    <w:rsid w:val="00D718D7"/>
    <w:rsid w:val="00D814B7"/>
    <w:rsid w:val="00D8619C"/>
    <w:rsid w:val="00D90688"/>
    <w:rsid w:val="00DA3AAD"/>
    <w:rsid w:val="00DA7832"/>
    <w:rsid w:val="00DB312B"/>
    <w:rsid w:val="00DC5654"/>
    <w:rsid w:val="00DC658F"/>
    <w:rsid w:val="00DD5EB6"/>
    <w:rsid w:val="00DD6F07"/>
    <w:rsid w:val="00DE60CC"/>
    <w:rsid w:val="00E07B58"/>
    <w:rsid w:val="00E122DB"/>
    <w:rsid w:val="00E1551F"/>
    <w:rsid w:val="00E20142"/>
    <w:rsid w:val="00E26B32"/>
    <w:rsid w:val="00E30E0A"/>
    <w:rsid w:val="00E3232B"/>
    <w:rsid w:val="00E341D4"/>
    <w:rsid w:val="00E407B6"/>
    <w:rsid w:val="00E41EF1"/>
    <w:rsid w:val="00E42942"/>
    <w:rsid w:val="00E468A6"/>
    <w:rsid w:val="00E531A5"/>
    <w:rsid w:val="00E71BDF"/>
    <w:rsid w:val="00E83CA7"/>
    <w:rsid w:val="00E97F26"/>
    <w:rsid w:val="00EA03A3"/>
    <w:rsid w:val="00EC171D"/>
    <w:rsid w:val="00ED487E"/>
    <w:rsid w:val="00EE7A0D"/>
    <w:rsid w:val="00F17CE1"/>
    <w:rsid w:val="00F2115C"/>
    <w:rsid w:val="00F22ABA"/>
    <w:rsid w:val="00F23366"/>
    <w:rsid w:val="00F36B12"/>
    <w:rsid w:val="00F55AF4"/>
    <w:rsid w:val="00F60F9F"/>
    <w:rsid w:val="00F64F08"/>
    <w:rsid w:val="00F734F5"/>
    <w:rsid w:val="00F940E8"/>
    <w:rsid w:val="00F966B1"/>
    <w:rsid w:val="00F97D48"/>
    <w:rsid w:val="00FA0311"/>
    <w:rsid w:val="00FA09C8"/>
    <w:rsid w:val="00FA1680"/>
    <w:rsid w:val="00FB1EC9"/>
    <w:rsid w:val="00FC42E5"/>
    <w:rsid w:val="00FD640F"/>
    <w:rsid w:val="00FD6B4C"/>
    <w:rsid w:val="00FE782F"/>
    <w:rsid w:val="00FF051E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4149145"/>
  <w15:docId w15:val="{5E9B6779-B642-48C8-AC7C-1FA29DF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45"/>
    <w:pPr>
      <w:spacing w:before="160" w:after="100"/>
    </w:pPr>
    <w:rPr>
      <w:spacing w:val="2"/>
      <w:sz w:val="18"/>
    </w:rPr>
  </w:style>
  <w:style w:type="paragraph" w:styleId="Heading1">
    <w:name w:val="heading 1"/>
    <w:next w:val="Normal"/>
    <w:link w:val="Heading1Char"/>
    <w:uiPriority w:val="99"/>
    <w:rsid w:val="00E20142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E20142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227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A5F5B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uiPriority w:val="99"/>
    <w:rsid w:val="00962BE9"/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62BE9"/>
    <w:rPr>
      <w:rFonts w:asciiTheme="majorHAnsi" w:eastAsiaTheme="majorEastAsia" w:hAnsiTheme="majorHAnsi" w:cstheme="majorBidi"/>
      <w:b/>
      <w:bCs/>
      <w:color w:val="7F7F7F" w:themeColor="text1" w:themeTint="80"/>
      <w:spacing w:val="2"/>
      <w:sz w:val="28"/>
      <w:szCs w:val="26"/>
    </w:rPr>
  </w:style>
  <w:style w:type="paragraph" w:customStyle="1" w:styleId="Bullet1">
    <w:name w:val="Bullet 1"/>
    <w:uiPriority w:val="2"/>
    <w:qFormat/>
    <w:rsid w:val="00B93C44"/>
    <w:pPr>
      <w:numPr>
        <w:numId w:val="8"/>
      </w:numPr>
      <w:spacing w:before="160" w:after="0" w:line="240" w:lineRule="auto"/>
      <w:contextualSpacing/>
    </w:pPr>
    <w:rPr>
      <w:rFonts w:eastAsia="Times New Roman" w:cs="Calibri"/>
      <w:spacing w:val="2"/>
      <w:sz w:val="18"/>
    </w:rPr>
  </w:style>
  <w:style w:type="paragraph" w:customStyle="1" w:styleId="Bullet2">
    <w:name w:val="Bullet 2"/>
    <w:basedOn w:val="Bullet1"/>
    <w:uiPriority w:val="2"/>
    <w:qFormat/>
    <w:rsid w:val="0099093E"/>
    <w:pPr>
      <w:numPr>
        <w:ilvl w:val="1"/>
      </w:numPr>
      <w:spacing w:before="0"/>
    </w:pPr>
  </w:style>
  <w:style w:type="paragraph" w:customStyle="1" w:styleId="Bulletindent">
    <w:name w:val="Bullet indent"/>
    <w:basedOn w:val="Bullet2"/>
    <w:uiPriority w:val="7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semiHidden/>
    <w:qFormat/>
    <w:rsid w:val="00EC171D"/>
  </w:style>
  <w:style w:type="paragraph" w:customStyle="1" w:styleId="Heading2numbered">
    <w:name w:val="Heading 2 numbered"/>
    <w:basedOn w:val="Heading2"/>
    <w:next w:val="NormalIndent"/>
    <w:uiPriority w:val="4"/>
    <w:semiHidden/>
    <w:qFormat/>
    <w:rsid w:val="00EC171D"/>
  </w:style>
  <w:style w:type="paragraph" w:customStyle="1" w:styleId="Heading3numbered">
    <w:name w:val="Heading 3 numbered"/>
    <w:basedOn w:val="Heading3"/>
    <w:next w:val="NormalIndent"/>
    <w:uiPriority w:val="4"/>
    <w:semiHidden/>
    <w:qFormat/>
    <w:rsid w:val="00EC171D"/>
    <w:pPr>
      <w:numPr>
        <w:ilvl w:val="4"/>
        <w:numId w:val="16"/>
      </w:numPr>
    </w:pPr>
  </w:style>
  <w:style w:type="character" w:customStyle="1" w:styleId="Heading3Char">
    <w:name w:val="Heading 3 Char"/>
    <w:basedOn w:val="DefaultParagraphFont"/>
    <w:link w:val="Heading3"/>
    <w:semiHidden/>
    <w:rsid w:val="001302D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semiHidden/>
    <w:qFormat/>
    <w:rsid w:val="00EC171D"/>
    <w:pPr>
      <w:numPr>
        <w:ilvl w:val="5"/>
        <w:numId w:val="16"/>
      </w:numPr>
    </w:pPr>
  </w:style>
  <w:style w:type="character" w:customStyle="1" w:styleId="Heading4Char">
    <w:name w:val="Heading 4 Char"/>
    <w:basedOn w:val="DefaultParagraphFont"/>
    <w:link w:val="Heading4"/>
    <w:semiHidden/>
    <w:rsid w:val="001302D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FB1EC9"/>
    <w:pPr>
      <w:spacing w:line="252" w:lineRule="auto"/>
      <w:ind w:left="288"/>
    </w:p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23366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semiHidden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23366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7"/>
    <w:qFormat/>
    <w:rsid w:val="00EC171D"/>
    <w:pPr>
      <w:numPr>
        <w:ilvl w:val="3"/>
        <w:numId w:val="8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EC171D"/>
    <w:pPr>
      <w:tabs>
        <w:tab w:val="right" w:pos="9026"/>
      </w:tabs>
      <w:spacing w:after="0" w:line="240" w:lineRule="auto"/>
    </w:pPr>
    <w:rPr>
      <w:noProof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C171D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745174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106E44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9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8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7"/>
    <w:qFormat/>
    <w:rsid w:val="00EC171D"/>
    <w:pPr>
      <w:numPr>
        <w:ilvl w:val="7"/>
        <w:numId w:val="16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7"/>
    <w:qFormat/>
    <w:rsid w:val="00EC171D"/>
    <w:pPr>
      <w:numPr>
        <w:ilvl w:val="6"/>
        <w:numId w:val="16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FE782F"/>
    <w:pPr>
      <w:numPr>
        <w:numId w:val="4"/>
      </w:numPr>
      <w:contextualSpacing/>
    </w:pPr>
  </w:style>
  <w:style w:type="paragraph" w:customStyle="1" w:styleId="Listnum2">
    <w:name w:val="List num 2"/>
    <w:basedOn w:val="Normal"/>
    <w:uiPriority w:val="1"/>
    <w:qFormat/>
    <w:rsid w:val="00117C6B"/>
    <w:pPr>
      <w:numPr>
        <w:ilvl w:val="1"/>
        <w:numId w:val="16"/>
      </w:numPr>
      <w:contextualSpacing/>
    </w:pPr>
  </w:style>
  <w:style w:type="paragraph" w:customStyle="1" w:styleId="Tabletextcentred">
    <w:name w:val="Table text centred"/>
    <w:basedOn w:val="Tabletext"/>
    <w:uiPriority w:val="8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00176A"/>
    <w:pPr>
      <w:keepNext/>
      <w:keepLines/>
      <w:spacing w:before="120"/>
    </w:pPr>
    <w:rPr>
      <w:rFonts w:eastAsiaTheme="minorHAnsi"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D211E9"/>
    <w:pPr>
      <w:numPr>
        <w:numId w:val="18"/>
      </w:numPr>
    </w:pPr>
  </w:style>
  <w:style w:type="paragraph" w:customStyle="1" w:styleId="Tabledash">
    <w:name w:val="Table dash"/>
    <w:basedOn w:val="Tablebullet"/>
    <w:uiPriority w:val="9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D211E9"/>
    <w:pPr>
      <w:ind w:left="288"/>
    </w:pPr>
  </w:style>
  <w:style w:type="paragraph" w:customStyle="1" w:styleId="FRDHeader">
    <w:name w:val="FRD Header"/>
    <w:basedOn w:val="Normal"/>
    <w:semiHidden/>
    <w:rsid w:val="00E122DB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paragraph" w:customStyle="1" w:styleId="FRDNumber">
    <w:name w:val="FRD Number"/>
    <w:basedOn w:val="FRDHeader"/>
    <w:semiHidden/>
    <w:rsid w:val="00E122DB"/>
  </w:style>
  <w:style w:type="paragraph" w:customStyle="1" w:styleId="Normalgrey">
    <w:name w:val="Normal grey"/>
    <w:basedOn w:val="Normal"/>
    <w:uiPriority w:val="2"/>
    <w:qFormat/>
    <w:rsid w:val="00382EE1"/>
    <w:pPr>
      <w:spacing w:line="264" w:lineRule="auto"/>
    </w:pPr>
    <w:rPr>
      <w:rFonts w:eastAsiaTheme="minorHAnsi"/>
      <w:color w:val="4D4D4D"/>
      <w:szCs w:val="18"/>
      <w:lang w:eastAsia="en-US"/>
    </w:rPr>
  </w:style>
  <w:style w:type="paragraph" w:customStyle="1" w:styleId="Bullet1grey">
    <w:name w:val="Bullet 1 grey"/>
    <w:basedOn w:val="Bullet1"/>
    <w:uiPriority w:val="3"/>
    <w:qFormat/>
    <w:rsid w:val="0099093E"/>
    <w:rPr>
      <w:color w:val="4D4D4D"/>
      <w:szCs w:val="18"/>
      <w:lang w:eastAsia="en-US"/>
    </w:rPr>
  </w:style>
  <w:style w:type="paragraph" w:customStyle="1" w:styleId="Normalbold">
    <w:name w:val="Normal bold"/>
    <w:basedOn w:val="Normal"/>
    <w:qFormat/>
    <w:rsid w:val="00A516DE"/>
    <w:pPr>
      <w:spacing w:line="264" w:lineRule="auto"/>
    </w:pPr>
    <w:rPr>
      <w:rFonts w:eastAsiaTheme="minorHAnsi"/>
      <w:b/>
      <w:szCs w:val="18"/>
      <w:lang w:eastAsia="en-US"/>
    </w:rPr>
  </w:style>
  <w:style w:type="paragraph" w:customStyle="1" w:styleId="Refnum1">
    <w:name w:val="Ref num 1"/>
    <w:basedOn w:val="Normal"/>
    <w:uiPriority w:val="7"/>
    <w:rsid w:val="00DD5EB6"/>
    <w:pPr>
      <w:numPr>
        <w:numId w:val="22"/>
      </w:numPr>
      <w:spacing w:line="240" w:lineRule="auto"/>
    </w:pPr>
    <w:rPr>
      <w:rFonts w:eastAsia="Calibri" w:cs="Times New Roman"/>
      <w:color w:val="FFFFFF" w:themeColor="background1"/>
      <w:spacing w:val="0"/>
      <w:szCs w:val="21"/>
      <w:lang w:eastAsia="en-US"/>
    </w:rPr>
  </w:style>
  <w:style w:type="paragraph" w:customStyle="1" w:styleId="Refnum2">
    <w:name w:val="Ref num 2"/>
    <w:basedOn w:val="Refnum1"/>
    <w:uiPriority w:val="7"/>
    <w:rsid w:val="00957221"/>
    <w:pPr>
      <w:numPr>
        <w:ilvl w:val="2"/>
      </w:numPr>
    </w:pPr>
    <w:rPr>
      <w:color w:val="auto"/>
    </w:rPr>
  </w:style>
  <w:style w:type="paragraph" w:customStyle="1" w:styleId="Bullet2grey">
    <w:name w:val="Bullet 2 grey"/>
    <w:basedOn w:val="Bullet2"/>
    <w:uiPriority w:val="3"/>
    <w:qFormat/>
    <w:rsid w:val="0099093E"/>
    <w:rPr>
      <w:color w:val="4D4D4D"/>
      <w:szCs w:val="21"/>
      <w:lang w:eastAsia="en-US"/>
    </w:rPr>
  </w:style>
  <w:style w:type="paragraph" w:customStyle="1" w:styleId="Listnumgrey">
    <w:name w:val="List num grey"/>
    <w:uiPriority w:val="3"/>
    <w:qFormat/>
    <w:rsid w:val="00FA1680"/>
    <w:pPr>
      <w:numPr>
        <w:ilvl w:val="2"/>
        <w:numId w:val="16"/>
      </w:numPr>
      <w:spacing w:line="264" w:lineRule="auto"/>
    </w:pPr>
    <w:rPr>
      <w:rFonts w:eastAsiaTheme="minorHAnsi"/>
      <w:color w:val="4D4D4D"/>
      <w:spacing w:val="2"/>
      <w:sz w:val="18"/>
      <w:szCs w:val="21"/>
      <w:lang w:eastAsia="en-US"/>
    </w:rPr>
  </w:style>
  <w:style w:type="paragraph" w:customStyle="1" w:styleId="Listnum2grey">
    <w:name w:val="List num 2 grey"/>
    <w:uiPriority w:val="4"/>
    <w:qFormat/>
    <w:rsid w:val="00FA1680"/>
    <w:pPr>
      <w:numPr>
        <w:ilvl w:val="3"/>
        <w:numId w:val="16"/>
      </w:numPr>
      <w:spacing w:line="264" w:lineRule="auto"/>
    </w:pPr>
    <w:rPr>
      <w:rFonts w:eastAsiaTheme="minorHAnsi"/>
      <w:color w:val="4D4D4D"/>
      <w:spacing w:val="2"/>
      <w:sz w:val="18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DD5EB6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6B2873"/>
    <w:pPr>
      <w:numPr>
        <w:ilvl w:val="1"/>
        <w:numId w:val="22"/>
      </w:numPr>
    </w:pPr>
  </w:style>
  <w:style w:type="paragraph" w:customStyle="1" w:styleId="Normalgreybold">
    <w:name w:val="Normal grey bold"/>
    <w:basedOn w:val="Normalgrey"/>
    <w:qFormat/>
    <w:rsid w:val="00E20142"/>
    <w:rPr>
      <w:b/>
    </w:rPr>
  </w:style>
  <w:style w:type="paragraph" w:customStyle="1" w:styleId="NormalIndentgrey">
    <w:name w:val="Normal Indent grey"/>
    <w:basedOn w:val="NormalIndent"/>
    <w:qFormat/>
    <w:rsid w:val="00FE782F"/>
    <w:rPr>
      <w:color w:val="4D4D4D"/>
      <w:szCs w:val="21"/>
    </w:rPr>
  </w:style>
  <w:style w:type="paragraph" w:styleId="Caption">
    <w:name w:val="caption"/>
    <w:basedOn w:val="Normal"/>
    <w:next w:val="Normal"/>
    <w:uiPriority w:val="99"/>
    <w:rsid w:val="004F6445"/>
    <w:pPr>
      <w:spacing w:before="0" w:after="200" w:line="240" w:lineRule="auto"/>
    </w:pPr>
    <w:rPr>
      <w:b/>
      <w:bCs/>
      <w:szCs w:val="18"/>
    </w:rPr>
  </w:style>
  <w:style w:type="paragraph" w:customStyle="1" w:styleId="Tablechartdiagramheading">
    <w:name w:val="Table/chart/diagram heading"/>
    <w:uiPriority w:val="99"/>
    <w:qFormat/>
    <w:rsid w:val="004F6445"/>
    <w:pPr>
      <w:tabs>
        <w:tab w:val="left" w:pos="1080"/>
      </w:tabs>
      <w:spacing w:before="160" w:after="100"/>
    </w:pPr>
    <w:rPr>
      <w:b/>
      <w:bCs/>
      <w:color w:val="404040" w:themeColor="text1" w:themeTint="BF"/>
      <w:spacing w:val="2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74E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18"/>
    </w:rPr>
  </w:style>
  <w:style w:type="paragraph" w:customStyle="1" w:styleId="NoteSubHeading">
    <w:name w:val="NoteSubHeading"/>
    <w:basedOn w:val="Normal"/>
    <w:rsid w:val="0042274E"/>
    <w:pPr>
      <w:tabs>
        <w:tab w:val="left" w:pos="357"/>
      </w:tabs>
      <w:spacing w:before="120" w:after="60" w:line="240" w:lineRule="auto"/>
    </w:pPr>
    <w:rPr>
      <w:rFonts w:ascii="Times New Roman" w:eastAsia="Times New Roman" w:hAnsi="Times New Roman" w:cs="Times New Roman"/>
      <w:b/>
      <w:spacing w:val="0"/>
      <w:sz w:val="22"/>
      <w:lang w:eastAsia="en-US"/>
    </w:rPr>
  </w:style>
  <w:style w:type="paragraph" w:customStyle="1" w:styleId="Reference">
    <w:name w:val="Reference"/>
    <w:basedOn w:val="Normal"/>
    <w:rsid w:val="0042274E"/>
    <w:pPr>
      <w:spacing w:before="0" w:after="0" w:line="240" w:lineRule="auto"/>
    </w:pPr>
    <w:rPr>
      <w:rFonts w:ascii="Times New Roman" w:eastAsia="Times New Roman" w:hAnsi="Times New Roman" w:cs="Times New Roman"/>
      <w:spacing w:val="0"/>
      <w:sz w:val="14"/>
      <w:lang w:val="en-GB" w:eastAsia="en-US"/>
    </w:rPr>
  </w:style>
  <w:style w:type="paragraph" w:customStyle="1" w:styleId="ReferenceB">
    <w:name w:val="ReferenceB"/>
    <w:basedOn w:val="Reference"/>
    <w:rsid w:val="0042274E"/>
    <w:rPr>
      <w:sz w:val="18"/>
    </w:rPr>
  </w:style>
  <w:style w:type="paragraph" w:customStyle="1" w:styleId="ComLevel1">
    <w:name w:val="ComLevel1"/>
    <w:basedOn w:val="Normal"/>
    <w:rsid w:val="00E531A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0"/>
      <w:lang w:eastAsia="en-US"/>
    </w:rPr>
  </w:style>
  <w:style w:type="paragraph" w:customStyle="1" w:styleId="VAText">
    <w:name w:val="VAText"/>
    <w:basedOn w:val="Normal"/>
    <w:rsid w:val="00E531A5"/>
    <w:pPr>
      <w:spacing w:before="0" w:after="0" w:line="240" w:lineRule="auto"/>
      <w:jc w:val="both"/>
    </w:pPr>
    <w:rPr>
      <w:rFonts w:ascii="Times New Roman" w:eastAsia="Times New Roman" w:hAnsi="Times New Roman" w:cs="Times New Roman"/>
      <w:spacing w:val="0"/>
      <w:sz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6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C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C35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C35"/>
    <w:rPr>
      <w:b/>
      <w:bCs/>
      <w:spacing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63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FRD%20template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8092D4-B1B7-496F-9D05-C0B4B53D4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0A72C-C4E0-4209-9AEE-002D08ED42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FRD template.dotx</Template>
  <TotalTime>0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Natalie Maroki (DTF)</cp:lastModifiedBy>
  <cp:revision>2</cp:revision>
  <cp:lastPrinted>2016-03-03T04:13:00Z</cp:lastPrinted>
  <dcterms:created xsi:type="dcterms:W3CDTF">2022-04-28T02:36:00Z</dcterms:created>
  <dcterms:modified xsi:type="dcterms:W3CDTF">2022-04-28T02:36:00Z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fe660273-33ea-4d44-a555-1027cb2a9576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2022-04-28T02:36:49Z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e4cae8e4-f80a-4d52-a299-9dcb1751f255</vt:lpwstr>
  </property>
  <property fmtid="{D5CDD505-2E9C-101B-9397-08002B2CF9AE}" pid="10" name="MSIP_Label_7158ebbd-6c5e-441f-bfc9-4eb8c11e3978_ContentBits">
    <vt:lpwstr>2</vt:lpwstr>
  </property>
</Properties>
</file>