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14:paraId="6B9F59CF" w14:textId="77777777" w:rsidTr="003F3F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0405A7B2" w14:textId="3C9FDF7B" w:rsidR="00845688" w:rsidRPr="003C5E9F" w:rsidRDefault="00845688" w:rsidP="00DE779D">
            <w:pPr>
              <w:pStyle w:val="FRDNumber"/>
            </w:pPr>
            <w:r w:rsidRPr="002E50A4">
              <w:t>FRD</w:t>
            </w:r>
            <w:r w:rsidRPr="003C5E9F">
              <w:t xml:space="preserve"> </w:t>
            </w:r>
            <w:r w:rsidR="00056E1E">
              <w:t>117</w:t>
            </w:r>
          </w:p>
        </w:tc>
        <w:tc>
          <w:tcPr>
            <w:tcW w:w="270" w:type="dxa"/>
          </w:tcPr>
          <w:p w14:paraId="67FF1374"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3F9A4765"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14:paraId="1CB1CA01" w14:textId="255E4150" w:rsidR="00845688" w:rsidRPr="002E50A4" w:rsidRDefault="00F70A5D" w:rsidP="005C120F">
            <w:pPr>
              <w:pStyle w:val="FRDHeader"/>
              <w:cnfStyle w:val="100000000000" w:firstRow="1" w:lastRow="0" w:firstColumn="0" w:lastColumn="0" w:oddVBand="0" w:evenVBand="0" w:oddHBand="0" w:evenHBand="0" w:firstRowFirstColumn="0" w:firstRowLastColumn="0" w:lastRowFirstColumn="0" w:lastRowLastColumn="0"/>
            </w:pPr>
            <w:r w:rsidRPr="00F70A5D">
              <w:t xml:space="preserve">Contributions of </w:t>
            </w:r>
            <w:r w:rsidR="001123F6" w:rsidRPr="00F70A5D">
              <w:t>existing non-financial assets to third parties</w:t>
            </w:r>
            <w:r w:rsidR="009C0E03">
              <w:t xml:space="preserve"> </w:t>
            </w:r>
            <w:r w:rsidR="00B36867">
              <w:t>(</w:t>
            </w:r>
            <w:r w:rsidR="002C01DC">
              <w:t>April</w:t>
            </w:r>
            <w:r w:rsidR="00B36867">
              <w:t xml:space="preserve"> 20</w:t>
            </w:r>
            <w:r w:rsidR="002C01DC">
              <w:t>22</w:t>
            </w:r>
            <w:r w:rsidR="00B36867">
              <w:t>)</w:t>
            </w:r>
          </w:p>
        </w:tc>
      </w:tr>
      <w:tr w:rsidR="00493B55" w:rsidRPr="00E10ADB" w14:paraId="593B6A07" w14:textId="77777777" w:rsidTr="003F3FA4">
        <w:trPr>
          <w:cnfStyle w:val="000000100000" w:firstRow="0" w:lastRow="0" w:firstColumn="0" w:lastColumn="0" w:oddVBand="0" w:evenVBand="0" w:oddHBand="1" w:evenHBand="0" w:firstRowFirstColumn="0" w:firstRowLastColumn="0" w:lastRowFirstColumn="0" w:lastRowLastColumn="0"/>
          <w:cantSplit w:val="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5B45450C" w14:textId="77777777" w:rsidR="00845688" w:rsidRPr="008A601F" w:rsidRDefault="00845688" w:rsidP="00DE779D">
            <w:pPr>
              <w:pStyle w:val="Tabletext"/>
            </w:pPr>
          </w:p>
        </w:tc>
        <w:tc>
          <w:tcPr>
            <w:tcW w:w="270" w:type="dxa"/>
          </w:tcPr>
          <w:p w14:paraId="0B76B81A"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64816FA5"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14:paraId="54A5019B"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367642" w:rsidRPr="00E10ADB" w14:paraId="505CC912"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575F7CC3" w14:textId="77777777" w:rsidR="00367642" w:rsidRPr="004670C0" w:rsidRDefault="00367642" w:rsidP="00AB3116">
            <w:pPr>
              <w:pStyle w:val="Normalgrey"/>
              <w:rPr>
                <w:highlight w:val="yellow"/>
              </w:rPr>
            </w:pPr>
            <w:r w:rsidRPr="001C3355">
              <w:t>Purpose</w:t>
            </w:r>
          </w:p>
        </w:tc>
        <w:tc>
          <w:tcPr>
            <w:tcW w:w="270" w:type="dxa"/>
          </w:tcPr>
          <w:p w14:paraId="0542261A" w14:textId="77777777" w:rsidR="00367642" w:rsidRPr="004471E3" w:rsidRDefault="00367642" w:rsidP="004471E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55BC5E14" w14:textId="144B0793" w:rsidR="00367642" w:rsidRPr="004471E3" w:rsidRDefault="008C7872" w:rsidP="008C7872">
            <w:pPr>
              <w:pStyle w:val="Refnum2"/>
              <w:numPr>
                <w:ilvl w:val="0"/>
                <w:numId w:val="0"/>
              </w:numPr>
              <w:cnfStyle w:val="000000010000" w:firstRow="0" w:lastRow="0" w:firstColumn="0" w:lastColumn="0" w:oddVBand="0" w:evenVBand="0" w:oddHBand="0" w:evenHBand="1" w:firstRowFirstColumn="0" w:firstRowLastColumn="0" w:lastRowFirstColumn="0" w:lastRowLastColumn="0"/>
            </w:pPr>
            <w:r>
              <w:t>1.1</w:t>
            </w:r>
          </w:p>
        </w:tc>
        <w:tc>
          <w:tcPr>
            <w:tcW w:w="6134" w:type="dxa"/>
          </w:tcPr>
          <w:p w14:paraId="36720CAB" w14:textId="77777777" w:rsidR="00367642" w:rsidRPr="007135A7" w:rsidRDefault="00367642" w:rsidP="004471E3">
            <w:pPr>
              <w:pStyle w:val="Normalgrey"/>
              <w:cnfStyle w:val="000000010000" w:firstRow="0" w:lastRow="0" w:firstColumn="0" w:lastColumn="0" w:oddVBand="0" w:evenVBand="0" w:oddHBand="0" w:evenHBand="1" w:firstRowFirstColumn="0" w:firstRowLastColumn="0" w:lastRowFirstColumn="0" w:lastRowLastColumn="0"/>
            </w:pPr>
            <w:r w:rsidRPr="007135A7">
              <w:t>To prescribe the accounting treatment of government decisions to transfer existing non-financial assets to third parties not controlled by the government</w:t>
            </w:r>
            <w:r w:rsidR="0008044B" w:rsidRPr="007135A7">
              <w:t xml:space="preserve"> for no or nominal consideration</w:t>
            </w:r>
            <w:r w:rsidRPr="007135A7">
              <w:t>.</w:t>
            </w:r>
          </w:p>
        </w:tc>
      </w:tr>
      <w:tr w:rsidR="00056E1E" w:rsidRPr="00E10ADB" w14:paraId="7198B2D9"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129AA649" w14:textId="77777777" w:rsidR="00056E1E" w:rsidRPr="008A601F" w:rsidRDefault="00056E1E" w:rsidP="00AB3116">
            <w:pPr>
              <w:pStyle w:val="Normalgrey"/>
            </w:pPr>
            <w:r w:rsidRPr="001C3355">
              <w:t xml:space="preserve">Summary of </w:t>
            </w:r>
            <w:r w:rsidR="00526D2B">
              <w:t>k</w:t>
            </w:r>
            <w:r w:rsidRPr="001C3355">
              <w:t xml:space="preserve">ey </w:t>
            </w:r>
            <w:r w:rsidR="00151BE3">
              <w:t>re</w:t>
            </w:r>
            <w:r w:rsidR="00151BE3" w:rsidRPr="001C3355">
              <w:t>quirements</w:t>
            </w:r>
            <w:r>
              <w:t xml:space="preserve"> </w:t>
            </w:r>
          </w:p>
        </w:tc>
        <w:tc>
          <w:tcPr>
            <w:tcW w:w="270" w:type="dxa"/>
          </w:tcPr>
          <w:p w14:paraId="51EA03D4" w14:textId="77777777" w:rsidR="00056E1E" w:rsidRPr="002E0B0A" w:rsidRDefault="00056E1E" w:rsidP="002E0B0A">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19A1B688" w14:textId="2A40A1B4" w:rsidR="00056E1E" w:rsidRPr="00C15329" w:rsidRDefault="008C7872" w:rsidP="008C787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2.1</w:t>
            </w:r>
          </w:p>
        </w:tc>
        <w:tc>
          <w:tcPr>
            <w:tcW w:w="6134" w:type="dxa"/>
          </w:tcPr>
          <w:p w14:paraId="6BE44310" w14:textId="77777777" w:rsidR="00056E1E" w:rsidRPr="007135A7" w:rsidRDefault="00056E1E" w:rsidP="00AB3116">
            <w:pPr>
              <w:pStyle w:val="Normalgrey"/>
              <w:cnfStyle w:val="000000100000" w:firstRow="0" w:lastRow="0" w:firstColumn="0" w:lastColumn="0" w:oddVBand="0" w:evenVBand="0" w:oddHBand="1" w:evenHBand="0" w:firstRowFirstColumn="0" w:firstRowLastColumn="0" w:lastRowFirstColumn="0" w:lastRowLastColumn="0"/>
            </w:pPr>
            <w:r w:rsidRPr="007135A7">
              <w:t xml:space="preserve">Where the government decides to contribute non-financial assets for no or nominal consideration to a third party, as outlined in paragraph 5.3, the transaction shall be treated as a general government expense. </w:t>
            </w:r>
          </w:p>
          <w:p w14:paraId="2EEDBDD7" w14:textId="167A6F22" w:rsidR="00056E1E" w:rsidRDefault="00056E1E" w:rsidP="00AB3116">
            <w:pPr>
              <w:pStyle w:val="Normalgrey"/>
              <w:cnfStyle w:val="000000100000" w:firstRow="0" w:lastRow="0" w:firstColumn="0" w:lastColumn="0" w:oddVBand="0" w:evenVBand="0" w:oddHBand="1" w:evenHBand="0" w:firstRowFirstColumn="0" w:firstRowLastColumn="0" w:lastRowFirstColumn="0" w:lastRowLastColumn="0"/>
            </w:pPr>
            <w:r w:rsidRPr="007135A7">
              <w:t>If the non-financial assets are not held by the department of the Minister making the contribution, the non-financial assets shall first be returned by the entity holding the assets to the administering department as a return of contributions by owners and contributed by the latter as an administered expense.</w:t>
            </w:r>
          </w:p>
        </w:tc>
      </w:tr>
      <w:tr w:rsidR="00056E1E" w:rsidRPr="00E10ADB" w14:paraId="2F00E54C"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0A12358F" w14:textId="77777777" w:rsidR="00056E1E" w:rsidRPr="008A601F" w:rsidRDefault="00056E1E" w:rsidP="00AB3116">
            <w:pPr>
              <w:pStyle w:val="Normalgrey"/>
            </w:pPr>
          </w:p>
        </w:tc>
        <w:tc>
          <w:tcPr>
            <w:tcW w:w="270" w:type="dxa"/>
          </w:tcPr>
          <w:p w14:paraId="779D52D6" w14:textId="77777777" w:rsidR="00056E1E" w:rsidRPr="004471E3" w:rsidRDefault="00056E1E" w:rsidP="004471E3">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697FDC2B" w14:textId="060B479C" w:rsidR="00056E1E" w:rsidRPr="00C15329" w:rsidRDefault="008C7872" w:rsidP="008C7872">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2.2</w:t>
            </w:r>
          </w:p>
        </w:tc>
        <w:tc>
          <w:tcPr>
            <w:tcW w:w="6134" w:type="dxa"/>
          </w:tcPr>
          <w:p w14:paraId="692E4458" w14:textId="3098B388" w:rsidR="00056E1E" w:rsidRDefault="00056E1E" w:rsidP="00AB3116">
            <w:pPr>
              <w:pStyle w:val="Normalgrey"/>
              <w:cnfStyle w:val="000000010000" w:firstRow="0" w:lastRow="0" w:firstColumn="0" w:lastColumn="0" w:oddVBand="0" w:evenVBand="0" w:oddHBand="0" w:evenHBand="1" w:firstRowFirstColumn="0" w:firstRowLastColumn="0" w:lastRowFirstColumn="0" w:lastRowLastColumn="0"/>
            </w:pPr>
            <w:r w:rsidRPr="007135A7">
              <w:t>Non-financial assets contributed by (and if necessary</w:t>
            </w:r>
            <w:r w:rsidR="00660953">
              <w:t>,</w:t>
            </w:r>
            <w:r w:rsidRPr="007135A7">
              <w:t xml:space="preserve"> returned to) the administering department shall be measured at their carrying amount.</w:t>
            </w:r>
          </w:p>
        </w:tc>
      </w:tr>
      <w:tr w:rsidR="00056E1E" w:rsidRPr="00E10ADB" w14:paraId="08A84D36"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50695BB7" w14:textId="77777777" w:rsidR="00056E1E" w:rsidRPr="008A601F" w:rsidRDefault="00056E1E" w:rsidP="00AB3116">
            <w:pPr>
              <w:pStyle w:val="Normalgrey"/>
            </w:pPr>
          </w:p>
        </w:tc>
        <w:tc>
          <w:tcPr>
            <w:tcW w:w="270" w:type="dxa"/>
          </w:tcPr>
          <w:p w14:paraId="74F063C7" w14:textId="77777777" w:rsidR="00056E1E" w:rsidRPr="004471E3" w:rsidRDefault="00056E1E" w:rsidP="004471E3">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4530C380" w14:textId="6DC107F7" w:rsidR="00056E1E" w:rsidRPr="00C15329" w:rsidRDefault="008C7872" w:rsidP="008C7872">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2.3</w:t>
            </w:r>
          </w:p>
        </w:tc>
        <w:tc>
          <w:tcPr>
            <w:tcW w:w="6134" w:type="dxa"/>
          </w:tcPr>
          <w:p w14:paraId="7AC8E93A" w14:textId="77777777" w:rsidR="00056E1E" w:rsidRDefault="00056E1E" w:rsidP="00AB3116">
            <w:pPr>
              <w:pStyle w:val="Normalgrey"/>
              <w:cnfStyle w:val="000000100000" w:firstRow="0" w:lastRow="0" w:firstColumn="0" w:lastColumn="0" w:oddVBand="0" w:evenVBand="0" w:oddHBand="1" w:evenHBand="0" w:firstRowFirstColumn="0" w:firstRowLastColumn="0" w:lastRowFirstColumn="0" w:lastRowLastColumn="0"/>
            </w:pPr>
            <w:r w:rsidRPr="007135A7">
              <w:t>The decision to return non-financial assets to the administering department (that is, to government as owner) is not an indicator of impairment.</w:t>
            </w:r>
          </w:p>
        </w:tc>
      </w:tr>
      <w:tr w:rsidR="00056E1E" w:rsidRPr="00E10ADB" w14:paraId="3F0F4ADE"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3BA6BCE7" w14:textId="77777777" w:rsidR="00056E1E" w:rsidRPr="008A601F" w:rsidRDefault="00056E1E" w:rsidP="00AB3116">
            <w:pPr>
              <w:pStyle w:val="Normalgrey"/>
            </w:pPr>
          </w:p>
        </w:tc>
        <w:tc>
          <w:tcPr>
            <w:tcW w:w="270" w:type="dxa"/>
          </w:tcPr>
          <w:p w14:paraId="06A9AACF" w14:textId="77777777" w:rsidR="00056E1E" w:rsidRPr="004471E3" w:rsidRDefault="00056E1E" w:rsidP="004471E3">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360A8637" w14:textId="093D2B0B" w:rsidR="008359C0" w:rsidRPr="00C15329"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2.4</w:t>
            </w:r>
          </w:p>
        </w:tc>
        <w:tc>
          <w:tcPr>
            <w:tcW w:w="6134" w:type="dxa"/>
          </w:tcPr>
          <w:p w14:paraId="4CCBBC9A" w14:textId="77777777" w:rsidR="00056E1E" w:rsidRDefault="00056E1E" w:rsidP="00AB3116">
            <w:pPr>
              <w:pStyle w:val="Normalgrey"/>
              <w:cnfStyle w:val="000000010000" w:firstRow="0" w:lastRow="0" w:firstColumn="0" w:lastColumn="0" w:oddVBand="0" w:evenVBand="0" w:oddHBand="0" w:evenHBand="1" w:firstRowFirstColumn="0" w:firstRowLastColumn="0" w:lastRowFirstColumn="0" w:lastRowLastColumn="0"/>
            </w:pPr>
            <w:r w:rsidRPr="007135A7">
              <w:t>This FRD does not apply to transfers involving decisions made by the governance board of a public sector entity (herein referred to as an ‘entity’) in pursuit of its operating objectives.</w:t>
            </w:r>
          </w:p>
        </w:tc>
      </w:tr>
      <w:tr w:rsidR="005C120F" w:rsidRPr="00E10ADB" w14:paraId="3795A6D5"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8B80834" w14:textId="77777777" w:rsidR="005C120F" w:rsidRPr="00660953" w:rsidRDefault="005C120F" w:rsidP="00356805">
            <w:pPr>
              <w:pStyle w:val="Normalbold"/>
            </w:pPr>
            <w:r w:rsidRPr="00660953">
              <w:t>Application</w:t>
            </w:r>
          </w:p>
        </w:tc>
        <w:tc>
          <w:tcPr>
            <w:tcW w:w="270" w:type="dxa"/>
            <w:shd w:val="clear" w:color="auto" w:fill="F2F2F2" w:themeFill="background1" w:themeFillShade="F2"/>
          </w:tcPr>
          <w:p w14:paraId="571F9FC3" w14:textId="77777777" w:rsidR="005C120F" w:rsidRPr="00660953" w:rsidRDefault="005C120F" w:rsidP="004471E3">
            <w:pPr>
              <w:pStyle w:val="Refnum1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7340D2C1" w14:textId="27C15E4F" w:rsidR="005C120F" w:rsidRPr="00660953" w:rsidRDefault="008C7872" w:rsidP="008C7872">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rPr>
            </w:pPr>
            <w:r>
              <w:rPr>
                <w:b/>
              </w:rPr>
              <w:t>3.1</w:t>
            </w:r>
          </w:p>
        </w:tc>
        <w:tc>
          <w:tcPr>
            <w:tcW w:w="6134" w:type="dxa"/>
            <w:shd w:val="clear" w:color="auto" w:fill="F2F2F2" w:themeFill="background1" w:themeFillShade="F2"/>
          </w:tcPr>
          <w:p w14:paraId="18E22AEE" w14:textId="77777777" w:rsidR="005C120F" w:rsidRPr="007135A7" w:rsidRDefault="005C120F" w:rsidP="00082936">
            <w:pPr>
              <w:pStyle w:val="Normalbold"/>
              <w:cnfStyle w:val="000000100000" w:firstRow="0" w:lastRow="0" w:firstColumn="0" w:lastColumn="0" w:oddVBand="0" w:evenVBand="0" w:oddHBand="1" w:evenHBand="0" w:firstRowFirstColumn="0" w:firstRowLastColumn="0" w:lastRowFirstColumn="0" w:lastRowLastColumn="0"/>
            </w:pPr>
            <w:r>
              <w:rPr>
                <w:iCs/>
              </w:rPr>
              <w:t xml:space="preserve">This FRD </w:t>
            </w:r>
            <w:r>
              <w:t>a</w:t>
            </w:r>
            <w:r w:rsidRPr="009B72D1">
              <w:t xml:space="preserve">pplies to all entities defined as either a public body or a department under section 3 of the </w:t>
            </w:r>
            <w:r w:rsidRPr="009B72D1">
              <w:rPr>
                <w:i/>
                <w:iCs/>
              </w:rPr>
              <w:t>Financial Management Act</w:t>
            </w:r>
            <w:r>
              <w:rPr>
                <w:i/>
                <w:iCs/>
              </w:rPr>
              <w:t> </w:t>
            </w:r>
            <w:r w:rsidRPr="009B72D1">
              <w:rPr>
                <w:i/>
                <w:iCs/>
              </w:rPr>
              <w:t>1994</w:t>
            </w:r>
            <w:r w:rsidRPr="009B72D1">
              <w:t xml:space="preserve">. </w:t>
            </w:r>
            <w:r w:rsidRPr="007135A7">
              <w:t xml:space="preserve">A public sector entity classified as a public financial corporation (PFC) or a public non-financial corporation (PNFC) within the latest </w:t>
            </w:r>
            <w:r w:rsidRPr="007135A7">
              <w:rPr>
                <w:i/>
                <w:iCs/>
              </w:rPr>
              <w:t xml:space="preserve">Financial Report for the State of Victoria </w:t>
            </w:r>
            <w:r w:rsidRPr="007135A7">
              <w:t>that does not meet the definition of a ‘public body’ is encouraged to refer to this FRD for guidance.</w:t>
            </w:r>
          </w:p>
        </w:tc>
      </w:tr>
      <w:tr w:rsidR="005C120F" w:rsidRPr="00E10ADB" w14:paraId="61A7C9E1"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032DFFF7" w14:textId="77777777" w:rsidR="005C120F" w:rsidRPr="00660953" w:rsidRDefault="005C120F" w:rsidP="00356805">
            <w:pPr>
              <w:pStyle w:val="Normalbold"/>
            </w:pPr>
          </w:p>
        </w:tc>
        <w:tc>
          <w:tcPr>
            <w:tcW w:w="270" w:type="dxa"/>
            <w:shd w:val="clear" w:color="auto" w:fill="F2F2F2" w:themeFill="background1" w:themeFillShade="F2"/>
          </w:tcPr>
          <w:p w14:paraId="16C15E41" w14:textId="77777777" w:rsidR="005C120F" w:rsidRPr="00660953" w:rsidRDefault="005C120F" w:rsidP="0087070F">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1349ADF3" w14:textId="3230368D" w:rsidR="005C120F" w:rsidRPr="00660953"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rPr>
            </w:pPr>
            <w:r>
              <w:rPr>
                <w:b/>
              </w:rPr>
              <w:t>3.2</w:t>
            </w:r>
          </w:p>
        </w:tc>
        <w:tc>
          <w:tcPr>
            <w:tcW w:w="6134" w:type="dxa"/>
            <w:shd w:val="clear" w:color="auto" w:fill="F2F2F2" w:themeFill="background1" w:themeFillShade="F2"/>
          </w:tcPr>
          <w:p w14:paraId="0CA2EE97" w14:textId="77777777" w:rsidR="005C120F" w:rsidRPr="007135A7" w:rsidRDefault="005C120F" w:rsidP="00356805">
            <w:pPr>
              <w:pStyle w:val="Normalbold"/>
              <w:cnfStyle w:val="000000010000" w:firstRow="0" w:lastRow="0" w:firstColumn="0" w:lastColumn="0" w:oddVBand="0" w:evenVBand="0" w:oddHBand="0" w:evenHBand="1" w:firstRowFirstColumn="0" w:firstRowLastColumn="0" w:lastRowFirstColumn="0" w:lastRowLastColumn="0"/>
            </w:pPr>
            <w:r w:rsidRPr="007135A7">
              <w:t>This FRD does not apply to transfers involving decisions made by the governance board of a public sector entity (herein referred to as an ‘entity’) in pursuit of its operating objectives.</w:t>
            </w:r>
          </w:p>
        </w:tc>
      </w:tr>
      <w:tr w:rsidR="005C120F" w:rsidRPr="00E10ADB" w14:paraId="54F26A05"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CF8B153" w14:textId="77777777" w:rsidR="005C120F" w:rsidRPr="00660953" w:rsidRDefault="005C120F" w:rsidP="00356805">
            <w:pPr>
              <w:pStyle w:val="Normalbold"/>
            </w:pPr>
          </w:p>
        </w:tc>
        <w:tc>
          <w:tcPr>
            <w:tcW w:w="270" w:type="dxa"/>
            <w:shd w:val="clear" w:color="auto" w:fill="F2F2F2" w:themeFill="background1" w:themeFillShade="F2"/>
          </w:tcPr>
          <w:p w14:paraId="6BB7AF44" w14:textId="77777777" w:rsidR="005C120F" w:rsidRPr="00660953" w:rsidRDefault="005C120F" w:rsidP="0087070F">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00CBB61F" w14:textId="780DFE41" w:rsidR="005C120F" w:rsidRPr="00660953" w:rsidRDefault="008C7872" w:rsidP="008C7872">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rPr>
            </w:pPr>
            <w:r>
              <w:rPr>
                <w:b/>
              </w:rPr>
              <w:t>3.3</w:t>
            </w:r>
          </w:p>
        </w:tc>
        <w:tc>
          <w:tcPr>
            <w:tcW w:w="6134" w:type="dxa"/>
            <w:shd w:val="clear" w:color="auto" w:fill="F2F2F2" w:themeFill="background1" w:themeFillShade="F2"/>
          </w:tcPr>
          <w:p w14:paraId="221684D3" w14:textId="2BFC6FB5" w:rsidR="005C120F" w:rsidRPr="007135A7" w:rsidRDefault="005C120F" w:rsidP="00900144">
            <w:pPr>
              <w:pStyle w:val="Normalbold"/>
              <w:cnfStyle w:val="000000100000" w:firstRow="0" w:lastRow="0" w:firstColumn="0" w:lastColumn="0" w:oddVBand="0" w:evenVBand="0" w:oddHBand="1" w:evenHBand="0" w:firstRowFirstColumn="0" w:firstRowLastColumn="0" w:lastRowFirstColumn="0" w:lastRowLastColumn="0"/>
            </w:pPr>
            <w:r w:rsidRPr="007135A7">
              <w:t>This FRD does not apply to contributions to third parties that consist only of financial assets</w:t>
            </w:r>
            <w:r w:rsidR="00082936">
              <w:t xml:space="preserve">. </w:t>
            </w:r>
            <w:r w:rsidRPr="007135A7">
              <w:t xml:space="preserve">For contributions of financial assets to third parties, the requirements of AASB 1004 </w:t>
            </w:r>
            <w:r w:rsidRPr="007135A7">
              <w:rPr>
                <w:i/>
              </w:rPr>
              <w:t>Contributions</w:t>
            </w:r>
            <w:r w:rsidRPr="007135A7">
              <w:t xml:space="preserve"> </w:t>
            </w:r>
            <w:r w:rsidRPr="006A3F40">
              <w:t xml:space="preserve">and FRD 119 </w:t>
            </w:r>
            <w:r w:rsidRPr="006A3F40">
              <w:rPr>
                <w:i/>
              </w:rPr>
              <w:t xml:space="preserve">Transfers through </w:t>
            </w:r>
            <w:r w:rsidR="00900144">
              <w:rPr>
                <w:i/>
              </w:rPr>
              <w:t>c</w:t>
            </w:r>
            <w:r w:rsidRPr="006A3F40">
              <w:rPr>
                <w:i/>
              </w:rPr>
              <w:t xml:space="preserve">ontributed </w:t>
            </w:r>
            <w:r w:rsidR="00900144">
              <w:rPr>
                <w:i/>
              </w:rPr>
              <w:t>c</w:t>
            </w:r>
            <w:r w:rsidRPr="006A3F40">
              <w:rPr>
                <w:i/>
              </w:rPr>
              <w:t>apital</w:t>
            </w:r>
            <w:r w:rsidRPr="006A3F40">
              <w:t xml:space="preserve"> shall be followed.</w:t>
            </w:r>
          </w:p>
        </w:tc>
      </w:tr>
      <w:tr w:rsidR="00547C68" w:rsidRPr="00E10ADB" w14:paraId="2B0398FC"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2DA1F36" w14:textId="77777777" w:rsidR="00547C68" w:rsidRPr="00660953" w:rsidRDefault="00547C68" w:rsidP="00356805">
            <w:pPr>
              <w:pStyle w:val="Normalbold"/>
            </w:pPr>
            <w:r w:rsidRPr="00660953">
              <w:t>Operative date</w:t>
            </w:r>
          </w:p>
        </w:tc>
        <w:tc>
          <w:tcPr>
            <w:tcW w:w="270" w:type="dxa"/>
            <w:shd w:val="clear" w:color="auto" w:fill="F2F2F2" w:themeFill="background1" w:themeFillShade="F2"/>
          </w:tcPr>
          <w:p w14:paraId="34EC5799" w14:textId="77777777" w:rsidR="00547C68" w:rsidRPr="00660953" w:rsidRDefault="00547C68" w:rsidP="002E0B0A">
            <w:pPr>
              <w:pStyle w:val="Refnum1"/>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69E96185" w14:textId="57DD6848" w:rsidR="00547C68" w:rsidRPr="00660953"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rPr>
            </w:pPr>
            <w:r>
              <w:rPr>
                <w:b/>
              </w:rPr>
              <w:t>4.1</w:t>
            </w:r>
          </w:p>
        </w:tc>
        <w:tc>
          <w:tcPr>
            <w:tcW w:w="6134" w:type="dxa"/>
            <w:shd w:val="clear" w:color="auto" w:fill="F2F2F2" w:themeFill="background1" w:themeFillShade="F2"/>
          </w:tcPr>
          <w:p w14:paraId="394F1C75" w14:textId="77777777" w:rsidR="00367642" w:rsidRPr="007135A7" w:rsidRDefault="001D240B" w:rsidP="00356805">
            <w:pPr>
              <w:pStyle w:val="Normalbold"/>
              <w:cnfStyle w:val="000000010000" w:firstRow="0" w:lastRow="0" w:firstColumn="0" w:lastColumn="0" w:oddVBand="0" w:evenVBand="0" w:oddHBand="0" w:evenHBand="1" w:firstRowFirstColumn="0" w:firstRowLastColumn="0" w:lastRowFirstColumn="0" w:lastRowLastColumn="0"/>
            </w:pPr>
            <w:r>
              <w:t>Annual r</w:t>
            </w:r>
            <w:r w:rsidR="00547C68" w:rsidRPr="007135A7">
              <w:t>eporting periods commencing on or after 1 July 20</w:t>
            </w:r>
            <w:r w:rsidR="001C3355">
              <w:t>15</w:t>
            </w:r>
            <w:r w:rsidR="00547C68" w:rsidRPr="007135A7">
              <w:t>.</w:t>
            </w:r>
          </w:p>
        </w:tc>
      </w:tr>
      <w:tr w:rsidR="00367642" w:rsidRPr="00E10ADB" w14:paraId="0CB87931"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410C547" w14:textId="77777777" w:rsidR="00367642" w:rsidRPr="00660953" w:rsidRDefault="00367642" w:rsidP="00356805">
            <w:pPr>
              <w:pStyle w:val="Normalbold"/>
            </w:pPr>
          </w:p>
        </w:tc>
        <w:tc>
          <w:tcPr>
            <w:tcW w:w="270" w:type="dxa"/>
            <w:shd w:val="clear" w:color="auto" w:fill="F2F2F2" w:themeFill="background1" w:themeFillShade="F2"/>
          </w:tcPr>
          <w:p w14:paraId="526D0471" w14:textId="77777777" w:rsidR="00367642" w:rsidRPr="00660953" w:rsidRDefault="00367642" w:rsidP="00367642">
            <w:pPr>
              <w:pStyle w:val="Refnum1"/>
              <w:numPr>
                <w:ilvl w:val="0"/>
                <w:numId w:val="0"/>
              </w:num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3B50401D" w14:textId="0E9DD692" w:rsidR="00367642" w:rsidRPr="00660953" w:rsidRDefault="008C7872" w:rsidP="008C7872">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rPr>
            </w:pPr>
            <w:r>
              <w:rPr>
                <w:b/>
              </w:rPr>
              <w:t>4.2</w:t>
            </w:r>
          </w:p>
        </w:tc>
        <w:tc>
          <w:tcPr>
            <w:tcW w:w="6134" w:type="dxa"/>
            <w:shd w:val="clear" w:color="auto" w:fill="F2F2F2" w:themeFill="background1" w:themeFillShade="F2"/>
          </w:tcPr>
          <w:p w14:paraId="10B862F1" w14:textId="4141C2A0" w:rsidR="00367642" w:rsidRPr="007135A7" w:rsidRDefault="00367642" w:rsidP="00356805">
            <w:pPr>
              <w:pStyle w:val="Normalbold"/>
              <w:cnfStyle w:val="000000100000" w:firstRow="0" w:lastRow="0" w:firstColumn="0" w:lastColumn="0" w:oddVBand="0" w:evenVBand="0" w:oddHBand="1" w:evenHBand="0" w:firstRowFirstColumn="0" w:firstRowLastColumn="0" w:lastRowFirstColumn="0" w:lastRowLastColumn="0"/>
            </w:pPr>
            <w:r>
              <w:t>FRD 117</w:t>
            </w:r>
            <w:r w:rsidR="00660953">
              <w:t>A</w:t>
            </w:r>
            <w:r>
              <w:t xml:space="preserve"> </w:t>
            </w:r>
            <w:r w:rsidRPr="00356805">
              <w:rPr>
                <w:i/>
              </w:rPr>
              <w:t xml:space="preserve">Contributions </w:t>
            </w:r>
            <w:r w:rsidR="009B2A46" w:rsidRPr="00356805">
              <w:rPr>
                <w:i/>
              </w:rPr>
              <w:t>of existing non-financial assets to third parties</w:t>
            </w:r>
            <w:r w:rsidR="009B2A46">
              <w:t xml:space="preserve"> is </w:t>
            </w:r>
            <w:r w:rsidR="00660953">
              <w:t xml:space="preserve">renamed to FRD 117 </w:t>
            </w:r>
            <w:r w:rsidR="00660953" w:rsidRPr="00356805">
              <w:rPr>
                <w:i/>
              </w:rPr>
              <w:t>Contributions of existing non-financial assets to third parties</w:t>
            </w:r>
            <w:r w:rsidR="00660953">
              <w:t xml:space="preserve"> </w:t>
            </w:r>
            <w:r>
              <w:t xml:space="preserve">effective 1 </w:t>
            </w:r>
            <w:r w:rsidR="00660953">
              <w:t xml:space="preserve">April </w:t>
            </w:r>
            <w:r>
              <w:t>20</w:t>
            </w:r>
            <w:r w:rsidR="00660953">
              <w:t>22</w:t>
            </w:r>
            <w:r>
              <w:t>.</w:t>
            </w:r>
          </w:p>
        </w:tc>
      </w:tr>
      <w:tr w:rsidR="00056E1E" w:rsidRPr="00E10ADB" w14:paraId="4DC0091F"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C0E04C6" w14:textId="77777777" w:rsidR="00056E1E" w:rsidRPr="00660953" w:rsidRDefault="00056E1E" w:rsidP="003F3FA4">
            <w:pPr>
              <w:pStyle w:val="Normalbold"/>
              <w:pageBreakBefore/>
            </w:pPr>
            <w:r w:rsidRPr="00660953">
              <w:lastRenderedPageBreak/>
              <w:t>Requirement</w:t>
            </w:r>
            <w:r w:rsidR="000F0AF5" w:rsidRPr="00660953">
              <w:t>s</w:t>
            </w:r>
          </w:p>
        </w:tc>
        <w:tc>
          <w:tcPr>
            <w:tcW w:w="270" w:type="dxa"/>
            <w:shd w:val="clear" w:color="auto" w:fill="F2F2F2" w:themeFill="background1" w:themeFillShade="F2"/>
          </w:tcPr>
          <w:p w14:paraId="60D9EDB4" w14:textId="77777777" w:rsidR="00056E1E" w:rsidRPr="00660953" w:rsidRDefault="00056E1E" w:rsidP="004471E3">
            <w:pPr>
              <w:pStyle w:val="Refnum1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23810110" w14:textId="72047320" w:rsidR="00056E1E" w:rsidRPr="00660953"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rPr>
            </w:pPr>
            <w:r>
              <w:rPr>
                <w:b/>
              </w:rPr>
              <w:t>5.1</w:t>
            </w:r>
          </w:p>
        </w:tc>
        <w:tc>
          <w:tcPr>
            <w:tcW w:w="6134" w:type="dxa"/>
            <w:shd w:val="clear" w:color="auto" w:fill="F2F2F2" w:themeFill="background1" w:themeFillShade="F2"/>
          </w:tcPr>
          <w:p w14:paraId="27128128" w14:textId="77777777" w:rsidR="00056E1E" w:rsidRPr="00660953" w:rsidRDefault="00056E1E" w:rsidP="00356805">
            <w:pPr>
              <w:pStyle w:val="Normalbold"/>
              <w:cnfStyle w:val="000000010000" w:firstRow="0" w:lastRow="0" w:firstColumn="0" w:lastColumn="0" w:oddVBand="0" w:evenVBand="0" w:oddHBand="0" w:evenHBand="1" w:firstRowFirstColumn="0" w:firstRowLastColumn="0" w:lastRowFirstColumn="0" w:lastRowLastColumn="0"/>
            </w:pPr>
            <w:r w:rsidRPr="00660953">
              <w:t>A department (on behalf of government) may administer the government’s decision to contribute its non-financial assets to third parties which it does not control (i.e. to parties external to government)</w:t>
            </w:r>
            <w:r w:rsidR="00082936" w:rsidRPr="00660953">
              <w:t xml:space="preserve">. </w:t>
            </w:r>
          </w:p>
          <w:p w14:paraId="0BF193CE" w14:textId="77777777" w:rsidR="00056E1E" w:rsidRPr="00660953" w:rsidRDefault="00056E1E" w:rsidP="00356805">
            <w:pPr>
              <w:pStyle w:val="Normalbold"/>
              <w:cnfStyle w:val="000000010000" w:firstRow="0" w:lastRow="0" w:firstColumn="0" w:lastColumn="0" w:oddVBand="0" w:evenVBand="0" w:oddHBand="0" w:evenHBand="1" w:firstRowFirstColumn="0" w:firstRowLastColumn="0" w:lastRowFirstColumn="0" w:lastRowLastColumn="0"/>
            </w:pPr>
            <w:r w:rsidRPr="00660953">
              <w:t xml:space="preserve">For the purpose of this Direction, a government decision to contribute its non-financial assets to third parties shall be evidenced by a decision made by an appropriate Minister, which may also be approved by the Expenditure Review </w:t>
            </w:r>
            <w:r w:rsidR="00291805" w:rsidRPr="00660953">
              <w:t>Sub-</w:t>
            </w:r>
            <w:r w:rsidRPr="00660953">
              <w:t>Committee of Cabinet or by Cabinet itself</w:t>
            </w:r>
            <w:r w:rsidR="00082936" w:rsidRPr="00660953">
              <w:t xml:space="preserve">. </w:t>
            </w:r>
            <w:r w:rsidRPr="00660953">
              <w:t xml:space="preserve">A government decision may also be evidenced in legislation. </w:t>
            </w:r>
          </w:p>
        </w:tc>
      </w:tr>
      <w:tr w:rsidR="00056E1E" w:rsidRPr="00E10ADB" w14:paraId="4E8AD7BE"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5B2AC872" w14:textId="77777777" w:rsidR="00056E1E" w:rsidRPr="00660953" w:rsidRDefault="00056E1E" w:rsidP="00356805">
            <w:pPr>
              <w:pStyle w:val="Normalbold"/>
            </w:pPr>
          </w:p>
        </w:tc>
        <w:tc>
          <w:tcPr>
            <w:tcW w:w="270" w:type="dxa"/>
            <w:shd w:val="clear" w:color="auto" w:fill="F2F2F2" w:themeFill="background1" w:themeFillShade="F2"/>
          </w:tcPr>
          <w:p w14:paraId="1358A39F" w14:textId="77777777" w:rsidR="00056E1E" w:rsidRPr="00660953" w:rsidRDefault="00056E1E" w:rsidP="00AB3116">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4A89B4F2" w14:textId="72F2B2C9" w:rsidR="00056E1E" w:rsidRPr="00660953" w:rsidRDefault="008C7872" w:rsidP="008C7872">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rPr>
            </w:pPr>
            <w:r>
              <w:rPr>
                <w:b/>
              </w:rPr>
              <w:t>5.2</w:t>
            </w:r>
          </w:p>
        </w:tc>
        <w:tc>
          <w:tcPr>
            <w:tcW w:w="6134" w:type="dxa"/>
            <w:shd w:val="clear" w:color="auto" w:fill="F2F2F2" w:themeFill="background1" w:themeFillShade="F2"/>
          </w:tcPr>
          <w:p w14:paraId="1FEF8BDF" w14:textId="77777777" w:rsidR="00056E1E" w:rsidRPr="00660953" w:rsidRDefault="00056E1E" w:rsidP="000969C7">
            <w:pPr>
              <w:pStyle w:val="Normalbold"/>
              <w:cnfStyle w:val="000000100000" w:firstRow="0" w:lastRow="0" w:firstColumn="0" w:lastColumn="0" w:oddVBand="0" w:evenVBand="0" w:oddHBand="1" w:evenHBand="0" w:firstRowFirstColumn="0" w:firstRowLastColumn="0" w:lastRowFirstColumn="0" w:lastRowLastColumn="0"/>
            </w:pPr>
            <w:r w:rsidRPr="00660953">
              <w:t>The decision by government to contribute its non-financial assets to a third party may be effective:</w:t>
            </w:r>
          </w:p>
          <w:p w14:paraId="43D5A954" w14:textId="77777777" w:rsidR="00056E1E" w:rsidRPr="00660953" w:rsidRDefault="00056E1E" w:rsidP="00553871">
            <w:pPr>
              <w:pStyle w:val="Bullet1"/>
              <w:spacing w:before="100"/>
              <w:cnfStyle w:val="000000100000" w:firstRow="0" w:lastRow="0" w:firstColumn="0" w:lastColumn="0" w:oddVBand="0" w:evenVBand="0" w:oddHBand="1" w:evenHBand="0" w:firstRowFirstColumn="0" w:firstRowLastColumn="0" w:lastRowFirstColumn="0" w:lastRowLastColumn="0"/>
              <w:rPr>
                <w:b/>
                <w:sz w:val="18"/>
              </w:rPr>
            </w:pPr>
            <w:r w:rsidRPr="00660953">
              <w:rPr>
                <w:b/>
                <w:sz w:val="18"/>
              </w:rPr>
              <w:t xml:space="preserve">at the date of the governmental decision; or </w:t>
            </w:r>
          </w:p>
          <w:p w14:paraId="76CDC1A5" w14:textId="77777777" w:rsidR="00056E1E" w:rsidRPr="00660953" w:rsidRDefault="00056E1E" w:rsidP="000969C7">
            <w:pPr>
              <w:pStyle w:val="Bullet1"/>
              <w:cnfStyle w:val="000000100000" w:firstRow="0" w:lastRow="0" w:firstColumn="0" w:lastColumn="0" w:oddVBand="0" w:evenVBand="0" w:oddHBand="1" w:evenHBand="0" w:firstRowFirstColumn="0" w:firstRowLastColumn="0" w:lastRowFirstColumn="0" w:lastRowLastColumn="0"/>
              <w:rPr>
                <w:b/>
              </w:rPr>
            </w:pPr>
            <w:r w:rsidRPr="00660953">
              <w:rPr>
                <w:b/>
                <w:sz w:val="18"/>
              </w:rPr>
              <w:t>at a future date.</w:t>
            </w:r>
          </w:p>
        </w:tc>
      </w:tr>
      <w:tr w:rsidR="00056E1E" w:rsidRPr="00E10ADB" w14:paraId="47B9C0C3"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F837727" w14:textId="77777777" w:rsidR="00056E1E" w:rsidRPr="00660953" w:rsidRDefault="00056E1E" w:rsidP="00356805">
            <w:pPr>
              <w:pStyle w:val="Normalbold"/>
            </w:pPr>
          </w:p>
        </w:tc>
        <w:tc>
          <w:tcPr>
            <w:tcW w:w="270" w:type="dxa"/>
            <w:shd w:val="clear" w:color="auto" w:fill="F2F2F2" w:themeFill="background1" w:themeFillShade="F2"/>
          </w:tcPr>
          <w:p w14:paraId="317EF8EC" w14:textId="77777777" w:rsidR="00056E1E" w:rsidRPr="00660953" w:rsidRDefault="00056E1E" w:rsidP="00AB3116">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6F2042D5" w14:textId="5F0B7678" w:rsidR="00056E1E" w:rsidRPr="00660953"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rPr>
            </w:pPr>
            <w:r>
              <w:rPr>
                <w:b/>
              </w:rPr>
              <w:t>5.3</w:t>
            </w:r>
          </w:p>
        </w:tc>
        <w:tc>
          <w:tcPr>
            <w:tcW w:w="6134" w:type="dxa"/>
            <w:shd w:val="clear" w:color="auto" w:fill="F2F2F2" w:themeFill="background1" w:themeFillShade="F2"/>
          </w:tcPr>
          <w:p w14:paraId="43B0E20F" w14:textId="77777777" w:rsidR="00056E1E" w:rsidRPr="00660953" w:rsidRDefault="00056E1E" w:rsidP="00356805">
            <w:pPr>
              <w:pStyle w:val="Normalbold"/>
              <w:cnfStyle w:val="000000010000" w:firstRow="0" w:lastRow="0" w:firstColumn="0" w:lastColumn="0" w:oddVBand="0" w:evenVBand="0" w:oddHBand="0" w:evenHBand="1" w:firstRowFirstColumn="0" w:firstRowLastColumn="0" w:lastRowFirstColumn="0" w:lastRowLastColumn="0"/>
            </w:pPr>
            <w:r w:rsidRPr="00660953">
              <w:t xml:space="preserve">When the non-financial asset being contributed to the third party which the government does not control is available for immediate transfer, and the non-financial asset which is to be contributed is held by: </w:t>
            </w:r>
          </w:p>
          <w:p w14:paraId="73DD3CE0" w14:textId="77777777" w:rsidR="00056E1E" w:rsidRPr="00660953" w:rsidRDefault="00056E1E" w:rsidP="00553871">
            <w:pPr>
              <w:pStyle w:val="Listnum"/>
              <w:spacing w:before="100" w:after="0"/>
              <w:cnfStyle w:val="000000010000" w:firstRow="0" w:lastRow="0" w:firstColumn="0" w:lastColumn="0" w:oddVBand="0" w:evenVBand="0" w:oddHBand="0" w:evenHBand="1" w:firstRowFirstColumn="0" w:firstRowLastColumn="0" w:lastRowFirstColumn="0" w:lastRowLastColumn="0"/>
              <w:rPr>
                <w:b/>
              </w:rPr>
            </w:pPr>
            <w:r w:rsidRPr="00660953">
              <w:rPr>
                <w:b/>
              </w:rPr>
              <w:t>a department which will administer the contribution –</w:t>
            </w:r>
            <w:r w:rsidR="00082936" w:rsidRPr="00660953">
              <w:rPr>
                <w:b/>
              </w:rPr>
              <w:t xml:space="preserve"> </w:t>
            </w:r>
          </w:p>
          <w:p w14:paraId="09755F01" w14:textId="12D4431A" w:rsidR="00056E1E" w:rsidRPr="00660953" w:rsidRDefault="00056E1E" w:rsidP="00660953">
            <w:pPr>
              <w:pStyle w:val="Listnum2"/>
              <w:cnfStyle w:val="000000010000" w:firstRow="0" w:lastRow="0" w:firstColumn="0" w:lastColumn="0" w:oddVBand="0" w:evenVBand="0" w:oddHBand="0" w:evenHBand="1" w:firstRowFirstColumn="0" w:firstRowLastColumn="0" w:lastRowFirstColumn="0" w:lastRowLastColumn="0"/>
              <w:rPr>
                <w:b/>
                <w:bCs/>
              </w:rPr>
            </w:pPr>
            <w:r w:rsidRPr="00660953">
              <w:rPr>
                <w:b/>
                <w:bCs/>
              </w:rPr>
              <w:t>the non-financial asset shall be transferred from the administering department’s controlled accounts to its</w:t>
            </w:r>
            <w:r w:rsidR="00082936" w:rsidRPr="00660953">
              <w:rPr>
                <w:b/>
                <w:bCs/>
              </w:rPr>
              <w:t xml:space="preserve"> </w:t>
            </w:r>
            <w:r w:rsidRPr="00660953">
              <w:rPr>
                <w:b/>
                <w:bCs/>
              </w:rPr>
              <w:t>administered accounts as a transfer of contributions back to government as owners in accordance with FRD</w:t>
            </w:r>
            <w:r w:rsidR="00961351" w:rsidRPr="00660953">
              <w:rPr>
                <w:b/>
                <w:bCs/>
              </w:rPr>
              <w:t xml:space="preserve"> </w:t>
            </w:r>
            <w:r w:rsidR="006A3F40" w:rsidRPr="00660953">
              <w:rPr>
                <w:b/>
                <w:bCs/>
              </w:rPr>
              <w:t>119</w:t>
            </w:r>
            <w:r w:rsidRPr="00660953">
              <w:rPr>
                <w:b/>
                <w:bCs/>
              </w:rPr>
              <w:t xml:space="preserve">; and </w:t>
            </w:r>
          </w:p>
          <w:p w14:paraId="76CA6621" w14:textId="77777777" w:rsidR="00056E1E" w:rsidRPr="00660953" w:rsidRDefault="00056E1E" w:rsidP="00660953">
            <w:pPr>
              <w:pStyle w:val="Listnum2"/>
              <w:cnfStyle w:val="000000010000" w:firstRow="0" w:lastRow="0" w:firstColumn="0" w:lastColumn="0" w:oddVBand="0" w:evenVBand="0" w:oddHBand="0" w:evenHBand="1" w:firstRowFirstColumn="0" w:firstRowLastColumn="0" w:lastRowFirstColumn="0" w:lastRowLastColumn="0"/>
              <w:rPr>
                <w:b/>
                <w:bCs/>
              </w:rPr>
            </w:pPr>
            <w:r w:rsidRPr="00660953">
              <w:rPr>
                <w:b/>
                <w:bCs/>
              </w:rPr>
              <w:t>the transfer of non-financial asset by the administering department on behalf of government to a third party shall be treated by the administering department as an administered expense; or</w:t>
            </w:r>
          </w:p>
          <w:p w14:paraId="4DBCE5BE" w14:textId="77777777" w:rsidR="00056E1E" w:rsidRPr="00660953" w:rsidRDefault="00056E1E" w:rsidP="00553871">
            <w:pPr>
              <w:pStyle w:val="Listnum"/>
              <w:spacing w:before="100" w:after="0"/>
              <w:cnfStyle w:val="000000010000" w:firstRow="0" w:lastRow="0" w:firstColumn="0" w:lastColumn="0" w:oddVBand="0" w:evenVBand="0" w:oddHBand="0" w:evenHBand="1" w:firstRowFirstColumn="0" w:firstRowLastColumn="0" w:lastRowFirstColumn="0" w:lastRowLastColumn="0"/>
              <w:rPr>
                <w:b/>
              </w:rPr>
            </w:pPr>
            <w:r w:rsidRPr="00660953">
              <w:rPr>
                <w:b/>
              </w:rPr>
              <w:t xml:space="preserve">an entity which is not administering the contribution – </w:t>
            </w:r>
          </w:p>
          <w:p w14:paraId="62C67746" w14:textId="741F0127" w:rsidR="00056E1E" w:rsidRPr="00660953" w:rsidRDefault="00056E1E" w:rsidP="00553871">
            <w:pPr>
              <w:pStyle w:val="Listnum2"/>
              <w:spacing w:before="60"/>
              <w:cnfStyle w:val="000000010000" w:firstRow="0" w:lastRow="0" w:firstColumn="0" w:lastColumn="0" w:oddVBand="0" w:evenVBand="0" w:oddHBand="0" w:evenHBand="1" w:firstRowFirstColumn="0" w:firstRowLastColumn="0" w:lastRowFirstColumn="0" w:lastRowLastColumn="0"/>
              <w:rPr>
                <w:b/>
              </w:rPr>
            </w:pPr>
            <w:r w:rsidRPr="00660953">
              <w:rPr>
                <w:b/>
              </w:rPr>
              <w:t>the non-financial asset shall be returned by the entity to the administering department as a transfer of contributions to owners in accordance with FRD</w:t>
            </w:r>
            <w:r w:rsidR="006A3F40" w:rsidRPr="00660953">
              <w:rPr>
                <w:b/>
              </w:rPr>
              <w:t xml:space="preserve"> 119</w:t>
            </w:r>
            <w:r w:rsidRPr="00660953">
              <w:rPr>
                <w:b/>
              </w:rPr>
              <w:t>; and</w:t>
            </w:r>
          </w:p>
          <w:p w14:paraId="72DA9CAE" w14:textId="77777777" w:rsidR="00056E1E" w:rsidRPr="00660953" w:rsidRDefault="00056E1E" w:rsidP="000969C7">
            <w:pPr>
              <w:pStyle w:val="Listnum2"/>
              <w:cnfStyle w:val="000000010000" w:firstRow="0" w:lastRow="0" w:firstColumn="0" w:lastColumn="0" w:oddVBand="0" w:evenVBand="0" w:oddHBand="0" w:evenHBand="1" w:firstRowFirstColumn="0" w:firstRowLastColumn="0" w:lastRowFirstColumn="0" w:lastRowLastColumn="0"/>
              <w:rPr>
                <w:b/>
              </w:rPr>
            </w:pPr>
            <w:r w:rsidRPr="00660953">
              <w:rPr>
                <w:b/>
              </w:rPr>
              <w:t>the subsequent transfer of non-financial asset by the administering department on behalf of government to a third party shall be treated by the administering department as an administered expense.</w:t>
            </w:r>
          </w:p>
        </w:tc>
      </w:tr>
      <w:tr w:rsidR="00056E1E" w:rsidRPr="00E10ADB" w14:paraId="4EC46DB1"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C24D4ED" w14:textId="77777777" w:rsidR="00056E1E" w:rsidRPr="00660953" w:rsidRDefault="00056E1E" w:rsidP="00356805">
            <w:pPr>
              <w:pStyle w:val="Normalbold"/>
            </w:pPr>
          </w:p>
        </w:tc>
        <w:tc>
          <w:tcPr>
            <w:tcW w:w="270" w:type="dxa"/>
            <w:shd w:val="clear" w:color="auto" w:fill="F2F2F2" w:themeFill="background1" w:themeFillShade="F2"/>
          </w:tcPr>
          <w:p w14:paraId="6C096B00" w14:textId="77777777" w:rsidR="00056E1E" w:rsidRPr="00660953" w:rsidRDefault="00056E1E" w:rsidP="00AB3116">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405AD636" w14:textId="59EBB609" w:rsidR="00056E1E" w:rsidRPr="00660953" w:rsidRDefault="008C7872" w:rsidP="008C7872">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rPr>
            </w:pPr>
            <w:r>
              <w:rPr>
                <w:b/>
              </w:rPr>
              <w:t>5.4</w:t>
            </w:r>
          </w:p>
        </w:tc>
        <w:tc>
          <w:tcPr>
            <w:tcW w:w="6134" w:type="dxa"/>
            <w:shd w:val="clear" w:color="auto" w:fill="F2F2F2" w:themeFill="background1" w:themeFillShade="F2"/>
          </w:tcPr>
          <w:p w14:paraId="77D8AF27" w14:textId="77777777" w:rsidR="00056E1E" w:rsidRPr="00660953" w:rsidRDefault="00056E1E" w:rsidP="000969C7">
            <w:pPr>
              <w:cnfStyle w:val="000000100000" w:firstRow="0" w:lastRow="0" w:firstColumn="0" w:lastColumn="0" w:oddVBand="0" w:evenVBand="0" w:oddHBand="1" w:evenHBand="0" w:firstRowFirstColumn="0" w:firstRowLastColumn="0" w:lastRowFirstColumn="0" w:lastRowLastColumn="0"/>
              <w:rPr>
                <w:b/>
                <w:sz w:val="18"/>
              </w:rPr>
            </w:pPr>
            <w:r w:rsidRPr="00660953">
              <w:rPr>
                <w:b/>
                <w:sz w:val="18"/>
              </w:rPr>
              <w:t>When the non-financial assets are to be contributed at a future date, the requirements in 5.3 above shall be followed at the date of contribution</w:t>
            </w:r>
            <w:r w:rsidR="00082936" w:rsidRPr="00660953">
              <w:rPr>
                <w:b/>
                <w:sz w:val="18"/>
              </w:rPr>
              <w:t xml:space="preserve">. </w:t>
            </w:r>
            <w:r w:rsidRPr="00660953">
              <w:rPr>
                <w:b/>
                <w:sz w:val="18"/>
              </w:rPr>
              <w:t xml:space="preserve">Entities </w:t>
            </w:r>
            <w:r w:rsidR="00763754" w:rsidRPr="00660953">
              <w:rPr>
                <w:b/>
                <w:sz w:val="18"/>
              </w:rPr>
              <w:t>shall</w:t>
            </w:r>
            <w:r w:rsidRPr="00660953">
              <w:rPr>
                <w:b/>
                <w:sz w:val="18"/>
              </w:rPr>
              <w:t xml:space="preserve"> consider the implications of a public announcement of the government decision to contribute non-financial assets to a third party in accordance with AASB 137 </w:t>
            </w:r>
            <w:r w:rsidRPr="00660953">
              <w:rPr>
                <w:b/>
                <w:i/>
                <w:sz w:val="18"/>
              </w:rPr>
              <w:t>Provisions, Contingent Liabilities and Contingent Assets</w:t>
            </w:r>
            <w:r w:rsidRPr="00660953">
              <w:rPr>
                <w:b/>
                <w:sz w:val="18"/>
              </w:rPr>
              <w:t>.</w:t>
            </w:r>
          </w:p>
        </w:tc>
      </w:tr>
      <w:tr w:rsidR="00056E1E" w:rsidRPr="00E10ADB" w14:paraId="7342FFC8"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0B10953" w14:textId="77777777" w:rsidR="00056E1E" w:rsidRPr="00660953" w:rsidRDefault="00056E1E" w:rsidP="00356805">
            <w:pPr>
              <w:pStyle w:val="Normalbold"/>
            </w:pPr>
          </w:p>
        </w:tc>
        <w:tc>
          <w:tcPr>
            <w:tcW w:w="270" w:type="dxa"/>
            <w:shd w:val="clear" w:color="auto" w:fill="F2F2F2" w:themeFill="background1" w:themeFillShade="F2"/>
          </w:tcPr>
          <w:p w14:paraId="02BF8FD2" w14:textId="77777777" w:rsidR="00056E1E" w:rsidRPr="00660953" w:rsidRDefault="00056E1E" w:rsidP="00AB3116">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09FD1687" w14:textId="75734FCE" w:rsidR="00056E1E" w:rsidRPr="00660953"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rPr>
            </w:pPr>
            <w:r>
              <w:rPr>
                <w:b/>
              </w:rPr>
              <w:t>5.5</w:t>
            </w:r>
          </w:p>
        </w:tc>
        <w:tc>
          <w:tcPr>
            <w:tcW w:w="6134" w:type="dxa"/>
            <w:shd w:val="clear" w:color="auto" w:fill="F2F2F2" w:themeFill="background1" w:themeFillShade="F2"/>
          </w:tcPr>
          <w:p w14:paraId="4D55E51A" w14:textId="77777777" w:rsidR="00056E1E" w:rsidRPr="00660953" w:rsidRDefault="00056E1E" w:rsidP="00082936">
            <w:pPr>
              <w:cnfStyle w:val="000000010000" w:firstRow="0" w:lastRow="0" w:firstColumn="0" w:lastColumn="0" w:oddVBand="0" w:evenVBand="0" w:oddHBand="0" w:evenHBand="1" w:firstRowFirstColumn="0" w:firstRowLastColumn="0" w:lastRowFirstColumn="0" w:lastRowLastColumn="0"/>
              <w:rPr>
                <w:b/>
                <w:sz w:val="18"/>
              </w:rPr>
            </w:pPr>
            <w:r w:rsidRPr="00660953">
              <w:rPr>
                <w:b/>
                <w:sz w:val="18"/>
              </w:rPr>
              <w:t xml:space="preserve">Notwithstanding the requirements above, the requirements of </w:t>
            </w:r>
            <w:r w:rsidR="00082936" w:rsidRPr="00660953">
              <w:rPr>
                <w:b/>
                <w:sz w:val="18"/>
              </w:rPr>
              <w:t>AASB </w:t>
            </w:r>
            <w:r w:rsidRPr="00660953">
              <w:rPr>
                <w:b/>
                <w:sz w:val="18"/>
              </w:rPr>
              <w:t xml:space="preserve">1050 </w:t>
            </w:r>
            <w:r w:rsidRPr="00660953">
              <w:rPr>
                <w:b/>
                <w:i/>
                <w:iCs/>
                <w:sz w:val="18"/>
              </w:rPr>
              <w:t>Administered Items</w:t>
            </w:r>
            <w:r w:rsidRPr="00660953">
              <w:rPr>
                <w:b/>
                <w:sz w:val="18"/>
              </w:rPr>
              <w:t xml:space="preserve"> </w:t>
            </w:r>
            <w:r w:rsidR="00763754" w:rsidRPr="00660953">
              <w:rPr>
                <w:b/>
                <w:sz w:val="18"/>
              </w:rPr>
              <w:t>shall</w:t>
            </w:r>
            <w:r w:rsidRPr="00660953">
              <w:rPr>
                <w:b/>
                <w:sz w:val="18"/>
              </w:rPr>
              <w:t xml:space="preserve"> be considered in determining whether a non-financial asset </w:t>
            </w:r>
            <w:r w:rsidR="00763754" w:rsidRPr="00660953">
              <w:rPr>
                <w:b/>
                <w:sz w:val="18"/>
              </w:rPr>
              <w:t>shall</w:t>
            </w:r>
            <w:r w:rsidRPr="00660953">
              <w:rPr>
                <w:b/>
                <w:sz w:val="18"/>
              </w:rPr>
              <w:t xml:space="preserve"> be recognised in a department’s controlled or administered accounts.</w:t>
            </w:r>
          </w:p>
        </w:tc>
      </w:tr>
      <w:tr w:rsidR="00056E1E" w:rsidRPr="00E10ADB" w14:paraId="4621BF30"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C5B9B68" w14:textId="77777777" w:rsidR="00056E1E" w:rsidRPr="00660953" w:rsidRDefault="00056E1E" w:rsidP="00356805">
            <w:pPr>
              <w:pStyle w:val="Normalbold"/>
            </w:pPr>
          </w:p>
        </w:tc>
        <w:tc>
          <w:tcPr>
            <w:tcW w:w="270" w:type="dxa"/>
            <w:shd w:val="clear" w:color="auto" w:fill="F2F2F2" w:themeFill="background1" w:themeFillShade="F2"/>
          </w:tcPr>
          <w:p w14:paraId="1165D973" w14:textId="77777777" w:rsidR="00056E1E" w:rsidRPr="00660953" w:rsidRDefault="00056E1E" w:rsidP="00AB3116">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0B53BD37" w14:textId="4A3B3126" w:rsidR="00056E1E" w:rsidRPr="00660953" w:rsidRDefault="008C7872" w:rsidP="008C7872">
            <w:pPr>
              <w:pStyle w:val="Refnum2"/>
              <w:numPr>
                <w:ilvl w:val="0"/>
                <w:numId w:val="0"/>
              </w:numPr>
              <w:cnfStyle w:val="000000100000" w:firstRow="0" w:lastRow="0" w:firstColumn="0" w:lastColumn="0" w:oddVBand="0" w:evenVBand="0" w:oddHBand="1" w:evenHBand="0" w:firstRowFirstColumn="0" w:firstRowLastColumn="0" w:lastRowFirstColumn="0" w:lastRowLastColumn="0"/>
              <w:rPr>
                <w:b/>
              </w:rPr>
            </w:pPr>
            <w:r>
              <w:rPr>
                <w:b/>
              </w:rPr>
              <w:t>5.6</w:t>
            </w:r>
          </w:p>
        </w:tc>
        <w:tc>
          <w:tcPr>
            <w:tcW w:w="6134" w:type="dxa"/>
            <w:shd w:val="clear" w:color="auto" w:fill="F2F2F2" w:themeFill="background1" w:themeFillShade="F2"/>
          </w:tcPr>
          <w:p w14:paraId="268E8F72" w14:textId="77777777" w:rsidR="00056E1E" w:rsidRPr="00660953" w:rsidRDefault="00056E1E" w:rsidP="002E0B0A">
            <w:pPr>
              <w:cnfStyle w:val="000000100000" w:firstRow="0" w:lastRow="0" w:firstColumn="0" w:lastColumn="0" w:oddVBand="0" w:evenVBand="0" w:oddHBand="1" w:evenHBand="0" w:firstRowFirstColumn="0" w:firstRowLastColumn="0" w:lastRowFirstColumn="0" w:lastRowLastColumn="0"/>
              <w:rPr>
                <w:b/>
                <w:sz w:val="18"/>
              </w:rPr>
            </w:pPr>
            <w:r w:rsidRPr="00660953">
              <w:rPr>
                <w:b/>
                <w:sz w:val="18"/>
              </w:rPr>
              <w:t>The non-financial asset shall be measured at its carrying amount immediately prior to the transfer.</w:t>
            </w:r>
          </w:p>
        </w:tc>
      </w:tr>
      <w:tr w:rsidR="00056E1E" w:rsidRPr="00E10ADB" w14:paraId="1B1DD6F8"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7B065D0" w14:textId="77777777" w:rsidR="00056E1E" w:rsidRPr="00660953" w:rsidRDefault="00056E1E" w:rsidP="00356805">
            <w:pPr>
              <w:pStyle w:val="Normalbold"/>
            </w:pPr>
          </w:p>
        </w:tc>
        <w:tc>
          <w:tcPr>
            <w:tcW w:w="270" w:type="dxa"/>
            <w:shd w:val="clear" w:color="auto" w:fill="F2F2F2" w:themeFill="background1" w:themeFillShade="F2"/>
          </w:tcPr>
          <w:p w14:paraId="653E9A14" w14:textId="77777777" w:rsidR="00056E1E" w:rsidRPr="00660953" w:rsidRDefault="00056E1E" w:rsidP="00AB3116">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2DA9CFFA" w14:textId="2687CEA2" w:rsidR="00056E1E" w:rsidRPr="00660953" w:rsidRDefault="008C7872" w:rsidP="008C7872">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rPr>
            </w:pPr>
            <w:r>
              <w:rPr>
                <w:b/>
              </w:rPr>
              <w:t>5.7</w:t>
            </w:r>
          </w:p>
        </w:tc>
        <w:tc>
          <w:tcPr>
            <w:tcW w:w="6134" w:type="dxa"/>
            <w:shd w:val="clear" w:color="auto" w:fill="F2F2F2" w:themeFill="background1" w:themeFillShade="F2"/>
          </w:tcPr>
          <w:p w14:paraId="669C7412" w14:textId="77777777" w:rsidR="00056E1E" w:rsidRPr="00660953" w:rsidRDefault="00056E1E" w:rsidP="000969C7">
            <w:pPr>
              <w:cnfStyle w:val="000000010000" w:firstRow="0" w:lastRow="0" w:firstColumn="0" w:lastColumn="0" w:oddVBand="0" w:evenVBand="0" w:oddHBand="0" w:evenHBand="1" w:firstRowFirstColumn="0" w:firstRowLastColumn="0" w:lastRowFirstColumn="0" w:lastRowLastColumn="0"/>
              <w:rPr>
                <w:b/>
                <w:sz w:val="18"/>
              </w:rPr>
            </w:pPr>
            <w:r w:rsidRPr="00660953">
              <w:rPr>
                <w:b/>
                <w:sz w:val="18"/>
              </w:rPr>
              <w:t xml:space="preserve">The decision to transfer non-financial assets to the administering department (that is, government as owner) is not in itself an indicator of impairment for the entity concerned. The entity </w:t>
            </w:r>
            <w:r w:rsidR="00763754" w:rsidRPr="00660953">
              <w:rPr>
                <w:b/>
                <w:sz w:val="18"/>
              </w:rPr>
              <w:t>shall</w:t>
            </w:r>
            <w:r w:rsidRPr="00660953">
              <w:rPr>
                <w:b/>
                <w:sz w:val="18"/>
              </w:rPr>
              <w:t xml:space="preserve"> recover the non-financial asset’s carrying value either as a return of contributions by owners, or through both its return and continuing use (if the return is at a future date).</w:t>
            </w:r>
          </w:p>
        </w:tc>
      </w:tr>
      <w:tr w:rsidR="00056E1E" w:rsidRPr="00E10ADB" w14:paraId="6E06139F"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2CCA84E" w14:textId="77777777" w:rsidR="00056E1E" w:rsidRPr="00E2009B" w:rsidRDefault="00056E1E" w:rsidP="003F3FA4">
            <w:pPr>
              <w:pStyle w:val="Normalgrey"/>
            </w:pPr>
            <w:r w:rsidRPr="00E2009B">
              <w:t>Definitions</w:t>
            </w:r>
          </w:p>
        </w:tc>
        <w:tc>
          <w:tcPr>
            <w:tcW w:w="270" w:type="dxa"/>
          </w:tcPr>
          <w:p w14:paraId="6061ABB9" w14:textId="77777777" w:rsidR="00056E1E" w:rsidRPr="004471E3" w:rsidRDefault="00056E1E" w:rsidP="004471E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1E05CDEC" w14:textId="232EC6E6" w:rsidR="00056E1E" w:rsidRPr="00C15329" w:rsidRDefault="008C7872" w:rsidP="008C7872">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6.1</w:t>
            </w:r>
          </w:p>
        </w:tc>
        <w:tc>
          <w:tcPr>
            <w:tcW w:w="6134" w:type="dxa"/>
          </w:tcPr>
          <w:p w14:paraId="5FB997EC" w14:textId="647C24A9" w:rsidR="00056E1E" w:rsidRPr="00BC4C86" w:rsidRDefault="00056E1E" w:rsidP="00660953">
            <w:pPr>
              <w:pStyle w:val="Normalgrey"/>
              <w:cnfStyle w:val="000000100000" w:firstRow="0" w:lastRow="0" w:firstColumn="0" w:lastColumn="0" w:oddVBand="0" w:evenVBand="0" w:oddHBand="1" w:evenHBand="0" w:firstRowFirstColumn="0" w:firstRowLastColumn="0" w:lastRowFirstColumn="0" w:lastRowLastColumn="0"/>
            </w:pPr>
            <w:r w:rsidRPr="00BC4C86">
              <w:rPr>
                <w:b/>
              </w:rPr>
              <w:t>Administering department</w:t>
            </w:r>
            <w:r w:rsidRPr="00BC4C86">
              <w:t xml:space="preserve"> </w:t>
            </w:r>
            <w:r w:rsidR="008C7872">
              <w:t>–</w:t>
            </w:r>
            <w:r w:rsidRPr="00BC4C86">
              <w:t xml:space="preserve"> a department of government which is responsible for the implementation of a specific government decision to contribute an existing non-financial asset to a third party.</w:t>
            </w:r>
          </w:p>
        </w:tc>
      </w:tr>
      <w:tr w:rsidR="00056E1E" w:rsidRPr="00E10ADB" w14:paraId="056A0D8D"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7A2BA143" w14:textId="77777777" w:rsidR="00056E1E" w:rsidRPr="00E2009B" w:rsidRDefault="00056E1E" w:rsidP="00AB3116">
            <w:pPr>
              <w:pStyle w:val="Normalgrey"/>
            </w:pPr>
          </w:p>
        </w:tc>
        <w:tc>
          <w:tcPr>
            <w:tcW w:w="270" w:type="dxa"/>
          </w:tcPr>
          <w:p w14:paraId="76D673C2" w14:textId="77777777" w:rsidR="00056E1E" w:rsidRPr="00521483" w:rsidRDefault="00056E1E" w:rsidP="008C7872">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1C23D363" w14:textId="3C8E013F" w:rsidR="00056E1E" w:rsidRPr="00E2009B" w:rsidRDefault="008C7872" w:rsidP="008C7872">
            <w:pPr>
              <w:pStyle w:val="Normalgrey"/>
              <w:cnfStyle w:val="000000010000" w:firstRow="0" w:lastRow="0" w:firstColumn="0" w:lastColumn="0" w:oddVBand="0" w:evenVBand="0" w:oddHBand="0" w:evenHBand="1" w:firstRowFirstColumn="0" w:firstRowLastColumn="0" w:lastRowFirstColumn="0" w:lastRowLastColumn="0"/>
            </w:pPr>
            <w:r>
              <w:t>6.2</w:t>
            </w:r>
          </w:p>
        </w:tc>
        <w:tc>
          <w:tcPr>
            <w:tcW w:w="6134" w:type="dxa"/>
          </w:tcPr>
          <w:p w14:paraId="257144D3" w14:textId="0C4C59D9" w:rsidR="00056E1E" w:rsidRPr="00BC4C86" w:rsidRDefault="00056E1E" w:rsidP="00660953">
            <w:pPr>
              <w:pStyle w:val="Normalgrey"/>
              <w:cnfStyle w:val="000000010000" w:firstRow="0" w:lastRow="0" w:firstColumn="0" w:lastColumn="0" w:oddVBand="0" w:evenVBand="0" w:oddHBand="0" w:evenHBand="1" w:firstRowFirstColumn="0" w:firstRowLastColumn="0" w:lastRowFirstColumn="0" w:lastRowLastColumn="0"/>
            </w:pPr>
            <w:r w:rsidRPr="00BC4C86">
              <w:rPr>
                <w:b/>
              </w:rPr>
              <w:t>Contributions</w:t>
            </w:r>
            <w:r w:rsidRPr="00BC4C86">
              <w:t xml:space="preserve"> </w:t>
            </w:r>
            <w:r w:rsidR="008C7872">
              <w:t xml:space="preserve">– </w:t>
            </w:r>
            <w:r w:rsidRPr="00BC4C86">
              <w:t>non-reciprocal transfers of non-financial assets to an entity for no or nominal consideration. It excludes transfers that are made as consideration for the provision of goods and/or services by the transferee at fair value to the transferor.</w:t>
            </w:r>
          </w:p>
        </w:tc>
      </w:tr>
      <w:tr w:rsidR="00056E1E" w:rsidRPr="00E10ADB" w14:paraId="6416BC80"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509684DB" w14:textId="77777777" w:rsidR="00056E1E" w:rsidRPr="00E2009B" w:rsidRDefault="00056E1E" w:rsidP="00AB3116">
            <w:pPr>
              <w:pStyle w:val="Normalgrey"/>
            </w:pPr>
          </w:p>
        </w:tc>
        <w:tc>
          <w:tcPr>
            <w:tcW w:w="270" w:type="dxa"/>
          </w:tcPr>
          <w:p w14:paraId="3973ACF6" w14:textId="77777777" w:rsidR="00056E1E" w:rsidRPr="00521483"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25BF2652" w14:textId="544497BF" w:rsidR="00056E1E" w:rsidRPr="00E2009B" w:rsidRDefault="008C7872" w:rsidP="000969C7">
            <w:pPr>
              <w:pStyle w:val="Normalgrey"/>
              <w:cnfStyle w:val="000000100000" w:firstRow="0" w:lastRow="0" w:firstColumn="0" w:lastColumn="0" w:oddVBand="0" w:evenVBand="0" w:oddHBand="1" w:evenHBand="0" w:firstRowFirstColumn="0" w:firstRowLastColumn="0" w:lastRowFirstColumn="0" w:lastRowLastColumn="0"/>
            </w:pPr>
            <w:r>
              <w:t>6.3</w:t>
            </w:r>
          </w:p>
        </w:tc>
        <w:tc>
          <w:tcPr>
            <w:tcW w:w="6134" w:type="dxa"/>
          </w:tcPr>
          <w:p w14:paraId="312DE02C" w14:textId="681FA13D" w:rsidR="00056E1E" w:rsidRPr="00BC4C86" w:rsidRDefault="00056E1E" w:rsidP="00660953">
            <w:pPr>
              <w:pStyle w:val="Normalgrey"/>
              <w:cnfStyle w:val="000000100000" w:firstRow="0" w:lastRow="0" w:firstColumn="0" w:lastColumn="0" w:oddVBand="0" w:evenVBand="0" w:oddHBand="1" w:evenHBand="0" w:firstRowFirstColumn="0" w:firstRowLastColumn="0" w:lastRowFirstColumn="0" w:lastRowLastColumn="0"/>
            </w:pPr>
            <w:r w:rsidRPr="00BC4C86">
              <w:rPr>
                <w:b/>
              </w:rPr>
              <w:t>Contributions by owners</w:t>
            </w:r>
            <w:r w:rsidRPr="00BC4C86">
              <w:t xml:space="preserve"> </w:t>
            </w:r>
            <w:r w:rsidR="008C7872">
              <w:t xml:space="preserve">– </w:t>
            </w:r>
            <w:r w:rsidRPr="00BC4C86">
              <w:t>the future economic benefits that have been contributed to the entity by parties external to the entity, other than those which result in liabilities of the entity, that give rise to a financial interest in the net assets of the entity which:</w:t>
            </w:r>
          </w:p>
          <w:p w14:paraId="47FDBD4B" w14:textId="77777777" w:rsidR="00056E1E" w:rsidRPr="00BC4C86" w:rsidRDefault="00056E1E" w:rsidP="008C7872">
            <w:pPr>
              <w:pStyle w:val="Bullet1grey"/>
              <w:cnfStyle w:val="000000100000" w:firstRow="0" w:lastRow="0" w:firstColumn="0" w:lastColumn="0" w:oddVBand="0" w:evenVBand="0" w:oddHBand="1" w:evenHBand="0" w:firstRowFirstColumn="0" w:firstRowLastColumn="0" w:lastRowFirstColumn="0" w:lastRowLastColumn="0"/>
            </w:pPr>
            <w:r w:rsidRPr="00BC4C86">
              <w:t>conveys entitlement both to distributions of future economic benefits by the entity during its life, such distributions being at the discretion of the ownership group or its representatives, and to distributions of any excess of assets over liabilities in the event of the entity being wound up; and/or</w:t>
            </w:r>
          </w:p>
          <w:p w14:paraId="6C53C0C2" w14:textId="7008D9D1" w:rsidR="00056E1E" w:rsidRPr="00BC4C86" w:rsidRDefault="00056E1E" w:rsidP="008C7872">
            <w:pPr>
              <w:pStyle w:val="Bullet1grey"/>
              <w:cnfStyle w:val="000000100000" w:firstRow="0" w:lastRow="0" w:firstColumn="0" w:lastColumn="0" w:oddVBand="0" w:evenVBand="0" w:oddHBand="1" w:evenHBand="0" w:firstRowFirstColumn="0" w:firstRowLastColumn="0" w:lastRowFirstColumn="0" w:lastRowLastColumn="0"/>
            </w:pPr>
            <w:r w:rsidRPr="00BC4C86">
              <w:t xml:space="preserve">can be sold, transferred or redeemed </w:t>
            </w:r>
            <w:r w:rsidR="008C7872">
              <w:t>(</w:t>
            </w:r>
            <w:r w:rsidRPr="00BC4C86">
              <w:t xml:space="preserve">as per AASB 1004 </w:t>
            </w:r>
            <w:r w:rsidRPr="00C341EF">
              <w:rPr>
                <w:i/>
              </w:rPr>
              <w:t>Contributions</w:t>
            </w:r>
            <w:r w:rsidRPr="00BC4C86">
              <w:t xml:space="preserve"> Appendix A</w:t>
            </w:r>
            <w:r w:rsidR="008C7872">
              <w:t>)</w:t>
            </w:r>
            <w:r w:rsidRPr="00BC4C86">
              <w:t>.</w:t>
            </w:r>
          </w:p>
        </w:tc>
      </w:tr>
      <w:tr w:rsidR="00056E1E" w:rsidRPr="00E10ADB" w14:paraId="79DC4326"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574A553D" w14:textId="77777777" w:rsidR="00056E1E" w:rsidRPr="00E2009B" w:rsidRDefault="00056E1E" w:rsidP="00AB3116">
            <w:pPr>
              <w:pStyle w:val="Normalgrey"/>
            </w:pPr>
          </w:p>
        </w:tc>
        <w:tc>
          <w:tcPr>
            <w:tcW w:w="270" w:type="dxa"/>
          </w:tcPr>
          <w:p w14:paraId="59B4DDB9" w14:textId="77777777" w:rsidR="00056E1E" w:rsidRPr="00521483"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0AAAF6E0" w14:textId="05FA80B5" w:rsidR="00056E1E" w:rsidRPr="00E2009B" w:rsidRDefault="008C7872" w:rsidP="000969C7">
            <w:pPr>
              <w:pStyle w:val="Normalgrey"/>
              <w:cnfStyle w:val="000000010000" w:firstRow="0" w:lastRow="0" w:firstColumn="0" w:lastColumn="0" w:oddVBand="0" w:evenVBand="0" w:oddHBand="0" w:evenHBand="1" w:firstRowFirstColumn="0" w:firstRowLastColumn="0" w:lastRowFirstColumn="0" w:lastRowLastColumn="0"/>
            </w:pPr>
            <w:r>
              <w:t>6.4</w:t>
            </w:r>
          </w:p>
        </w:tc>
        <w:tc>
          <w:tcPr>
            <w:tcW w:w="6134" w:type="dxa"/>
          </w:tcPr>
          <w:p w14:paraId="5BCD9BBB" w14:textId="1E990C15" w:rsidR="00056E1E" w:rsidRPr="00BC4C86" w:rsidRDefault="00056E1E" w:rsidP="00660953">
            <w:pPr>
              <w:pStyle w:val="Normalgrey"/>
              <w:cnfStyle w:val="000000010000" w:firstRow="0" w:lastRow="0" w:firstColumn="0" w:lastColumn="0" w:oddVBand="0" w:evenVBand="0" w:oddHBand="0" w:evenHBand="1" w:firstRowFirstColumn="0" w:firstRowLastColumn="0" w:lastRowFirstColumn="0" w:lastRowLastColumn="0"/>
            </w:pPr>
            <w:r w:rsidRPr="00BC4C86">
              <w:rPr>
                <w:b/>
              </w:rPr>
              <w:t>Government</w:t>
            </w:r>
            <w:r w:rsidRPr="00BC4C86">
              <w:t xml:space="preserve"> </w:t>
            </w:r>
            <w:r w:rsidR="008C7872">
              <w:t xml:space="preserve">– </w:t>
            </w:r>
            <w:r w:rsidRPr="00BC4C86">
              <w:t>the Victorian State Government.</w:t>
            </w:r>
          </w:p>
        </w:tc>
      </w:tr>
      <w:tr w:rsidR="00056E1E" w:rsidRPr="00E10ADB" w14:paraId="64606CC4"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1209106E" w14:textId="77777777" w:rsidR="00056E1E" w:rsidRPr="00E2009B" w:rsidRDefault="00056E1E" w:rsidP="00AB3116">
            <w:pPr>
              <w:pStyle w:val="Normalgrey"/>
            </w:pPr>
          </w:p>
        </w:tc>
        <w:tc>
          <w:tcPr>
            <w:tcW w:w="270" w:type="dxa"/>
          </w:tcPr>
          <w:p w14:paraId="00C7F6C0" w14:textId="77777777" w:rsidR="00056E1E" w:rsidRPr="00521483"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1251CC5D" w14:textId="618259AC" w:rsidR="00056E1E" w:rsidRPr="00E2009B" w:rsidRDefault="008C7872" w:rsidP="000969C7">
            <w:pPr>
              <w:pStyle w:val="Normalgrey"/>
              <w:cnfStyle w:val="000000100000" w:firstRow="0" w:lastRow="0" w:firstColumn="0" w:lastColumn="0" w:oddVBand="0" w:evenVBand="0" w:oddHBand="1" w:evenHBand="0" w:firstRowFirstColumn="0" w:firstRowLastColumn="0" w:lastRowFirstColumn="0" w:lastRowLastColumn="0"/>
            </w:pPr>
            <w:r>
              <w:t>6.5</w:t>
            </w:r>
          </w:p>
        </w:tc>
        <w:tc>
          <w:tcPr>
            <w:tcW w:w="6134" w:type="dxa"/>
          </w:tcPr>
          <w:p w14:paraId="6719D07E" w14:textId="70713D7E" w:rsidR="00056E1E" w:rsidRPr="00BC4C86" w:rsidRDefault="00056E1E" w:rsidP="00660953">
            <w:pPr>
              <w:pStyle w:val="Normalgrey"/>
              <w:cnfStyle w:val="000000100000" w:firstRow="0" w:lastRow="0" w:firstColumn="0" w:lastColumn="0" w:oddVBand="0" w:evenVBand="0" w:oddHBand="1" w:evenHBand="0" w:firstRowFirstColumn="0" w:firstRowLastColumn="0" w:lastRowFirstColumn="0" w:lastRowLastColumn="0"/>
            </w:pPr>
            <w:r w:rsidRPr="00BC4C86">
              <w:rPr>
                <w:b/>
              </w:rPr>
              <w:t>Non-financial assets</w:t>
            </w:r>
            <w:r w:rsidRPr="00BC4C86">
              <w:t xml:space="preserve"> </w:t>
            </w:r>
            <w:r w:rsidR="008C7872">
              <w:t xml:space="preserve">– </w:t>
            </w:r>
            <w:r w:rsidRPr="00BC4C86">
              <w:t xml:space="preserve">those assets that are not classified as a ‘financial asset’ in accordance with AASB 132.11 </w:t>
            </w:r>
            <w:r w:rsidRPr="00A37946">
              <w:rPr>
                <w:i/>
              </w:rPr>
              <w:t>Financial Instruments: Presentation</w:t>
            </w:r>
            <w:r w:rsidRPr="00BC4C86">
              <w:t>.</w:t>
            </w:r>
          </w:p>
        </w:tc>
      </w:tr>
      <w:tr w:rsidR="00056E1E" w:rsidRPr="00E10ADB" w14:paraId="3668DD6B"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2398E71" w14:textId="77777777" w:rsidR="00056E1E" w:rsidRPr="00E2009B" w:rsidRDefault="00056E1E" w:rsidP="00AB3116">
            <w:pPr>
              <w:pStyle w:val="Normalgrey"/>
            </w:pPr>
          </w:p>
        </w:tc>
        <w:tc>
          <w:tcPr>
            <w:tcW w:w="270" w:type="dxa"/>
          </w:tcPr>
          <w:p w14:paraId="551A6CD3" w14:textId="77777777" w:rsidR="00056E1E" w:rsidRPr="00521483" w:rsidRDefault="00056E1E" w:rsidP="000969C7">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71CDCA71" w14:textId="020244A4" w:rsidR="00056E1E" w:rsidRPr="00E2009B" w:rsidRDefault="008C7872" w:rsidP="000969C7">
            <w:pPr>
              <w:pStyle w:val="Normalgrey"/>
              <w:cnfStyle w:val="000000010000" w:firstRow="0" w:lastRow="0" w:firstColumn="0" w:lastColumn="0" w:oddVBand="0" w:evenVBand="0" w:oddHBand="0" w:evenHBand="1" w:firstRowFirstColumn="0" w:firstRowLastColumn="0" w:lastRowFirstColumn="0" w:lastRowLastColumn="0"/>
            </w:pPr>
            <w:r>
              <w:t>6.6</w:t>
            </w:r>
          </w:p>
        </w:tc>
        <w:tc>
          <w:tcPr>
            <w:tcW w:w="6134" w:type="dxa"/>
          </w:tcPr>
          <w:p w14:paraId="7EDC518D" w14:textId="063E6FEF" w:rsidR="00056E1E" w:rsidRPr="00BC4C86" w:rsidRDefault="00056E1E" w:rsidP="00660953">
            <w:pPr>
              <w:pStyle w:val="Normalgrey"/>
              <w:cnfStyle w:val="000000010000" w:firstRow="0" w:lastRow="0" w:firstColumn="0" w:lastColumn="0" w:oddVBand="0" w:evenVBand="0" w:oddHBand="0" w:evenHBand="1" w:firstRowFirstColumn="0" w:firstRowLastColumn="0" w:lastRowFirstColumn="0" w:lastRowLastColumn="0"/>
            </w:pPr>
            <w:r w:rsidRPr="00BC4C86">
              <w:rPr>
                <w:b/>
              </w:rPr>
              <w:t>Public sector entity</w:t>
            </w:r>
            <w:r w:rsidRPr="00BC4C86">
              <w:t xml:space="preserve"> or </w:t>
            </w:r>
            <w:r w:rsidRPr="00BC4C86">
              <w:rPr>
                <w:b/>
              </w:rPr>
              <w:t>entity</w:t>
            </w:r>
            <w:r w:rsidRPr="00BC4C86">
              <w:t xml:space="preserve"> </w:t>
            </w:r>
            <w:r w:rsidR="008C7872">
              <w:t xml:space="preserve">– </w:t>
            </w:r>
            <w:r w:rsidRPr="00BC4C86">
              <w:t>for the purposes of this Direction includes public non-financial corporations, public financial corporations and general government entities including government departments, but excludes local government entities, universities, denominational hospitals and any other non-controlled entities such as certain companies and trusts.</w:t>
            </w:r>
          </w:p>
          <w:p w14:paraId="65317BD7" w14:textId="77777777" w:rsidR="00056E1E" w:rsidRDefault="00056E1E" w:rsidP="00660953">
            <w:pPr>
              <w:pStyle w:val="Normalgrey"/>
              <w:cnfStyle w:val="000000010000" w:firstRow="0" w:lastRow="0" w:firstColumn="0" w:lastColumn="0" w:oddVBand="0" w:evenVBand="0" w:oddHBand="0" w:evenHBand="1" w:firstRowFirstColumn="0" w:firstRowLastColumn="0" w:lastRowFirstColumn="0" w:lastRowLastColumn="0"/>
            </w:pPr>
            <w:r w:rsidRPr="007135A7">
              <w:t xml:space="preserve">The latest annual </w:t>
            </w:r>
            <w:r w:rsidRPr="00DA6C8A">
              <w:rPr>
                <w:i/>
              </w:rPr>
              <w:t>Financial Report for the State of Victoria</w:t>
            </w:r>
            <w:r w:rsidRPr="007135A7">
              <w:t xml:space="preserve"> lists the ‘controlled entities’ that are considered to be public sector entities for the purposes of this FRD. This list is subject to update. Entities </w:t>
            </w:r>
            <w:r w:rsidR="00763754">
              <w:t>shall</w:t>
            </w:r>
            <w:r w:rsidRPr="007135A7">
              <w:t xml:space="preserve"> use the latest </w:t>
            </w:r>
            <w:r w:rsidRPr="00EE4082">
              <w:rPr>
                <w:i/>
              </w:rPr>
              <w:t>Financial Report for the State of Victoria</w:t>
            </w:r>
            <w:r w:rsidRPr="007135A7">
              <w:t xml:space="preserve"> to assist them in determining if they are a public sector entity which is required to apply this FRD.</w:t>
            </w:r>
          </w:p>
        </w:tc>
      </w:tr>
      <w:tr w:rsidR="00056E1E" w:rsidRPr="00E10ADB" w14:paraId="26960763"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70032471" w14:textId="77777777" w:rsidR="00056E1E" w:rsidRPr="00E2009B" w:rsidRDefault="00056E1E" w:rsidP="00AB3116">
            <w:pPr>
              <w:pStyle w:val="Normalgrey"/>
            </w:pPr>
          </w:p>
        </w:tc>
        <w:tc>
          <w:tcPr>
            <w:tcW w:w="270" w:type="dxa"/>
          </w:tcPr>
          <w:p w14:paraId="4399E355" w14:textId="77777777" w:rsidR="00056E1E" w:rsidRPr="00521483"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01B31D75" w14:textId="5C4A9654" w:rsidR="00056E1E" w:rsidRPr="00E2009B" w:rsidRDefault="008C7872" w:rsidP="000969C7">
            <w:pPr>
              <w:pStyle w:val="Normalgrey"/>
              <w:cnfStyle w:val="000000100000" w:firstRow="0" w:lastRow="0" w:firstColumn="0" w:lastColumn="0" w:oddVBand="0" w:evenVBand="0" w:oddHBand="1" w:evenHBand="0" w:firstRowFirstColumn="0" w:firstRowLastColumn="0" w:lastRowFirstColumn="0" w:lastRowLastColumn="0"/>
            </w:pPr>
            <w:r>
              <w:t>6.7</w:t>
            </w:r>
          </w:p>
        </w:tc>
        <w:tc>
          <w:tcPr>
            <w:tcW w:w="6134" w:type="dxa"/>
          </w:tcPr>
          <w:p w14:paraId="4F7DC25B" w14:textId="43510FFF" w:rsidR="00056E1E" w:rsidRPr="00BC4C86" w:rsidRDefault="00056E1E" w:rsidP="00660953">
            <w:pPr>
              <w:pStyle w:val="Normalgrey"/>
              <w:cnfStyle w:val="000000100000" w:firstRow="0" w:lastRow="0" w:firstColumn="0" w:lastColumn="0" w:oddVBand="0" w:evenVBand="0" w:oddHBand="1" w:evenHBand="0" w:firstRowFirstColumn="0" w:firstRowLastColumn="0" w:lastRowFirstColumn="0" w:lastRowLastColumn="0"/>
            </w:pPr>
            <w:r w:rsidRPr="00BC4C86">
              <w:rPr>
                <w:b/>
              </w:rPr>
              <w:t>Third party</w:t>
            </w:r>
            <w:r w:rsidRPr="00BC4C86">
              <w:t xml:space="preserve"> </w:t>
            </w:r>
            <w:r w:rsidR="008C7872">
              <w:t>–</w:t>
            </w:r>
            <w:r w:rsidRPr="00BC4C86">
              <w:t xml:space="preserve"> an individual or organisation which is not controlled by government, that is, it is not consolidated into the latest </w:t>
            </w:r>
            <w:r w:rsidRPr="00012378">
              <w:rPr>
                <w:i/>
              </w:rPr>
              <w:t>Financial Report for the State of Victoria</w:t>
            </w:r>
            <w:r w:rsidRPr="00BC4C86">
              <w:t>.</w:t>
            </w:r>
          </w:p>
        </w:tc>
      </w:tr>
      <w:tr w:rsidR="00056E1E" w:rsidRPr="00E10ADB" w14:paraId="189A35A3"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4A621C7" w14:textId="77777777" w:rsidR="00056E1E" w:rsidRPr="00E2009B" w:rsidRDefault="00056E1E" w:rsidP="00AB3116">
            <w:pPr>
              <w:pStyle w:val="Normalgrey"/>
            </w:pPr>
            <w:r w:rsidRPr="00E2009B">
              <w:lastRenderedPageBreak/>
              <w:t>Guidance</w:t>
            </w:r>
          </w:p>
        </w:tc>
        <w:tc>
          <w:tcPr>
            <w:tcW w:w="270" w:type="dxa"/>
          </w:tcPr>
          <w:p w14:paraId="546AADB4" w14:textId="77777777" w:rsidR="00056E1E" w:rsidRPr="00521483" w:rsidRDefault="00056E1E" w:rsidP="000969C7">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1B96A723" w14:textId="77777777" w:rsidR="00056E1E" w:rsidRPr="00472918" w:rsidRDefault="00056E1E" w:rsidP="000969C7">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7D96ADE5" w14:textId="17DF81FB" w:rsidR="00056E1E" w:rsidRPr="00E2009B"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C4C86">
              <w:t xml:space="preserve">Refer to FRD </w:t>
            </w:r>
            <w:r w:rsidR="006A3F40" w:rsidRPr="006A3F40">
              <w:t xml:space="preserve">119 </w:t>
            </w:r>
            <w:r w:rsidRPr="00BC4C86">
              <w:t>for further guidance on the transfer of assets as contributions by owners.</w:t>
            </w:r>
          </w:p>
        </w:tc>
      </w:tr>
      <w:tr w:rsidR="00056E1E" w:rsidRPr="00E10ADB" w14:paraId="43696BD8"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F086309" w14:textId="77777777" w:rsidR="00056E1E" w:rsidRPr="00E2009B" w:rsidRDefault="00056E1E" w:rsidP="00AB3116">
            <w:pPr>
              <w:pStyle w:val="Normalgrey"/>
            </w:pPr>
          </w:p>
        </w:tc>
        <w:tc>
          <w:tcPr>
            <w:tcW w:w="270" w:type="dxa"/>
          </w:tcPr>
          <w:p w14:paraId="2FCC52A5" w14:textId="77777777" w:rsidR="00056E1E" w:rsidRPr="000969C7" w:rsidRDefault="00056E1E" w:rsidP="000969C7">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4C8B5FE1" w14:textId="77777777"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19EA0FB6" w14:textId="77777777" w:rsidR="00056E1E" w:rsidRDefault="00056E1E" w:rsidP="008C7872">
            <w:pPr>
              <w:pStyle w:val="Normalgrey"/>
              <w:cnfStyle w:val="000000100000" w:firstRow="0" w:lastRow="0" w:firstColumn="0" w:lastColumn="0" w:oddVBand="0" w:evenVBand="0" w:oddHBand="1" w:evenHBand="0" w:firstRowFirstColumn="0" w:firstRowLastColumn="0" w:lastRowFirstColumn="0" w:lastRowLastColumn="0"/>
            </w:pPr>
            <w:r w:rsidRPr="007135A7">
              <w:t xml:space="preserve">The Government may make decisions regarding the contribution of its non-financial </w:t>
            </w:r>
            <w:r w:rsidRPr="008C7872">
              <w:t>assets</w:t>
            </w:r>
            <w:r w:rsidRPr="007135A7">
              <w:t xml:space="preserve"> to third parties that it does not control. These contributions are generally made from non-financial assets held by entities within the general government sector.</w:t>
            </w:r>
          </w:p>
        </w:tc>
      </w:tr>
      <w:tr w:rsidR="00056E1E" w:rsidRPr="00E10ADB" w14:paraId="450680A9"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3E5B162F" w14:textId="77777777" w:rsidR="00056E1E" w:rsidRPr="00E2009B" w:rsidRDefault="00056E1E" w:rsidP="00AB3116">
            <w:pPr>
              <w:pStyle w:val="Normalgrey"/>
            </w:pPr>
          </w:p>
        </w:tc>
        <w:tc>
          <w:tcPr>
            <w:tcW w:w="270" w:type="dxa"/>
          </w:tcPr>
          <w:p w14:paraId="476EE550" w14:textId="77777777"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045FF88C" w14:textId="77777777"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70CEB519" w14:textId="77777777" w:rsidR="00056E1E" w:rsidRPr="00E33E7F"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E33E7F">
              <w:t xml:space="preserve">The </w:t>
            </w:r>
            <w:r w:rsidR="00BC4C86" w:rsidRPr="00E33E7F">
              <w:t>G</w:t>
            </w:r>
            <w:r w:rsidRPr="00E33E7F">
              <w:t>overnment, through the Responsible Minister, may also direct a public financial corporation or public non-financial corporation to contribute its non-financial assets to a third party in order to achieve the government’s objectives</w:t>
            </w:r>
            <w:r w:rsidR="00961351" w:rsidRPr="00E33E7F">
              <w:t xml:space="preserve">. </w:t>
            </w:r>
          </w:p>
        </w:tc>
      </w:tr>
      <w:tr w:rsidR="00056E1E" w:rsidRPr="00E10ADB" w14:paraId="51DD9B02"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2582A18C" w14:textId="77777777" w:rsidR="00056E1E" w:rsidRPr="00E2009B" w:rsidRDefault="00056E1E" w:rsidP="00AB3116">
            <w:pPr>
              <w:pStyle w:val="Normalgrey"/>
            </w:pPr>
          </w:p>
        </w:tc>
        <w:tc>
          <w:tcPr>
            <w:tcW w:w="270" w:type="dxa"/>
          </w:tcPr>
          <w:p w14:paraId="1F7C3CA5" w14:textId="77777777"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7C2F5609" w14:textId="77777777"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3F049E24" w14:textId="77777777" w:rsidR="00056E1E" w:rsidRPr="00E33E7F"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E33E7F">
              <w:t>On behalf of the Crown, the government is owner of:</w:t>
            </w:r>
            <w:r w:rsidR="00082936">
              <w:t xml:space="preserve"> </w:t>
            </w:r>
          </w:p>
          <w:p w14:paraId="2F33A31F" w14:textId="77777777" w:rsidR="00056E1E" w:rsidRPr="00B944D1" w:rsidRDefault="00056E1E" w:rsidP="00B944D1">
            <w:pPr>
              <w:pStyle w:val="Listnum"/>
              <w:numPr>
                <w:ilvl w:val="0"/>
                <w:numId w:val="34"/>
              </w:numPr>
              <w:cnfStyle w:val="000000100000" w:firstRow="0" w:lastRow="0" w:firstColumn="0" w:lastColumn="0" w:oddVBand="0" w:evenVBand="0" w:oddHBand="1" w:evenHBand="0" w:firstRowFirstColumn="0" w:firstRowLastColumn="0" w:lastRowFirstColumn="0" w:lastRowLastColumn="0"/>
              <w:rPr>
                <w:color w:val="4D4D4D"/>
              </w:rPr>
            </w:pPr>
            <w:r w:rsidRPr="00B944D1">
              <w:rPr>
                <w:color w:val="4D4D4D"/>
              </w:rPr>
              <w:t xml:space="preserve">entities within the general government or budget sector – </w:t>
            </w:r>
            <w:r w:rsidR="00961351" w:rsidRPr="00B944D1">
              <w:rPr>
                <w:color w:val="4D4D4D"/>
              </w:rPr>
              <w:t>t</w:t>
            </w:r>
            <w:r w:rsidRPr="00B944D1">
              <w:rPr>
                <w:color w:val="4D4D4D"/>
              </w:rPr>
              <w:t xml:space="preserve">his is what is often referred to as ‘government’, and it is this sector that directly develops and administers government policy. The transactions of these entities directly impact on the Net Result for the general government sector; and </w:t>
            </w:r>
          </w:p>
          <w:p w14:paraId="6B05A025" w14:textId="77777777" w:rsidR="00056E1E" w:rsidRPr="00E33E7F" w:rsidRDefault="00056E1E" w:rsidP="008C7872">
            <w:pPr>
              <w:pStyle w:val="Listnumgrey"/>
              <w:cnfStyle w:val="000000100000" w:firstRow="0" w:lastRow="0" w:firstColumn="0" w:lastColumn="0" w:oddVBand="0" w:evenVBand="0" w:oddHBand="1" w:evenHBand="0" w:firstRowFirstColumn="0" w:firstRowLastColumn="0" w:lastRowFirstColumn="0" w:lastRowLastColumn="0"/>
            </w:pPr>
            <w:r w:rsidRPr="00E33E7F">
              <w:t xml:space="preserve">PFCs and PNFCs – </w:t>
            </w:r>
            <w:r w:rsidR="00961351" w:rsidRPr="00E33E7F">
              <w:t>a</w:t>
            </w:r>
            <w:r w:rsidRPr="00E33E7F">
              <w:t xml:space="preserve">lthough required to comply with general government policies, these entities are typically established for specific purposes and </w:t>
            </w:r>
            <w:r w:rsidRPr="00B944D1">
              <w:t>usually</w:t>
            </w:r>
            <w:r w:rsidRPr="00E33E7F">
              <w:t xml:space="preserve"> have an independent governance board whose responsibility is to use its assets to best meet its specific objectives. The government originally established these entities and acts in the role of owner. The net result of these entities does not affect the Net Result from Transactions of the general government sector and only indirectly affects the comprehensive result of the general government sector.</w:t>
            </w:r>
          </w:p>
        </w:tc>
      </w:tr>
      <w:tr w:rsidR="00056E1E" w:rsidRPr="00E10ADB" w14:paraId="3EBCBAC5"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3D908766" w14:textId="77777777" w:rsidR="00056E1E" w:rsidRPr="00E2009B" w:rsidRDefault="00056E1E" w:rsidP="00AB3116">
            <w:pPr>
              <w:pStyle w:val="Normalgrey"/>
            </w:pPr>
          </w:p>
        </w:tc>
        <w:tc>
          <w:tcPr>
            <w:tcW w:w="270" w:type="dxa"/>
          </w:tcPr>
          <w:p w14:paraId="6CA72E91" w14:textId="77777777"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64B25AB3" w14:textId="77777777"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294E5FC4" w14:textId="748A3393"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 xml:space="preserve">The government controls and is ultimately responsible to Parliament for all assets held by entities which are consolidated into the </w:t>
            </w:r>
            <w:r w:rsidRPr="00A22DC1">
              <w:rPr>
                <w:i/>
              </w:rPr>
              <w:t>Financial Report for the State of Victoria</w:t>
            </w:r>
            <w:r w:rsidRPr="00B71B88">
              <w:t>. The government is effectively the owner and is able to deploy these assets to best meet its objectives</w:t>
            </w:r>
            <w:r w:rsidR="00082936">
              <w:t xml:space="preserve">. </w:t>
            </w:r>
          </w:p>
        </w:tc>
      </w:tr>
      <w:tr w:rsidR="00056E1E" w:rsidRPr="00E10ADB" w14:paraId="57DDADC7"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955E5DD" w14:textId="77777777" w:rsidR="00056E1E" w:rsidRPr="00E2009B" w:rsidRDefault="00056E1E" w:rsidP="00AB3116">
            <w:pPr>
              <w:pStyle w:val="Normalgrey"/>
            </w:pPr>
          </w:p>
        </w:tc>
        <w:tc>
          <w:tcPr>
            <w:tcW w:w="270" w:type="dxa"/>
          </w:tcPr>
          <w:p w14:paraId="1F60485F" w14:textId="77777777"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4BC52C5E" w14:textId="77777777"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6643F367" w14:textId="77777777"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B71B88">
              <w:t>The decision by government to contribute its non-financial assets to third parties that it does not control shall be recognised in a consistent manner. Paragraph 5.3 of this FRD outlines the relevant accounting treatment for such transactions.</w:t>
            </w:r>
          </w:p>
        </w:tc>
      </w:tr>
      <w:tr w:rsidR="00056E1E" w:rsidRPr="00E10ADB" w14:paraId="15F05D23"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E6092B1" w14:textId="77777777" w:rsidR="00056E1E" w:rsidRPr="00E2009B" w:rsidRDefault="00056E1E" w:rsidP="00AB3116">
            <w:pPr>
              <w:pStyle w:val="Normalgrey"/>
            </w:pPr>
          </w:p>
        </w:tc>
        <w:tc>
          <w:tcPr>
            <w:tcW w:w="270" w:type="dxa"/>
          </w:tcPr>
          <w:p w14:paraId="09E8839E" w14:textId="77777777"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380E0CDB" w14:textId="77777777"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0E0FF9D7" w14:textId="77777777"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If the contribution is to become effective at a future point in time, it may need to be determined if this decision has created a present obligation, and if so, whether any other associated conditions have been met. A public announcement of the government decision involving the contribution of non-financial assets to a third party may raise public expectations that the government is committed to the decision. While this may require the immediate recognition of a provision for the outflow of the resources (and the related expense) for the future contribution, this is uncommon. The intention of a government to make payments to other parties, whether advised in the form of a budget policy, election promise or statement of intent, does not of itself create a present obligation which is binding on the government. If there is not a present obligation, note disclosure may be required.</w:t>
            </w:r>
          </w:p>
        </w:tc>
      </w:tr>
      <w:tr w:rsidR="00056E1E" w:rsidRPr="00E10ADB" w14:paraId="2BB8C540"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4131CBC0" w14:textId="77777777" w:rsidR="00056E1E" w:rsidRPr="00E2009B" w:rsidRDefault="00056E1E" w:rsidP="00AB3116">
            <w:pPr>
              <w:pStyle w:val="Normalgrey"/>
            </w:pPr>
          </w:p>
        </w:tc>
        <w:tc>
          <w:tcPr>
            <w:tcW w:w="270" w:type="dxa"/>
          </w:tcPr>
          <w:p w14:paraId="2E625BE5" w14:textId="77777777"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0E6C1D30" w14:textId="77777777"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64A8685E" w14:textId="77777777"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B71B88">
              <w:t>Transfers involving decisions made by the governance board of an entity in pursuit of its objectives are outside the scope of this Direction</w:t>
            </w:r>
            <w:r w:rsidR="00082936">
              <w:t xml:space="preserve">. </w:t>
            </w:r>
            <w:r w:rsidRPr="00B71B88">
              <w:t>An example includes a decision by the Transport Accident Commission to contribute funds for the upgrade of an accident black spot to reduce potential accident claims.</w:t>
            </w:r>
          </w:p>
        </w:tc>
      </w:tr>
      <w:tr w:rsidR="00056E1E" w:rsidRPr="00E10ADB" w14:paraId="58293889"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6A73FFB0" w14:textId="77777777" w:rsidR="00056E1E" w:rsidRPr="00E2009B" w:rsidRDefault="00056E1E" w:rsidP="00AB3116">
            <w:pPr>
              <w:pStyle w:val="Normalgrey"/>
            </w:pPr>
          </w:p>
        </w:tc>
        <w:tc>
          <w:tcPr>
            <w:tcW w:w="270" w:type="dxa"/>
          </w:tcPr>
          <w:p w14:paraId="7F25022A" w14:textId="77777777" w:rsidR="00056E1E" w:rsidRPr="00521483" w:rsidRDefault="00056E1E" w:rsidP="00AB3116">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49D0EF6E" w14:textId="77777777" w:rsidR="00056E1E" w:rsidRPr="00472918" w:rsidRDefault="00056E1E" w:rsidP="00511C05">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6F7E37A2" w14:textId="77777777" w:rsidR="00056E1E" w:rsidRDefault="00056E1E" w:rsidP="000969C7">
            <w:pPr>
              <w:pStyle w:val="Normalgrey"/>
              <w:cnfStyle w:val="000000010000" w:firstRow="0" w:lastRow="0" w:firstColumn="0" w:lastColumn="0" w:oddVBand="0" w:evenVBand="0" w:oddHBand="0" w:evenHBand="1" w:firstRowFirstColumn="0" w:firstRowLastColumn="0" w:lastRowFirstColumn="0" w:lastRowLastColumn="0"/>
            </w:pPr>
            <w:r w:rsidRPr="00B71B88">
              <w:t>The decision to contribute non-financial assets to third parties shall be reflected in the administered accounts.</w:t>
            </w:r>
          </w:p>
        </w:tc>
      </w:tr>
      <w:tr w:rsidR="00056E1E" w:rsidRPr="00E10ADB" w14:paraId="50D932D9"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406AD52F" w14:textId="77777777" w:rsidR="00056E1E" w:rsidRPr="00E2009B" w:rsidRDefault="00056E1E" w:rsidP="00AB3116">
            <w:pPr>
              <w:pStyle w:val="Normalgrey"/>
            </w:pPr>
          </w:p>
        </w:tc>
        <w:tc>
          <w:tcPr>
            <w:tcW w:w="270" w:type="dxa"/>
          </w:tcPr>
          <w:p w14:paraId="5D8137C0" w14:textId="77777777" w:rsidR="00056E1E" w:rsidRPr="00521483" w:rsidRDefault="00056E1E" w:rsidP="00AB3116">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4144AC1F" w14:textId="77777777" w:rsidR="00056E1E" w:rsidRPr="00472918" w:rsidRDefault="00056E1E" w:rsidP="00511C05">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028C0645" w14:textId="74E993D9"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6A3F40">
              <w:t>For further information regarding the designation requirements of contributions by owners, refer to FRD</w:t>
            </w:r>
            <w:r w:rsidR="006A3F40" w:rsidRPr="006A3F40">
              <w:t xml:space="preserve"> 119</w:t>
            </w:r>
            <w:r w:rsidRPr="00BC4C86">
              <w:t>.</w:t>
            </w:r>
          </w:p>
        </w:tc>
      </w:tr>
      <w:tr w:rsidR="00056E1E" w:rsidRPr="00E10ADB" w14:paraId="2E768BAC"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1BEAB85E" w14:textId="77777777" w:rsidR="00056E1E" w:rsidRPr="00E2009B" w:rsidRDefault="00056E1E" w:rsidP="00AB3116">
            <w:pPr>
              <w:pStyle w:val="Normalgrey"/>
            </w:pPr>
            <w:r w:rsidRPr="00E2009B">
              <w:t xml:space="preserve">Relevant </w:t>
            </w:r>
            <w:r>
              <w:t>p</w:t>
            </w:r>
            <w:r w:rsidRPr="00E2009B">
              <w:t>ronouncements</w:t>
            </w:r>
          </w:p>
        </w:tc>
        <w:tc>
          <w:tcPr>
            <w:tcW w:w="270" w:type="dxa"/>
          </w:tcPr>
          <w:p w14:paraId="16AF9BEF" w14:textId="77777777" w:rsidR="00056E1E" w:rsidRPr="00521483" w:rsidRDefault="00056E1E" w:rsidP="004670C0">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69FDD2A0" w14:textId="071CC2FC" w:rsidR="00056E1E" w:rsidRPr="00E2009B" w:rsidRDefault="008C7872" w:rsidP="000969C7">
            <w:pPr>
              <w:pStyle w:val="Normalgrey"/>
              <w:cnfStyle w:val="000000010000" w:firstRow="0" w:lastRow="0" w:firstColumn="0" w:lastColumn="0" w:oddVBand="0" w:evenVBand="0" w:oddHBand="0" w:evenHBand="1" w:firstRowFirstColumn="0" w:firstRowLastColumn="0" w:lastRowFirstColumn="0" w:lastRowLastColumn="0"/>
            </w:pPr>
            <w:r>
              <w:t>8.1</w:t>
            </w:r>
          </w:p>
        </w:tc>
        <w:tc>
          <w:tcPr>
            <w:tcW w:w="6134" w:type="dxa"/>
          </w:tcPr>
          <w:p w14:paraId="498623CF" w14:textId="75CFB629"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E20E1">
              <w:t>AASB 132</w:t>
            </w:r>
            <w:r w:rsidRPr="00D427A7">
              <w:t xml:space="preserve"> </w:t>
            </w:r>
            <w:r w:rsidRPr="002E0B0A">
              <w:rPr>
                <w:i/>
              </w:rPr>
              <w:t>Financial Instruments: Presentation</w:t>
            </w:r>
            <w:r w:rsidR="004A1A66" w:rsidRPr="00BC4C86">
              <w:t xml:space="preserve"> </w:t>
            </w:r>
          </w:p>
          <w:p w14:paraId="3A189451" w14:textId="6E64C08A"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D427A7">
              <w:t xml:space="preserve">AASB 136 </w:t>
            </w:r>
            <w:r w:rsidRPr="00BE20E1">
              <w:rPr>
                <w:i/>
              </w:rPr>
              <w:t>Impairment of Assets</w:t>
            </w:r>
            <w:r w:rsidRPr="00BC4C86">
              <w:t xml:space="preserve">; </w:t>
            </w:r>
          </w:p>
          <w:p w14:paraId="5BFEB247" w14:textId="40E2DA95"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E20E1">
              <w:t>AASB 137</w:t>
            </w:r>
            <w:r w:rsidRPr="00D427A7">
              <w:rPr>
                <w:i/>
              </w:rPr>
              <w:t xml:space="preserve"> Provisions, Contingent Liabilities and Contingent Assets</w:t>
            </w:r>
            <w:r w:rsidRPr="00BC4C86">
              <w:t>;</w:t>
            </w:r>
          </w:p>
          <w:p w14:paraId="550A393D" w14:textId="0614B553"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E20E1">
              <w:t>AASB 1004</w:t>
            </w:r>
            <w:r w:rsidRPr="00D427A7">
              <w:rPr>
                <w:i/>
              </w:rPr>
              <w:t xml:space="preserve"> Contributions</w:t>
            </w:r>
            <w:r w:rsidRPr="00BC4C86">
              <w:t>;</w:t>
            </w:r>
          </w:p>
          <w:p w14:paraId="0442C523" w14:textId="637CEC6B"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E20E1">
              <w:t>AASB 1050</w:t>
            </w:r>
            <w:r w:rsidRPr="00D427A7">
              <w:rPr>
                <w:i/>
              </w:rPr>
              <w:t xml:space="preserve"> Administered Items</w:t>
            </w:r>
            <w:r w:rsidRPr="00BC4C86">
              <w:t>;</w:t>
            </w:r>
          </w:p>
          <w:p w14:paraId="10917961" w14:textId="473F3B84" w:rsidR="00056E1E" w:rsidRPr="00BC4C86"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BE20E1">
              <w:t>Interpretation 1038</w:t>
            </w:r>
            <w:r w:rsidRPr="00D427A7">
              <w:rPr>
                <w:i/>
              </w:rPr>
              <w:t xml:space="preserve"> Contributions by Owners Made to Wholly-Owned Public Sector Entities</w:t>
            </w:r>
            <w:r w:rsidRPr="00BC4C86">
              <w:t>; and</w:t>
            </w:r>
          </w:p>
          <w:p w14:paraId="37EA316A" w14:textId="4134C0A7" w:rsidR="00056E1E" w:rsidRPr="00E2009B" w:rsidRDefault="00056E1E" w:rsidP="000969C7">
            <w:pPr>
              <w:pStyle w:val="Bullet1grey"/>
              <w:cnfStyle w:val="000000010000" w:firstRow="0" w:lastRow="0" w:firstColumn="0" w:lastColumn="0" w:oddVBand="0" w:evenVBand="0" w:oddHBand="0" w:evenHBand="1" w:firstRowFirstColumn="0" w:firstRowLastColumn="0" w:lastRowFirstColumn="0" w:lastRowLastColumn="0"/>
            </w:pPr>
            <w:r w:rsidRPr="00FC739A">
              <w:t>FRD</w:t>
            </w:r>
            <w:r w:rsidR="006A3F40" w:rsidRPr="00D427A7">
              <w:rPr>
                <w:i/>
              </w:rPr>
              <w:t xml:space="preserve"> </w:t>
            </w:r>
            <w:r w:rsidR="006A3F40" w:rsidRPr="00BE20E1">
              <w:t xml:space="preserve">119 </w:t>
            </w:r>
            <w:r w:rsidR="006A3F40" w:rsidRPr="00D427A7">
              <w:rPr>
                <w:i/>
              </w:rPr>
              <w:t xml:space="preserve">Transfers through </w:t>
            </w:r>
            <w:r w:rsidR="00537AE5">
              <w:rPr>
                <w:i/>
              </w:rPr>
              <w:t>c</w:t>
            </w:r>
            <w:r w:rsidR="006A3F40" w:rsidRPr="00D427A7">
              <w:rPr>
                <w:i/>
              </w:rPr>
              <w:t xml:space="preserve">ontributed </w:t>
            </w:r>
            <w:r w:rsidR="00537AE5">
              <w:rPr>
                <w:i/>
              </w:rPr>
              <w:t>c</w:t>
            </w:r>
            <w:r w:rsidR="006A3F40" w:rsidRPr="00D427A7">
              <w:rPr>
                <w:i/>
              </w:rPr>
              <w:t>apital</w:t>
            </w:r>
            <w:r w:rsidRPr="00BC4C86">
              <w:t>.</w:t>
            </w:r>
          </w:p>
        </w:tc>
      </w:tr>
      <w:tr w:rsidR="00056E1E" w:rsidRPr="00E10ADB" w14:paraId="67A682BF"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14D908FF" w14:textId="77777777" w:rsidR="00056E1E" w:rsidRPr="000969C7" w:rsidRDefault="00056E1E" w:rsidP="000969C7">
            <w:pPr>
              <w:pStyle w:val="Normalgrey"/>
            </w:pPr>
            <w:r w:rsidRPr="00E2009B">
              <w:t>Background</w:t>
            </w:r>
          </w:p>
        </w:tc>
        <w:tc>
          <w:tcPr>
            <w:tcW w:w="270" w:type="dxa"/>
          </w:tcPr>
          <w:p w14:paraId="653AEB5D" w14:textId="77777777" w:rsidR="00056E1E" w:rsidRPr="00521483" w:rsidRDefault="00056E1E" w:rsidP="004670C0">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206428A0" w14:textId="3234FB0E" w:rsidR="00056E1E" w:rsidRPr="00472918" w:rsidRDefault="008C7872" w:rsidP="000969C7">
            <w:pPr>
              <w:pStyle w:val="Normalgrey"/>
              <w:cnfStyle w:val="000000100000" w:firstRow="0" w:lastRow="0" w:firstColumn="0" w:lastColumn="0" w:oddVBand="0" w:evenVBand="0" w:oddHBand="1" w:evenHBand="0" w:firstRowFirstColumn="0" w:firstRowLastColumn="0" w:lastRowFirstColumn="0" w:lastRowLastColumn="0"/>
            </w:pPr>
            <w:r>
              <w:t>9.1</w:t>
            </w:r>
          </w:p>
        </w:tc>
        <w:tc>
          <w:tcPr>
            <w:tcW w:w="6134" w:type="dxa"/>
          </w:tcPr>
          <w:p w14:paraId="25D69280" w14:textId="7B560C82" w:rsidR="00174CA7" w:rsidRDefault="00174CA7" w:rsidP="00B944D1">
            <w:pPr>
              <w:pStyle w:val="Normalgrey"/>
              <w:cnfStyle w:val="000000100000" w:firstRow="0" w:lastRow="0" w:firstColumn="0" w:lastColumn="0" w:oddVBand="0" w:evenVBand="0" w:oddHBand="1" w:evenHBand="0" w:firstRowFirstColumn="0" w:firstRowLastColumn="0" w:lastRowFirstColumn="0" w:lastRowLastColumn="0"/>
            </w:pPr>
            <w:r w:rsidRPr="008C1711">
              <w:t xml:space="preserve">FRD 117 </w:t>
            </w:r>
            <w:r w:rsidR="00B944D1">
              <w:t xml:space="preserve">was issued </w:t>
            </w:r>
            <w:r w:rsidRPr="008C1711">
              <w:t>to outline the appropriate accounting treatment of contributions of existing government non-financial assets to third parties not controlled by government.</w:t>
            </w:r>
          </w:p>
          <w:p w14:paraId="4271D953" w14:textId="2F2ACA9E" w:rsidR="00174CA7" w:rsidRDefault="00174CA7" w:rsidP="00B944D1">
            <w:pPr>
              <w:pStyle w:val="Normalgrey"/>
              <w:cnfStyle w:val="000000100000" w:firstRow="0" w:lastRow="0" w:firstColumn="0" w:lastColumn="0" w:oddVBand="0" w:evenVBand="0" w:oddHBand="1" w:evenHBand="0" w:firstRowFirstColumn="0" w:firstRowLastColumn="0" w:lastRowFirstColumn="0" w:lastRowLastColumn="0"/>
            </w:pPr>
            <w:r>
              <w:t>The requirements contained within this FRD are not a change in accounting policy, rather these requirements clarify the accounting treatment of a government decision to contribute its non-financial assets to a third party which is not controlled by government.</w:t>
            </w:r>
          </w:p>
          <w:p w14:paraId="51BCFFDF" w14:textId="17ABDEC0" w:rsidR="00174CA7" w:rsidRDefault="00174CA7" w:rsidP="00B944D1">
            <w:pPr>
              <w:pStyle w:val="Normalgrey"/>
              <w:cnfStyle w:val="000000100000" w:firstRow="0" w:lastRow="0" w:firstColumn="0" w:lastColumn="0" w:oddVBand="0" w:evenVBand="0" w:oddHBand="1" w:evenHBand="0" w:firstRowFirstColumn="0" w:firstRowLastColumn="0" w:lastRowFirstColumn="0" w:lastRowLastColumn="0"/>
            </w:pPr>
            <w:r>
              <w:t xml:space="preserve">FRD 117 mandates that non-financial assets contributed by government to third parties are treated as an administered transaction and are therefore reflected in the administered accounts. </w:t>
            </w:r>
          </w:p>
          <w:p w14:paraId="4EEF510C" w14:textId="3E01CE13" w:rsidR="00174CA7" w:rsidRDefault="00174CA7" w:rsidP="00B944D1">
            <w:pPr>
              <w:pStyle w:val="Normalgrey"/>
              <w:cnfStyle w:val="000000100000" w:firstRow="0" w:lastRow="0" w:firstColumn="0" w:lastColumn="0" w:oddVBand="0" w:evenVBand="0" w:oddHBand="1" w:evenHBand="0" w:firstRowFirstColumn="0" w:firstRowLastColumn="0" w:lastRowFirstColumn="0" w:lastRowLastColumn="0"/>
            </w:pPr>
            <w:r>
              <w:t xml:space="preserve">The accounting treatment of financial asset transfers is already well documented in AASB 1004 </w:t>
            </w:r>
            <w:r>
              <w:rPr>
                <w:i/>
              </w:rPr>
              <w:t>Contributions</w:t>
            </w:r>
            <w:r>
              <w:t xml:space="preserve"> and FRD 119 </w:t>
            </w:r>
            <w:r>
              <w:rPr>
                <w:i/>
              </w:rPr>
              <w:t>Transfers through contributed capital.</w:t>
            </w:r>
          </w:p>
          <w:p w14:paraId="19362378" w14:textId="3095A733" w:rsidR="00174CA7" w:rsidRDefault="00174CA7" w:rsidP="00B944D1">
            <w:pPr>
              <w:pStyle w:val="Normalgrey"/>
              <w:cnfStyle w:val="000000100000" w:firstRow="0" w:lastRow="0" w:firstColumn="0" w:lastColumn="0" w:oddVBand="0" w:evenVBand="0" w:oddHBand="1" w:evenHBand="0" w:firstRowFirstColumn="0" w:firstRowLastColumn="0" w:lastRowFirstColumn="0" w:lastRowLastColumn="0"/>
            </w:pPr>
            <w:r>
              <w:t>Although FRD 117 relates to FRD 119</w:t>
            </w:r>
            <w:r>
              <w:rPr>
                <w:i/>
              </w:rPr>
              <w:t>,</w:t>
            </w:r>
            <w:r>
              <w:t xml:space="preserve"> </w:t>
            </w:r>
            <w:r w:rsidR="00B944D1">
              <w:t xml:space="preserve">they have no </w:t>
            </w:r>
            <w:r>
              <w:t xml:space="preserve">not been combined into </w:t>
            </w:r>
            <w:r w:rsidR="00B944D1">
              <w:t xml:space="preserve">one </w:t>
            </w:r>
            <w:r>
              <w:t xml:space="preserve">FRD to ensure ease of use and readability. </w:t>
            </w:r>
          </w:p>
          <w:p w14:paraId="4CFB8191" w14:textId="77777777" w:rsidR="00056E1E" w:rsidRPr="00E2009B" w:rsidRDefault="00056E1E" w:rsidP="00B944D1">
            <w:pPr>
              <w:pStyle w:val="Normalgrey"/>
              <w:cnfStyle w:val="000000100000" w:firstRow="0" w:lastRow="0" w:firstColumn="0" w:lastColumn="0" w:oddVBand="0" w:evenVBand="0" w:oddHBand="1" w:evenHBand="0" w:firstRowFirstColumn="0" w:firstRowLastColumn="0" w:lastRowFirstColumn="0" w:lastRowLastColumn="0"/>
            </w:pPr>
            <w:r w:rsidRPr="00D427A7">
              <w:t xml:space="preserve">AASB 1004 </w:t>
            </w:r>
            <w:r w:rsidRPr="00BE20E1">
              <w:rPr>
                <w:i/>
              </w:rPr>
              <w:t>Contributions</w:t>
            </w:r>
            <w:r w:rsidRPr="00D427A7">
              <w:t xml:space="preserve"> and Interpretation 1038 </w:t>
            </w:r>
            <w:r w:rsidRPr="00BE20E1">
              <w:rPr>
                <w:i/>
              </w:rPr>
              <w:t>Contributions by</w:t>
            </w:r>
            <w:r w:rsidR="00174CA7">
              <w:rPr>
                <w:i/>
              </w:rPr>
              <w:t xml:space="preserve"> </w:t>
            </w:r>
            <w:r w:rsidRPr="00BE20E1">
              <w:rPr>
                <w:i/>
              </w:rPr>
              <w:t>Owners Made to Wholly-Owned Public Sector Entities</w:t>
            </w:r>
            <w:r w:rsidRPr="00D427A7">
              <w:t xml:space="preserve"> outline the requirements for the classification and recognition of transfers as contributions by owners.</w:t>
            </w:r>
          </w:p>
        </w:tc>
      </w:tr>
      <w:tr w:rsidR="00B944D1" w:rsidRPr="00E10ADB" w14:paraId="70139709" w14:textId="77777777" w:rsidTr="003F3FA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7BF00F19" w14:textId="77777777" w:rsidR="00B944D1" w:rsidRPr="00E2009B" w:rsidRDefault="00B944D1" w:rsidP="000969C7">
            <w:pPr>
              <w:pStyle w:val="Normalgrey"/>
            </w:pPr>
          </w:p>
        </w:tc>
        <w:tc>
          <w:tcPr>
            <w:tcW w:w="270" w:type="dxa"/>
          </w:tcPr>
          <w:p w14:paraId="43801FDA" w14:textId="77777777" w:rsidR="00B944D1" w:rsidRPr="00521483" w:rsidRDefault="00B944D1" w:rsidP="004670C0">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2552CC15" w14:textId="275B40B3" w:rsidR="00B944D1" w:rsidRDefault="00B944D1" w:rsidP="000969C7">
            <w:pPr>
              <w:pStyle w:val="Normalgrey"/>
              <w:cnfStyle w:val="000000010000" w:firstRow="0" w:lastRow="0" w:firstColumn="0" w:lastColumn="0" w:oddVBand="0" w:evenVBand="0" w:oddHBand="0" w:evenHBand="1" w:firstRowFirstColumn="0" w:firstRowLastColumn="0" w:lastRowFirstColumn="0" w:lastRowLastColumn="0"/>
            </w:pPr>
            <w:r>
              <w:t>9.2</w:t>
            </w:r>
          </w:p>
        </w:tc>
        <w:tc>
          <w:tcPr>
            <w:tcW w:w="6134" w:type="dxa"/>
          </w:tcPr>
          <w:p w14:paraId="0E800885" w14:textId="37BB24EF" w:rsidR="00B944D1" w:rsidRDefault="00B944D1" w:rsidP="00B944D1">
            <w:pPr>
              <w:pStyle w:val="Normalgrey"/>
              <w:cnfStyle w:val="000000010000" w:firstRow="0" w:lastRow="0" w:firstColumn="0" w:lastColumn="0" w:oddVBand="0" w:evenVBand="0" w:oddHBand="0" w:evenHBand="1" w:firstRowFirstColumn="0" w:firstRowLastColumn="0" w:lastRowFirstColumn="0" w:lastRowLastColumn="0"/>
            </w:pPr>
            <w:r>
              <w:t xml:space="preserve">This FRD was revised in: </w:t>
            </w:r>
          </w:p>
          <w:p w14:paraId="746C0BF4" w14:textId="1AFD8A9A" w:rsidR="00B944D1" w:rsidRPr="008C1711" w:rsidDel="00B944D1" w:rsidRDefault="00B944D1" w:rsidP="00824B5E">
            <w:pPr>
              <w:pStyle w:val="Bullet1grey"/>
              <w:cnfStyle w:val="000000010000" w:firstRow="0" w:lastRow="0" w:firstColumn="0" w:lastColumn="0" w:oddVBand="0" w:evenVBand="0" w:oddHBand="0" w:evenHBand="1" w:firstRowFirstColumn="0" w:firstRowLastColumn="0" w:lastRowFirstColumn="0" w:lastRowLastColumn="0"/>
            </w:pPr>
            <w:r>
              <w:t>June 2016 to update the references from FRD 2 to FRD 119.</w:t>
            </w:r>
          </w:p>
        </w:tc>
      </w:tr>
      <w:tr w:rsidR="00056E1E" w:rsidRPr="00E10ADB" w14:paraId="33B16274" w14:textId="77777777" w:rsidTr="003F3FA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14:paraId="79F2C8E0" w14:textId="77777777" w:rsidR="00056E1E" w:rsidRPr="00E2009B" w:rsidRDefault="00056E1E" w:rsidP="000969C7">
            <w:pPr>
              <w:pStyle w:val="Normalgrey"/>
            </w:pPr>
            <w:r w:rsidRPr="00EA17F7">
              <w:t>Appendices</w:t>
            </w:r>
          </w:p>
        </w:tc>
        <w:tc>
          <w:tcPr>
            <w:tcW w:w="270" w:type="dxa"/>
          </w:tcPr>
          <w:p w14:paraId="7211445D" w14:textId="77777777" w:rsidR="00056E1E" w:rsidRPr="00521483" w:rsidRDefault="00056E1E" w:rsidP="004670C0">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1B78A1E4" w14:textId="6403FE33" w:rsidR="00056E1E" w:rsidRPr="00472918" w:rsidRDefault="008C7872" w:rsidP="000969C7">
            <w:pPr>
              <w:pStyle w:val="Normalgrey"/>
              <w:cnfStyle w:val="000000100000" w:firstRow="0" w:lastRow="0" w:firstColumn="0" w:lastColumn="0" w:oddVBand="0" w:evenVBand="0" w:oddHBand="1" w:evenHBand="0" w:firstRowFirstColumn="0" w:firstRowLastColumn="0" w:lastRowFirstColumn="0" w:lastRowLastColumn="0"/>
            </w:pPr>
            <w:r>
              <w:t>10.1</w:t>
            </w:r>
          </w:p>
        </w:tc>
        <w:tc>
          <w:tcPr>
            <w:tcW w:w="6134" w:type="dxa"/>
          </w:tcPr>
          <w:p w14:paraId="7DE77646" w14:textId="77777777" w:rsidR="00056E1E" w:rsidRDefault="00056E1E" w:rsidP="000969C7">
            <w:pPr>
              <w:pStyle w:val="Normalgrey"/>
              <w:cnfStyle w:val="000000100000" w:firstRow="0" w:lastRow="0" w:firstColumn="0" w:lastColumn="0" w:oddVBand="0" w:evenVBand="0" w:oddHBand="1" w:evenHBand="0" w:firstRowFirstColumn="0" w:firstRowLastColumn="0" w:lastRowFirstColumn="0" w:lastRowLastColumn="0"/>
            </w:pPr>
            <w:r w:rsidRPr="007C57C4">
              <w:rPr>
                <w:i/>
              </w:rPr>
              <w:t xml:space="preserve">Appendix </w:t>
            </w:r>
            <w:r w:rsidR="00EA17F7" w:rsidRPr="007C57C4">
              <w:rPr>
                <w:i/>
              </w:rPr>
              <w:t>A</w:t>
            </w:r>
            <w:r w:rsidR="00EA17F7" w:rsidRPr="00D427A7">
              <w:t xml:space="preserve"> - Guidance on non-financial asset contributions to third parties</w:t>
            </w:r>
            <w:r w:rsidR="00082936">
              <w:t xml:space="preserve"> </w:t>
            </w:r>
            <w:r w:rsidR="00EA17F7" w:rsidRPr="00D427A7">
              <w:t>not controlled by government</w:t>
            </w:r>
          </w:p>
        </w:tc>
      </w:tr>
    </w:tbl>
    <w:p w14:paraId="0F6DEC00" w14:textId="77777777" w:rsidR="00EC59F5" w:rsidRDefault="00EC59F5">
      <w:pPr>
        <w:spacing w:before="0" w:after="200"/>
        <w:rPr>
          <w:rFonts w:eastAsia="Times New Roman"/>
          <w:b/>
          <w:bCs/>
          <w:kern w:val="32"/>
          <w:sz w:val="28"/>
          <w:szCs w:val="32"/>
        </w:rPr>
      </w:pPr>
      <w:r>
        <w:br w:type="page"/>
      </w:r>
    </w:p>
    <w:p w14:paraId="07037AF2" w14:textId="77777777" w:rsidR="00CC2F70" w:rsidRPr="00400793" w:rsidRDefault="00CC2F70" w:rsidP="00000C66">
      <w:pPr>
        <w:pStyle w:val="Heading1"/>
      </w:pPr>
      <w:r w:rsidRPr="00BF110C">
        <w:lastRenderedPageBreak/>
        <w:t>Appendix A</w:t>
      </w:r>
    </w:p>
    <w:p w14:paraId="2B903935" w14:textId="77777777" w:rsidR="00CC2F70" w:rsidRPr="00400793" w:rsidRDefault="00000C66" w:rsidP="00000C66">
      <w:pPr>
        <w:pStyle w:val="Heading2"/>
      </w:pPr>
      <w:r>
        <w:t>G</w:t>
      </w:r>
      <w:r w:rsidRPr="00400793">
        <w:t xml:space="preserve">uidance on non-financial asset contributions to third parties not controlled by government </w:t>
      </w:r>
    </w:p>
    <w:p w14:paraId="56EF6EEF" w14:textId="77777777" w:rsidR="00CC2F70" w:rsidRDefault="00CC2F70" w:rsidP="00CC2F70">
      <w:r w:rsidRPr="00400793">
        <w:t xml:space="preserve">The following decision tree may be used in determining the appropriate accounting treatment of the contribution of non-financial assets to third parties not controlled by government: </w:t>
      </w:r>
    </w:p>
    <w:p w14:paraId="3A7FA802" w14:textId="77777777" w:rsidR="00CC2F70" w:rsidRDefault="008D0268" w:rsidP="00F87F66">
      <w:r>
        <w:rPr>
          <w:rFonts w:ascii="Arial" w:hAnsi="Arial" w:cs="Arial"/>
          <w:noProof/>
          <w:szCs w:val="22"/>
        </w:rPr>
        <mc:AlternateContent>
          <mc:Choice Requires="wpc">
            <w:drawing>
              <wp:inline distT="0" distB="0" distL="0" distR="0" wp14:anchorId="1EBA24D3" wp14:editId="6623647A">
                <wp:extent cx="6153150" cy="5438774"/>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17134" y="2385059"/>
                            <a:ext cx="2207895" cy="481966"/>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14:paraId="38DC8A30" w14:textId="77777777"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Is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held by </w:t>
                              </w:r>
                              <w:r>
                                <w:rPr>
                                  <w:rFonts w:ascii="Arial" w:hAnsi="Arial" w:cs="Arial"/>
                                  <w:color w:val="000000"/>
                                  <w:sz w:val="16"/>
                                  <w:szCs w:val="16"/>
                                </w:rPr>
                                <w:t>the</w:t>
                              </w:r>
                              <w:r w:rsidRPr="00DA0C4D">
                                <w:rPr>
                                  <w:rFonts w:ascii="Arial" w:hAnsi="Arial" w:cs="Arial"/>
                                  <w:color w:val="000000"/>
                                  <w:sz w:val="16"/>
                                  <w:szCs w:val="16"/>
                                </w:rPr>
                                <w:t xml:space="preserve"> </w:t>
                              </w:r>
                              <w:r>
                                <w:rPr>
                                  <w:rFonts w:ascii="Arial" w:hAnsi="Arial" w:cs="Arial"/>
                                  <w:color w:val="000000"/>
                                  <w:sz w:val="16"/>
                                  <w:szCs w:val="16"/>
                                </w:rPr>
                                <w:t xml:space="preserve">administering department that </w:t>
                              </w:r>
                              <w:r w:rsidR="00763754">
                                <w:rPr>
                                  <w:rFonts w:ascii="Arial" w:hAnsi="Arial" w:cs="Arial"/>
                                  <w:color w:val="000000"/>
                                  <w:sz w:val="16"/>
                                  <w:szCs w:val="16"/>
                                </w:rPr>
                                <w:t>shall</w:t>
                              </w:r>
                              <w:r>
                                <w:rPr>
                                  <w:rFonts w:ascii="Arial" w:hAnsi="Arial" w:cs="Arial"/>
                                  <w:color w:val="000000"/>
                                  <w:sz w:val="16"/>
                                  <w:szCs w:val="16"/>
                                </w:rPr>
                                <w:t xml:space="preserve"> </w:t>
                              </w:r>
                              <w:r w:rsidR="000311D7">
                                <w:rPr>
                                  <w:rFonts w:ascii="Arial" w:hAnsi="Arial" w:cs="Arial"/>
                                  <w:color w:val="000000"/>
                                  <w:sz w:val="16"/>
                                  <w:szCs w:val="16"/>
                                </w:rPr>
                                <w:br/>
                              </w:r>
                              <w:r>
                                <w:rPr>
                                  <w:rFonts w:ascii="Arial" w:hAnsi="Arial" w:cs="Arial"/>
                                  <w:color w:val="000000"/>
                                  <w:sz w:val="16"/>
                                  <w:szCs w:val="16"/>
                                </w:rPr>
                                <w:t>contribute the asset to the third party?</w:t>
                              </w:r>
                            </w:p>
                          </w:txbxContent>
                        </wps:txbx>
                        <wps:bodyPr rot="0" vert="horz" wrap="square" lIns="0" tIns="0" rIns="0" bIns="0" anchor="ctr" anchorCtr="0" upright="1">
                          <a:noAutofit/>
                        </wps:bodyPr>
                      </wps:wsp>
                      <wps:wsp>
                        <wps:cNvPr id="6" name="Line 8"/>
                        <wps:cNvCnPr/>
                        <wps:spPr bwMode="auto">
                          <a:xfrm>
                            <a:off x="2937510" y="325754"/>
                            <a:ext cx="2165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SpPr>
                          <a:spLocks noChangeArrowheads="1"/>
                        </wps:cNvSpPr>
                        <wps:spPr bwMode="auto">
                          <a:xfrm>
                            <a:off x="3816917" y="95239"/>
                            <a:ext cx="2267121" cy="514361"/>
                          </a:xfrm>
                          <a:prstGeom prst="flowChartAlternateProcess">
                            <a:avLst/>
                          </a:prstGeom>
                          <a:solidFill>
                            <a:srgbClr val="53565A"/>
                          </a:solidFill>
                          <a:ln w="9525">
                            <a:solidFill>
                              <a:srgbClr val="53565A"/>
                            </a:solidFill>
                            <a:miter lim="800000"/>
                            <a:headEnd/>
                            <a:tailEnd/>
                          </a:ln>
                        </wps:spPr>
                        <wps:txbx>
                          <w:txbxContent>
                            <w:p w14:paraId="58BB2693" w14:textId="0BC114EC" w:rsidR="008D0268" w:rsidRPr="00993B9A" w:rsidRDefault="008D0268" w:rsidP="00000C66">
                              <w:pPr>
                                <w:autoSpaceDE w:val="0"/>
                                <w:autoSpaceDN w:val="0"/>
                                <w:adjustRightInd w:val="0"/>
                                <w:spacing w:before="60" w:after="0"/>
                                <w:jc w:val="center"/>
                                <w:rPr>
                                  <w:rFonts w:ascii="Arial" w:hAnsi="Arial" w:cs="Arial"/>
                                  <w:color w:val="FFFFFF"/>
                                  <w:sz w:val="16"/>
                                  <w:szCs w:val="16"/>
                                </w:rPr>
                              </w:pPr>
                              <w:r>
                                <w:rPr>
                                  <w:rFonts w:ascii="Arial" w:hAnsi="Arial" w:cs="Arial"/>
                                  <w:color w:val="FFFFFF"/>
                                  <w:sz w:val="16"/>
                                  <w:szCs w:val="16"/>
                                </w:rPr>
                                <w:t>R</w:t>
                              </w:r>
                              <w:r w:rsidRPr="00DA0C4D">
                                <w:rPr>
                                  <w:rFonts w:ascii="Arial" w:hAnsi="Arial" w:cs="Arial"/>
                                  <w:color w:val="FFFFFF"/>
                                  <w:sz w:val="16"/>
                                  <w:szCs w:val="16"/>
                                </w:rPr>
                                <w:t xml:space="preserve">efer to FRD </w:t>
                              </w:r>
                              <w:r w:rsidR="006A3F40">
                                <w:rPr>
                                  <w:rFonts w:ascii="Arial" w:hAnsi="Arial" w:cs="Arial"/>
                                  <w:color w:val="FFFFFF"/>
                                  <w:sz w:val="16"/>
                                  <w:szCs w:val="16"/>
                                </w:rPr>
                                <w:t>119</w:t>
                              </w:r>
                              <w:r w:rsidR="006A3F40" w:rsidRPr="00DA0C4D">
                                <w:rPr>
                                  <w:rFonts w:ascii="Arial" w:hAnsi="Arial" w:cs="Arial"/>
                                  <w:color w:val="FFFFFF"/>
                                  <w:sz w:val="16"/>
                                  <w:szCs w:val="16"/>
                                </w:rPr>
                                <w:t xml:space="preserve"> </w:t>
                              </w:r>
                              <w:r w:rsidR="00DE789E" w:rsidRPr="006A3F40">
                                <w:rPr>
                                  <w:bCs/>
                                </w:rPr>
                                <w:t xml:space="preserve"> </w:t>
                              </w:r>
                              <w:r w:rsidR="00DE789E" w:rsidRPr="004A1A66">
                                <w:rPr>
                                  <w:rFonts w:ascii="Arial" w:hAnsi="Arial" w:cs="Arial"/>
                                  <w:i/>
                                  <w:color w:val="FFFFFF"/>
                                  <w:sz w:val="16"/>
                                  <w:szCs w:val="16"/>
                                </w:rPr>
                                <w:t xml:space="preserve">Transfers </w:t>
                              </w:r>
                              <w:r w:rsidR="00E01E9F">
                                <w:rPr>
                                  <w:rFonts w:ascii="Arial" w:hAnsi="Arial" w:cs="Arial"/>
                                  <w:i/>
                                  <w:color w:val="FFFFFF"/>
                                  <w:sz w:val="16"/>
                                  <w:szCs w:val="16"/>
                                </w:rPr>
                                <w:br/>
                              </w:r>
                              <w:r w:rsidR="00EB258F" w:rsidRPr="004A1A66">
                                <w:rPr>
                                  <w:rFonts w:ascii="Arial" w:hAnsi="Arial" w:cs="Arial"/>
                                  <w:i/>
                                  <w:color w:val="FFFFFF"/>
                                  <w:sz w:val="16"/>
                                  <w:szCs w:val="16"/>
                                </w:rPr>
                                <w:t xml:space="preserve">through contributed capital </w:t>
                              </w:r>
                              <w:r>
                                <w:rPr>
                                  <w:rFonts w:ascii="Arial" w:hAnsi="Arial" w:cs="Arial"/>
                                  <w:color w:val="FFFFFF"/>
                                  <w:sz w:val="16"/>
                                  <w:szCs w:val="16"/>
                                </w:rPr>
                                <w:t>for transfers between public sector entities</w:t>
                              </w:r>
                            </w:p>
                          </w:txbxContent>
                        </wps:txbx>
                        <wps:bodyPr rot="0" vert="horz" wrap="square" lIns="0" tIns="0" rIns="0" bIns="34290" anchor="ctr" anchorCtr="0" upright="1">
                          <a:noAutofit/>
                        </wps:bodyPr>
                      </wps:wsp>
                      <wps:wsp>
                        <wps:cNvPr id="10" name="AutoShape 12"/>
                        <wps:cNvSpPr>
                          <a:spLocks noChangeArrowheads="1"/>
                        </wps:cNvSpPr>
                        <wps:spPr bwMode="auto">
                          <a:xfrm>
                            <a:off x="925509" y="3093720"/>
                            <a:ext cx="446091" cy="201930"/>
                          </a:xfrm>
                          <a:prstGeom prst="roundRect">
                            <a:avLst/>
                          </a:prstGeom>
                          <a:solidFill>
                            <a:srgbClr val="DDDDDD"/>
                          </a:solidFill>
                          <a:ln w="9525">
                            <a:solidFill>
                              <a:srgbClr val="53565A"/>
                            </a:solidFill>
                            <a:round/>
                            <a:headEnd/>
                            <a:tailEnd/>
                          </a:ln>
                        </wps:spPr>
                        <wps:txbx>
                          <w:txbxContent>
                            <w:p w14:paraId="56AA923A" w14:textId="77777777" w:rsidR="008D0268" w:rsidRPr="00DA0C4D" w:rsidRDefault="008D0268" w:rsidP="00F87F66">
                              <w:pPr>
                                <w:pStyle w:val="Tabletext"/>
                                <w:shd w:val="clear" w:color="auto" w:fill="D9D9D6"/>
                                <w:spacing w:after="0"/>
                                <w:jc w:val="center"/>
                              </w:pPr>
                              <w:r w:rsidRPr="00DA0C4D">
                                <w:t>Yes</w:t>
                              </w:r>
                            </w:p>
                          </w:txbxContent>
                        </wps:txbx>
                        <wps:bodyPr rot="0" vert="horz" wrap="square" lIns="0" tIns="0" rIns="0" bIns="0" anchor="ctr" anchorCtr="0" upright="1">
                          <a:noAutofit/>
                        </wps:bodyPr>
                      </wps:wsp>
                      <wps:wsp>
                        <wps:cNvPr id="11" name="AutoShape 13"/>
                        <wps:cNvSpPr>
                          <a:spLocks noChangeArrowheads="1"/>
                        </wps:cNvSpPr>
                        <wps:spPr bwMode="auto">
                          <a:xfrm>
                            <a:off x="2139315" y="3554730"/>
                            <a:ext cx="1882140" cy="902970"/>
                          </a:xfrm>
                          <a:prstGeom prst="flowChartAlternateProcess">
                            <a:avLst/>
                          </a:prstGeom>
                          <a:solidFill>
                            <a:srgbClr val="53565A"/>
                          </a:solidFill>
                          <a:ln w="9525">
                            <a:solidFill>
                              <a:srgbClr val="53565A"/>
                            </a:solidFill>
                            <a:miter lim="800000"/>
                            <a:headEnd/>
                            <a:tailEnd/>
                          </a:ln>
                        </wps:spPr>
                        <wps:txbx>
                          <w:txbxContent>
                            <w:p w14:paraId="0BC8453C" w14:textId="094C67B9" w:rsidR="008D0268" w:rsidRPr="00DA0C4D" w:rsidRDefault="008D0268" w:rsidP="00000C66">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 xml:space="preserve">The non-financial asset is </w:t>
                              </w:r>
                              <w:r w:rsidR="00E01E9F">
                                <w:rPr>
                                  <w:rFonts w:ascii="Arial" w:hAnsi="Arial" w:cs="Arial"/>
                                  <w:color w:val="FFFFFF"/>
                                  <w:sz w:val="16"/>
                                  <w:szCs w:val="16"/>
                                </w:rPr>
                                <w:br/>
                              </w:r>
                              <w:r>
                                <w:rPr>
                                  <w:rFonts w:ascii="Arial" w:hAnsi="Arial" w:cs="Arial"/>
                                  <w:color w:val="FFFFFF"/>
                                  <w:sz w:val="16"/>
                                  <w:szCs w:val="16"/>
                                </w:rPr>
                                <w:t xml:space="preserve">transferred from the entity holding </w:t>
                              </w:r>
                              <w:r w:rsidR="00E01E9F">
                                <w:rPr>
                                  <w:rFonts w:ascii="Arial" w:hAnsi="Arial" w:cs="Arial"/>
                                  <w:color w:val="FFFFFF"/>
                                  <w:sz w:val="16"/>
                                  <w:szCs w:val="16"/>
                                </w:rPr>
                                <w:br/>
                              </w:r>
                              <w:r>
                                <w:rPr>
                                  <w:rFonts w:ascii="Arial" w:hAnsi="Arial" w:cs="Arial"/>
                                  <w:color w:val="FFFFFF"/>
                                  <w:sz w:val="16"/>
                                  <w:szCs w:val="16"/>
                                </w:rPr>
                                <w:t>the asset to the administering department and is treated as a transfer of contributions by owners</w:t>
                              </w:r>
                              <w:r w:rsidRPr="00076526">
                                <w:rPr>
                                  <w:rFonts w:ascii="Arial" w:hAnsi="Arial" w:cs="Arial"/>
                                  <w:color w:val="FFFFFF"/>
                                  <w:sz w:val="16"/>
                                  <w:szCs w:val="16"/>
                                </w:rPr>
                                <w:t xml:space="preserve"> </w:t>
                              </w:r>
                              <w:r w:rsidR="008D4575">
                                <w:rPr>
                                  <w:rFonts w:ascii="Arial" w:hAnsi="Arial" w:cs="Arial"/>
                                  <w:color w:val="FFFFFF"/>
                                  <w:sz w:val="16"/>
                                  <w:szCs w:val="16"/>
                                </w:rPr>
                                <w:br/>
                              </w:r>
                              <w:r>
                                <w:rPr>
                                  <w:rFonts w:ascii="Arial" w:hAnsi="Arial" w:cs="Arial"/>
                                  <w:color w:val="FFFFFF"/>
                                  <w:sz w:val="16"/>
                                  <w:szCs w:val="16"/>
                                </w:rPr>
                                <w:t>in accordance with</w:t>
                              </w:r>
                              <w:r w:rsidRPr="00076526">
                                <w:rPr>
                                  <w:rFonts w:ascii="Arial" w:hAnsi="Arial" w:cs="Arial"/>
                                  <w:color w:val="FFFFFF"/>
                                  <w:sz w:val="16"/>
                                  <w:szCs w:val="16"/>
                                </w:rPr>
                                <w:t xml:space="preserve"> </w:t>
                              </w:r>
                              <w:r w:rsidR="00402D09">
                                <w:rPr>
                                  <w:rFonts w:ascii="Arial" w:hAnsi="Arial" w:cs="Arial"/>
                                  <w:color w:val="FFFFFF"/>
                                  <w:sz w:val="16"/>
                                  <w:szCs w:val="16"/>
                                </w:rPr>
                                <w:t>FRD </w:t>
                              </w:r>
                              <w:r w:rsidR="006A3F40">
                                <w:rPr>
                                  <w:rFonts w:ascii="Arial" w:hAnsi="Arial" w:cs="Arial"/>
                                  <w:color w:val="FFFFFF"/>
                                  <w:sz w:val="16"/>
                                  <w:szCs w:val="16"/>
                                </w:rPr>
                                <w:t>119</w:t>
                              </w:r>
                              <w:r>
                                <w:rPr>
                                  <w:rFonts w:ascii="Arial" w:hAnsi="Arial" w:cs="Arial"/>
                                  <w:color w:val="FFFFFF"/>
                                  <w:sz w:val="16"/>
                                  <w:szCs w:val="16"/>
                                </w:rPr>
                                <w:t>*</w:t>
                              </w:r>
                            </w:p>
                            <w:p w14:paraId="1D14C4F9" w14:textId="77777777" w:rsidR="008D0268" w:rsidRPr="004E757D" w:rsidRDefault="008D0268" w:rsidP="008D0268"/>
                          </w:txbxContent>
                        </wps:txbx>
                        <wps:bodyPr rot="0" vert="horz" wrap="square" lIns="0" tIns="0" rIns="0" bIns="34290" anchor="ctr" anchorCtr="0" upright="1">
                          <a:noAutofit/>
                        </wps:bodyPr>
                      </wps:wsp>
                      <wps:wsp>
                        <wps:cNvPr id="13" name="AutoShape 15"/>
                        <wps:cNvSpPr>
                          <a:spLocks noChangeArrowheads="1"/>
                        </wps:cNvSpPr>
                        <wps:spPr bwMode="auto">
                          <a:xfrm>
                            <a:off x="136452" y="3545204"/>
                            <a:ext cx="1958387" cy="912495"/>
                          </a:xfrm>
                          <a:prstGeom prst="flowChartAlternateProcess">
                            <a:avLst/>
                          </a:prstGeom>
                          <a:solidFill>
                            <a:srgbClr val="53565A"/>
                          </a:solidFill>
                          <a:ln w="9525">
                            <a:solidFill>
                              <a:srgbClr val="53565A"/>
                            </a:solidFill>
                            <a:miter lim="800000"/>
                            <a:headEnd/>
                            <a:tailEnd/>
                          </a:ln>
                        </wps:spPr>
                        <wps:txbx>
                          <w:txbxContent>
                            <w:p w14:paraId="50AFA7E6" w14:textId="5333CA58" w:rsidR="008D0268" w:rsidRPr="00A62777" w:rsidRDefault="008D0268" w:rsidP="00A62777">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T</w:t>
                              </w:r>
                              <w:r w:rsidRPr="00DA0C4D">
                                <w:rPr>
                                  <w:rFonts w:ascii="Arial" w:hAnsi="Arial" w:cs="Arial"/>
                                  <w:color w:val="FFFFFF"/>
                                  <w:sz w:val="16"/>
                                  <w:szCs w:val="16"/>
                                </w:rPr>
                                <w:t xml:space="preserve">he </w:t>
                              </w:r>
                              <w:r>
                                <w:rPr>
                                  <w:rFonts w:ascii="Arial" w:hAnsi="Arial" w:cs="Arial"/>
                                  <w:color w:val="FFFFFF"/>
                                  <w:sz w:val="16"/>
                                  <w:szCs w:val="16"/>
                                </w:rPr>
                                <w:t xml:space="preserve">non-financial </w:t>
                              </w:r>
                              <w:r w:rsidRPr="00DA0C4D">
                                <w:rPr>
                                  <w:rFonts w:ascii="Arial" w:hAnsi="Arial" w:cs="Arial"/>
                                  <w:color w:val="FFFFFF"/>
                                  <w:sz w:val="16"/>
                                  <w:szCs w:val="16"/>
                                </w:rPr>
                                <w:t xml:space="preserve">asset is </w:t>
                              </w:r>
                              <w:r>
                                <w:rPr>
                                  <w:rFonts w:ascii="Arial" w:hAnsi="Arial" w:cs="Arial"/>
                                  <w:color w:val="FFFFFF"/>
                                  <w:sz w:val="16"/>
                                  <w:szCs w:val="16"/>
                                </w:rPr>
                                <w:t>transferred from the controlled to administered accounts as contributions by owners in accordance with</w:t>
                              </w:r>
                              <w:r w:rsidRPr="00076526">
                                <w:rPr>
                                  <w:rFonts w:ascii="Arial" w:hAnsi="Arial" w:cs="Arial"/>
                                  <w:color w:val="FFFFFF"/>
                                  <w:sz w:val="16"/>
                                  <w:szCs w:val="16"/>
                                </w:rPr>
                                <w:t xml:space="preserve"> </w:t>
                              </w:r>
                              <w:r w:rsidRPr="00DA0C4D">
                                <w:rPr>
                                  <w:rFonts w:ascii="Arial" w:hAnsi="Arial" w:cs="Arial"/>
                                  <w:color w:val="FFFFFF"/>
                                  <w:sz w:val="16"/>
                                  <w:szCs w:val="16"/>
                                </w:rPr>
                                <w:t xml:space="preserve">FRD </w:t>
                              </w:r>
                              <w:r w:rsidR="006A3F40" w:rsidRPr="00402D09">
                                <w:rPr>
                                  <w:rFonts w:ascii="Arial" w:hAnsi="Arial" w:cs="Arial"/>
                                  <w:color w:val="FFFFFF"/>
                                  <w:sz w:val="16"/>
                                  <w:szCs w:val="16"/>
                                </w:rPr>
                                <w:t>119</w:t>
                              </w:r>
                              <w:r w:rsidR="006A3F40" w:rsidRPr="004A1A66">
                                <w:rPr>
                                  <w:rFonts w:ascii="Arial" w:hAnsi="Arial" w:cs="Arial"/>
                                  <w:i/>
                                  <w:color w:val="FFFFFF"/>
                                  <w:sz w:val="16"/>
                                  <w:szCs w:val="16"/>
                                </w:rPr>
                                <w:t xml:space="preserve"> Transfers through </w:t>
                              </w:r>
                              <w:r w:rsidR="00EB258F" w:rsidRPr="004A1A66">
                                <w:rPr>
                                  <w:rFonts w:ascii="Arial" w:hAnsi="Arial" w:cs="Arial"/>
                                  <w:i/>
                                  <w:color w:val="FFFFFF"/>
                                  <w:sz w:val="16"/>
                                  <w:szCs w:val="16"/>
                                </w:rPr>
                                <w:t>contributed capital</w:t>
                              </w:r>
                              <w:r w:rsidR="006A3F40" w:rsidRPr="00DE789E" w:rsidDel="006A3F40">
                                <w:rPr>
                                  <w:rFonts w:ascii="Arial" w:hAnsi="Arial" w:cs="Arial"/>
                                  <w:color w:val="FFFFFF"/>
                                  <w:sz w:val="16"/>
                                  <w:szCs w:val="16"/>
                                </w:rPr>
                                <w:t xml:space="preserve"> </w:t>
                              </w:r>
                              <w:r>
                                <w:rPr>
                                  <w:rFonts w:ascii="Arial" w:hAnsi="Arial" w:cs="Arial"/>
                                  <w:color w:val="FFFFFF"/>
                                  <w:sz w:val="16"/>
                                  <w:szCs w:val="16"/>
                                </w:rPr>
                                <w:t>*</w:t>
                              </w:r>
                            </w:p>
                          </w:txbxContent>
                        </wps:txbx>
                        <wps:bodyPr rot="0" vert="horz" wrap="square" lIns="0" tIns="0" rIns="0" bIns="34290" anchor="ctr" anchorCtr="0" upright="1">
                          <a:noAutofit/>
                        </wps:bodyPr>
                      </wps:wsp>
                      <wps:wsp>
                        <wps:cNvPr id="14" name="Rectangle 16"/>
                        <wps:cNvSpPr>
                          <a:spLocks noChangeArrowheads="1"/>
                        </wps:cNvSpPr>
                        <wps:spPr bwMode="auto">
                          <a:xfrm>
                            <a:off x="133350" y="4693918"/>
                            <a:ext cx="3878492" cy="601982"/>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14:paraId="22CF5D22" w14:textId="77777777" w:rsidR="008D0268" w:rsidRPr="00C975C5" w:rsidRDefault="008D0268" w:rsidP="008E00B0">
                              <w:pPr>
                                <w:autoSpaceDE w:val="0"/>
                                <w:autoSpaceDN w:val="0"/>
                                <w:adjustRightInd w:val="0"/>
                                <w:spacing w:before="0" w:after="0"/>
                                <w:jc w:val="center"/>
                                <w:rPr>
                                  <w:rFonts w:ascii="Arial" w:hAnsi="Arial" w:cs="Arial"/>
                                  <w:sz w:val="16"/>
                                  <w:szCs w:val="16"/>
                                </w:rPr>
                              </w:pPr>
                              <w:r w:rsidRPr="00C975C5">
                                <w:rPr>
                                  <w:rFonts w:ascii="Arial" w:hAnsi="Arial" w:cs="Arial"/>
                                  <w:sz w:val="16"/>
                                  <w:szCs w:val="16"/>
                                </w:rPr>
                                <w:t xml:space="preserve">The transaction is treated </w:t>
                              </w:r>
                              <w:r>
                                <w:rPr>
                                  <w:rFonts w:ascii="Arial" w:hAnsi="Arial" w:cs="Arial"/>
                                  <w:sz w:val="16"/>
                                  <w:szCs w:val="16"/>
                                </w:rPr>
                                <w:t xml:space="preserve">by the administering department </w:t>
                              </w:r>
                              <w:r w:rsidRPr="00C975C5">
                                <w:rPr>
                                  <w:rFonts w:ascii="Arial" w:hAnsi="Arial" w:cs="Arial"/>
                                  <w:sz w:val="16"/>
                                  <w:szCs w:val="16"/>
                                </w:rPr>
                                <w:t xml:space="preserve">as a </w:t>
                              </w:r>
                              <w:r w:rsidR="00402D09">
                                <w:rPr>
                                  <w:rFonts w:ascii="Arial" w:hAnsi="Arial" w:cs="Arial"/>
                                  <w:sz w:val="16"/>
                                  <w:szCs w:val="16"/>
                                </w:rPr>
                                <w:br/>
                              </w:r>
                              <w:r>
                                <w:rPr>
                                  <w:rFonts w:ascii="Arial" w:hAnsi="Arial" w:cs="Arial"/>
                                  <w:sz w:val="16"/>
                                  <w:szCs w:val="16"/>
                                </w:rPr>
                                <w:t>contribution</w:t>
                              </w:r>
                              <w:r w:rsidRPr="00C975C5">
                                <w:rPr>
                                  <w:rFonts w:ascii="Arial" w:hAnsi="Arial" w:cs="Arial"/>
                                  <w:sz w:val="16"/>
                                  <w:szCs w:val="16"/>
                                </w:rPr>
                                <w:t xml:space="preserve"> </w:t>
                              </w:r>
                              <w:r>
                                <w:rPr>
                                  <w:rFonts w:ascii="Arial" w:hAnsi="Arial" w:cs="Arial"/>
                                  <w:sz w:val="16"/>
                                  <w:szCs w:val="16"/>
                                </w:rPr>
                                <w:t xml:space="preserve">of non-financial assets </w:t>
                              </w:r>
                              <w:r w:rsidRPr="00C975C5">
                                <w:rPr>
                                  <w:rFonts w:ascii="Arial" w:hAnsi="Arial" w:cs="Arial"/>
                                  <w:sz w:val="16"/>
                                  <w:szCs w:val="16"/>
                                </w:rPr>
                                <w:t>by the government as owner</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and is</w:t>
                              </w:r>
                              <w:r w:rsidRPr="00C975C5">
                                <w:rPr>
                                  <w:rFonts w:ascii="Arial" w:hAnsi="Arial" w:cs="Arial"/>
                                  <w:sz w:val="16"/>
                                  <w:szCs w:val="16"/>
                                </w:rPr>
                                <w:t xml:space="preserve"> expensed in the departmental </w:t>
                              </w:r>
                              <w:r>
                                <w:rPr>
                                  <w:rFonts w:ascii="Arial" w:hAnsi="Arial" w:cs="Arial"/>
                                  <w:sz w:val="16"/>
                                  <w:szCs w:val="16"/>
                                </w:rPr>
                                <w:t>administered</w:t>
                              </w:r>
                              <w:r w:rsidRPr="00C975C5">
                                <w:rPr>
                                  <w:rFonts w:ascii="Arial" w:hAnsi="Arial" w:cs="Arial"/>
                                  <w:sz w:val="16"/>
                                  <w:szCs w:val="16"/>
                                </w:rPr>
                                <w:t xml:space="preserve"> accounts</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(recorded as an administered transaction)</w:t>
                              </w:r>
                            </w:p>
                            <w:p w14:paraId="0834A085" w14:textId="77777777" w:rsidR="008D0268" w:rsidRPr="00C975C5" w:rsidRDefault="008D0268" w:rsidP="008E00B0">
                              <w:pPr>
                                <w:autoSpaceDE w:val="0"/>
                                <w:autoSpaceDN w:val="0"/>
                                <w:adjustRightInd w:val="0"/>
                                <w:spacing w:before="0" w:after="0"/>
                                <w:jc w:val="center"/>
                                <w:rPr>
                                  <w:szCs w:val="16"/>
                                </w:rPr>
                              </w:pPr>
                            </w:p>
                          </w:txbxContent>
                        </wps:txbx>
                        <wps:bodyPr rot="0" vert="horz" wrap="square" lIns="68580" tIns="0" rIns="68580" bIns="34290" anchor="ctr" anchorCtr="0" upright="1">
                          <a:noAutofit/>
                        </wps:bodyPr>
                      </wps:wsp>
                      <wps:wsp>
                        <wps:cNvPr id="15" name="Line 17"/>
                        <wps:cNvCnPr/>
                        <wps:spPr bwMode="auto">
                          <a:xfrm rot="5400000">
                            <a:off x="2010854" y="110953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rot="5400000">
                            <a:off x="2980499" y="298786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rot="5400000">
                            <a:off x="1043749" y="297833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rot="5400000">
                            <a:off x="2970974" y="342029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rot="5400000">
                            <a:off x="1043749" y="341077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rot="5400000">
                            <a:off x="2971609" y="456901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rot="5400000">
                            <a:off x="1043114" y="455948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1083946" y="1224914"/>
                            <a:ext cx="2087879" cy="480060"/>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14:paraId="7A127244" w14:textId="77777777" w:rsidR="008D0268" w:rsidRPr="00DA0C4D"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Are the non-financial assets ready for immediate contribution to the third party </w:t>
                              </w:r>
                              <w:r w:rsidR="00402D09">
                                <w:rPr>
                                  <w:rFonts w:ascii="Arial" w:hAnsi="Arial" w:cs="Arial"/>
                                  <w:color w:val="000000"/>
                                  <w:sz w:val="16"/>
                                  <w:szCs w:val="16"/>
                                </w:rPr>
                                <w:br/>
                              </w:r>
                              <w:r>
                                <w:rPr>
                                  <w:rFonts w:ascii="Arial" w:hAnsi="Arial" w:cs="Arial"/>
                                  <w:color w:val="000000"/>
                                  <w:sz w:val="16"/>
                                  <w:szCs w:val="16"/>
                                </w:rPr>
                                <w:t>not controlled by Government?</w:t>
                              </w:r>
                            </w:p>
                          </w:txbxContent>
                        </wps:txbx>
                        <wps:bodyPr rot="0" vert="horz" wrap="square" lIns="0" tIns="0" rIns="0" bIns="0" anchor="ctr" anchorCtr="0" upright="1">
                          <a:noAutofit/>
                        </wps:bodyPr>
                      </wps:wsp>
                      <wps:wsp>
                        <wps:cNvPr id="25" name="Line 27"/>
                        <wps:cNvCnPr/>
                        <wps:spPr bwMode="auto">
                          <a:xfrm rot="5400000">
                            <a:off x="2015299" y="182771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rot="5400000">
                            <a:off x="2015299" y="226015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3844043" y="146494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4057156" y="889634"/>
                            <a:ext cx="2038844" cy="748665"/>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14:paraId="69A65956" w14:textId="77777777" w:rsidR="008D0268" w:rsidRPr="003948DB"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Has the decision by government </w:t>
                              </w:r>
                              <w:r w:rsidR="00E926DB">
                                <w:rPr>
                                  <w:rFonts w:ascii="Arial" w:hAnsi="Arial" w:cs="Arial"/>
                                  <w:color w:val="000000"/>
                                  <w:sz w:val="16"/>
                                  <w:szCs w:val="16"/>
                                </w:rPr>
                                <w:br/>
                              </w:r>
                              <w:r>
                                <w:rPr>
                                  <w:rFonts w:ascii="Arial" w:hAnsi="Arial" w:cs="Arial"/>
                                  <w:color w:val="000000"/>
                                  <w:sz w:val="16"/>
                                  <w:szCs w:val="16"/>
                                </w:rPr>
                                <w:t xml:space="preserve">created a present obligation under </w:t>
                              </w:r>
                              <w:r w:rsidR="00E926DB">
                                <w:rPr>
                                  <w:rFonts w:ascii="Arial" w:hAnsi="Arial" w:cs="Arial"/>
                                  <w:color w:val="000000"/>
                                  <w:sz w:val="16"/>
                                  <w:szCs w:val="16"/>
                                </w:rPr>
                                <w:br/>
                              </w:r>
                              <w:r>
                                <w:rPr>
                                  <w:rFonts w:ascii="Arial" w:hAnsi="Arial" w:cs="Arial"/>
                                  <w:color w:val="000000"/>
                                  <w:sz w:val="16"/>
                                  <w:szCs w:val="16"/>
                                </w:rPr>
                                <w:t xml:space="preserve">AASB 137 </w:t>
                              </w:r>
                              <w:r w:rsidRPr="00BE3D0B">
                                <w:rPr>
                                  <w:rFonts w:ascii="Arial" w:hAnsi="Arial" w:cs="Arial"/>
                                  <w:i/>
                                  <w:iCs/>
                                  <w:color w:val="000000"/>
                                  <w:sz w:val="16"/>
                                  <w:szCs w:val="16"/>
                                </w:rPr>
                                <w:t>Provisions, Contingent Liabilities and Contingent Assets?</w:t>
                              </w:r>
                              <w:r>
                                <w:rPr>
                                  <w:rFonts w:ascii="Arial" w:hAnsi="Arial" w:cs="Arial"/>
                                  <w:i/>
                                  <w:iCs/>
                                  <w:color w:val="000000"/>
                                  <w:sz w:val="16"/>
                                  <w:szCs w:val="16"/>
                                </w:rPr>
                                <w:t xml:space="preserve"> </w:t>
                              </w:r>
                              <w:r>
                                <w:rPr>
                                  <w:rFonts w:ascii="Arial" w:hAnsi="Arial" w:cs="Arial"/>
                                  <w:color w:val="000000"/>
                                  <w:sz w:val="16"/>
                                  <w:szCs w:val="16"/>
                                </w:rPr>
                                <w:t>(Refer to FRD 117 para 7.7 for guidance)</w:t>
                              </w:r>
                            </w:p>
                            <w:p w14:paraId="2DBE32AD" w14:textId="77777777" w:rsidR="008D0268" w:rsidRPr="00DA0C4D" w:rsidRDefault="008D0268" w:rsidP="008D0268">
                              <w:pPr>
                                <w:autoSpaceDE w:val="0"/>
                                <w:autoSpaceDN w:val="0"/>
                                <w:adjustRightInd w:val="0"/>
                                <w:jc w:val="center"/>
                                <w:rPr>
                                  <w:rFonts w:ascii="Arial" w:hAnsi="Arial" w:cs="Arial"/>
                                  <w:color w:val="000000"/>
                                  <w:sz w:val="16"/>
                                  <w:szCs w:val="16"/>
                                </w:rPr>
                              </w:pPr>
                            </w:p>
                          </w:txbxContent>
                        </wps:txbx>
                        <wps:bodyPr rot="0" vert="horz" wrap="square" lIns="0" tIns="0" rIns="0" bIns="0" anchor="ctr" anchorCtr="0" upright="1">
                          <a:noAutofit/>
                        </wps:bodyPr>
                      </wps:wsp>
                      <wps:wsp>
                        <wps:cNvPr id="29" name="Line 31"/>
                        <wps:cNvCnPr/>
                        <wps:spPr bwMode="auto">
                          <a:xfrm>
                            <a:off x="3168015" y="146113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rot="5400000">
                            <a:off x="4276534" y="1761044"/>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rot="5400000">
                            <a:off x="4276534" y="2193479"/>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wps:spPr bwMode="auto">
                          <a:xfrm rot="5400000">
                            <a:off x="5532372" y="1757556"/>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wps:spPr bwMode="auto">
                          <a:xfrm rot="5400000">
                            <a:off x="5532372" y="2199516"/>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8"/>
                        <wps:cNvSpPr>
                          <a:spLocks noChangeArrowheads="1"/>
                        </wps:cNvSpPr>
                        <wps:spPr bwMode="auto">
                          <a:xfrm>
                            <a:off x="3598088" y="2318062"/>
                            <a:ext cx="1560508" cy="891862"/>
                          </a:xfrm>
                          <a:prstGeom prst="flowChartAlternateProcess">
                            <a:avLst/>
                          </a:prstGeom>
                          <a:solidFill>
                            <a:srgbClr val="53565A"/>
                          </a:solidFill>
                          <a:ln w="9525">
                            <a:solidFill>
                              <a:srgbClr val="53565A"/>
                            </a:solidFill>
                            <a:miter lim="800000"/>
                            <a:headEnd/>
                            <a:tailEnd/>
                          </a:ln>
                        </wps:spPr>
                        <wps:txbx>
                          <w:txbxContent>
                            <w:p w14:paraId="5BBB2ECD" w14:textId="77777777" w:rsidR="008D0268" w:rsidRPr="007A0DBF"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a provision in accordance with AASB 137 </w:t>
                              </w:r>
                              <w:r w:rsidRPr="00BE3D0B">
                                <w:rPr>
                                  <w:rFonts w:ascii="Arial" w:hAnsi="Arial" w:cs="Arial"/>
                                  <w:i/>
                                  <w:iCs/>
                                  <w:color w:val="FFFFFF"/>
                                  <w:sz w:val="16"/>
                                  <w:szCs w:val="16"/>
                                </w:rPr>
                                <w:t>Provisions, Contingent Liabilities and Contingent Assets</w:t>
                              </w:r>
                              <w:r>
                                <w:rPr>
                                  <w:rFonts w:ascii="Arial" w:hAnsi="Arial" w:cs="Arial"/>
                                  <w:color w:val="FFFFFF"/>
                                  <w:sz w:val="16"/>
                                  <w:szCs w:val="16"/>
                                </w:rPr>
                                <w:t xml:space="preserve"> (refer to FRD 117 para 7.7 for additional guidance)</w:t>
                              </w:r>
                            </w:p>
                          </w:txbxContent>
                        </wps:txbx>
                        <wps:bodyPr rot="0" vert="horz" wrap="square" lIns="0" tIns="0" rIns="0" bIns="0" anchor="ctr" anchorCtr="0" upright="1">
                          <a:noAutofit/>
                        </wps:bodyPr>
                      </wps:wsp>
                      <wps:wsp>
                        <wps:cNvPr id="37" name="AutoShape 39"/>
                        <wps:cNvSpPr>
                          <a:spLocks noChangeArrowheads="1"/>
                        </wps:cNvSpPr>
                        <wps:spPr bwMode="auto">
                          <a:xfrm>
                            <a:off x="5196033" y="2318383"/>
                            <a:ext cx="897524" cy="891541"/>
                          </a:xfrm>
                          <a:prstGeom prst="flowChartAlternateProcess">
                            <a:avLst/>
                          </a:prstGeom>
                          <a:solidFill>
                            <a:srgbClr val="53565A"/>
                          </a:solidFill>
                          <a:ln w="9525">
                            <a:solidFill>
                              <a:srgbClr val="53565A"/>
                            </a:solidFill>
                            <a:miter lim="800000"/>
                            <a:headEnd/>
                            <a:tailEnd/>
                          </a:ln>
                        </wps:spPr>
                        <wps:txbx>
                          <w:txbxContent>
                            <w:p w14:paraId="7A357A5A" w14:textId="77777777" w:rsidR="008D0268" w:rsidRPr="00BE3D0B"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w:t>
                              </w:r>
                              <w:r>
                                <w:rPr>
                                  <w:rFonts w:ascii="Arial" w:hAnsi="Arial" w:cs="Arial"/>
                                  <w:color w:val="FFFFFF"/>
                                  <w:sz w:val="16"/>
                                  <w:szCs w:val="16"/>
                                </w:rPr>
                                <w:t>the government decision at the time of the contribution</w:t>
                              </w:r>
                            </w:p>
                          </w:txbxContent>
                        </wps:txbx>
                        <wps:bodyPr rot="0" vert="horz" wrap="square" lIns="0" tIns="0" rIns="0" bIns="0" anchor="ctr" anchorCtr="0" upright="1">
                          <a:noAutofit/>
                        </wps:bodyPr>
                      </wps:wsp>
                      <wps:wsp>
                        <wps:cNvPr id="39" name="AutoShape 12"/>
                        <wps:cNvSpPr>
                          <a:spLocks noChangeArrowheads="1"/>
                        </wps:cNvSpPr>
                        <wps:spPr bwMode="auto">
                          <a:xfrm>
                            <a:off x="1904025" y="799124"/>
                            <a:ext cx="445770" cy="201930"/>
                          </a:xfrm>
                          <a:prstGeom prst="roundRect">
                            <a:avLst/>
                          </a:prstGeom>
                          <a:solidFill>
                            <a:srgbClr val="DDDDDD"/>
                          </a:solidFill>
                          <a:ln w="9525">
                            <a:solidFill>
                              <a:srgbClr val="53565A"/>
                            </a:solidFill>
                            <a:round/>
                            <a:headEnd/>
                            <a:tailEnd/>
                          </a:ln>
                        </wps:spPr>
                        <wps:txbx>
                          <w:txbxContent>
                            <w:p w14:paraId="573F5F8F"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wps:txbx>
                        <wps:bodyPr rot="0" vert="horz" wrap="square" lIns="0" tIns="0" rIns="0" bIns="0" anchor="ctr" anchorCtr="0" upright="1">
                          <a:noAutofit/>
                        </wps:bodyPr>
                      </wps:wsp>
                      <wps:wsp>
                        <wps:cNvPr id="40" name="AutoShape 12"/>
                        <wps:cNvSpPr>
                          <a:spLocks noChangeArrowheads="1"/>
                        </wps:cNvSpPr>
                        <wps:spPr bwMode="auto">
                          <a:xfrm>
                            <a:off x="4161450" y="1875449"/>
                            <a:ext cx="445770" cy="201930"/>
                          </a:xfrm>
                          <a:prstGeom prst="roundRect">
                            <a:avLst/>
                          </a:prstGeom>
                          <a:solidFill>
                            <a:srgbClr val="DDDDDD"/>
                          </a:solidFill>
                          <a:ln w="9525">
                            <a:solidFill>
                              <a:srgbClr val="53565A"/>
                            </a:solidFill>
                            <a:round/>
                            <a:headEnd/>
                            <a:tailEnd/>
                          </a:ln>
                        </wps:spPr>
                        <wps:txbx>
                          <w:txbxContent>
                            <w:p w14:paraId="3A469F73"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wps:txbx>
                        <wps:bodyPr rot="0" vert="horz" wrap="square" lIns="0" tIns="0" rIns="0" bIns="0" anchor="ctr" anchorCtr="0" upright="1">
                          <a:noAutofit/>
                        </wps:bodyPr>
                      </wps:wsp>
                      <wps:wsp>
                        <wps:cNvPr id="41" name="AutoShape 12"/>
                        <wps:cNvSpPr>
                          <a:spLocks noChangeArrowheads="1"/>
                        </wps:cNvSpPr>
                        <wps:spPr bwMode="auto">
                          <a:xfrm>
                            <a:off x="1904025" y="1942124"/>
                            <a:ext cx="445770" cy="201930"/>
                          </a:xfrm>
                          <a:prstGeom prst="roundRect">
                            <a:avLst/>
                          </a:prstGeom>
                          <a:solidFill>
                            <a:srgbClr val="DDDDDD"/>
                          </a:solidFill>
                          <a:ln w="9525">
                            <a:solidFill>
                              <a:srgbClr val="53565A"/>
                            </a:solidFill>
                            <a:round/>
                            <a:headEnd/>
                            <a:tailEnd/>
                          </a:ln>
                        </wps:spPr>
                        <wps:txbx>
                          <w:txbxContent>
                            <w:p w14:paraId="706809B1"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wps:txbx>
                        <wps:bodyPr rot="0" vert="horz" wrap="square" lIns="0" tIns="0" rIns="0" bIns="0" anchor="ctr" anchorCtr="0" upright="1">
                          <a:noAutofit/>
                        </wps:bodyPr>
                      </wps:wsp>
                      <wps:wsp>
                        <wps:cNvPr id="42" name="AutoShape 12"/>
                        <wps:cNvSpPr>
                          <a:spLocks noChangeArrowheads="1"/>
                        </wps:cNvSpPr>
                        <wps:spPr bwMode="auto">
                          <a:xfrm>
                            <a:off x="3151800" y="218099"/>
                            <a:ext cx="445770" cy="201930"/>
                          </a:xfrm>
                          <a:prstGeom prst="roundRect">
                            <a:avLst/>
                          </a:prstGeom>
                          <a:solidFill>
                            <a:srgbClr val="DDDDDD"/>
                          </a:solidFill>
                          <a:ln w="9525">
                            <a:solidFill>
                              <a:srgbClr val="53565A"/>
                            </a:solidFill>
                            <a:round/>
                            <a:headEnd/>
                            <a:tailEnd/>
                          </a:ln>
                        </wps:spPr>
                        <wps:txbx>
                          <w:txbxContent>
                            <w:p w14:paraId="1A94C991"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3" name="AutoShape 12"/>
                        <wps:cNvSpPr>
                          <a:spLocks noChangeArrowheads="1"/>
                        </wps:cNvSpPr>
                        <wps:spPr bwMode="auto">
                          <a:xfrm>
                            <a:off x="5418750" y="1875449"/>
                            <a:ext cx="445770" cy="201930"/>
                          </a:xfrm>
                          <a:prstGeom prst="roundRect">
                            <a:avLst/>
                          </a:prstGeom>
                          <a:solidFill>
                            <a:srgbClr val="DDDDDD"/>
                          </a:solidFill>
                          <a:ln w="9525">
                            <a:solidFill>
                              <a:srgbClr val="53565A"/>
                            </a:solidFill>
                            <a:round/>
                            <a:headEnd/>
                            <a:tailEnd/>
                          </a:ln>
                        </wps:spPr>
                        <wps:txbx>
                          <w:txbxContent>
                            <w:p w14:paraId="41504EA4"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4" name="AutoShape 12"/>
                        <wps:cNvSpPr>
                          <a:spLocks noChangeArrowheads="1"/>
                        </wps:cNvSpPr>
                        <wps:spPr bwMode="auto">
                          <a:xfrm>
                            <a:off x="3399450" y="1370624"/>
                            <a:ext cx="445770" cy="201930"/>
                          </a:xfrm>
                          <a:prstGeom prst="roundRect">
                            <a:avLst/>
                          </a:prstGeom>
                          <a:solidFill>
                            <a:srgbClr val="DDDDDD"/>
                          </a:solidFill>
                          <a:ln w="9525">
                            <a:solidFill>
                              <a:srgbClr val="53565A"/>
                            </a:solidFill>
                            <a:round/>
                            <a:headEnd/>
                            <a:tailEnd/>
                          </a:ln>
                        </wps:spPr>
                        <wps:txbx>
                          <w:txbxContent>
                            <w:p w14:paraId="4A7546CF"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5" name="AutoShape 12"/>
                        <wps:cNvSpPr>
                          <a:spLocks noChangeArrowheads="1"/>
                        </wps:cNvSpPr>
                        <wps:spPr bwMode="auto">
                          <a:xfrm>
                            <a:off x="2866050" y="3104174"/>
                            <a:ext cx="445770" cy="201930"/>
                          </a:xfrm>
                          <a:prstGeom prst="roundRect">
                            <a:avLst/>
                          </a:prstGeom>
                          <a:solidFill>
                            <a:srgbClr val="DDDDDD"/>
                          </a:solidFill>
                          <a:ln w="9525">
                            <a:solidFill>
                              <a:srgbClr val="53565A"/>
                            </a:solidFill>
                            <a:round/>
                            <a:headEnd/>
                            <a:tailEnd/>
                          </a:ln>
                        </wps:spPr>
                        <wps:txbx>
                          <w:txbxContent>
                            <w:p w14:paraId="4244A585"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wps:txbx>
                        <wps:bodyPr rot="0" vert="horz" wrap="square" lIns="0" tIns="0" rIns="0" bIns="0" anchor="ctr" anchorCtr="0" upright="1">
                          <a:noAutofit/>
                        </wps:bodyPr>
                      </wps:wsp>
                      <wps:wsp>
                        <wps:cNvPr id="46" name="Line 8"/>
                        <wps:cNvCnPr/>
                        <wps:spPr bwMode="auto">
                          <a:xfrm>
                            <a:off x="3599475" y="322874"/>
                            <a:ext cx="2165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1314451" y="97131"/>
                            <a:ext cx="1623060" cy="508729"/>
                          </a:xfrm>
                          <a:prstGeom prst="roundRect">
                            <a:avLst/>
                          </a:prstGeom>
                          <a:noFill/>
                          <a:ln w="9525">
                            <a:solidFill>
                              <a:srgbClr val="53565A"/>
                            </a:solidFill>
                            <a:miter lim="800000"/>
                            <a:headEnd/>
                            <a:tailEnd/>
                          </a:ln>
                          <a:extLst>
                            <a:ext uri="{909E8E84-426E-40DD-AFC4-6F175D3DCCD1}">
                              <a14:hiddenFill xmlns:a14="http://schemas.microsoft.com/office/drawing/2010/main">
                                <a:solidFill>
                                  <a:srgbClr val="BBE0E3"/>
                                </a:solidFill>
                              </a14:hiddenFill>
                            </a:ext>
                          </a:extLst>
                        </wps:spPr>
                        <wps:txbx>
                          <w:txbxContent>
                            <w:p w14:paraId="2476244D" w14:textId="77777777"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Will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be </w:t>
                              </w:r>
                              <w:r>
                                <w:rPr>
                                  <w:rFonts w:ascii="Arial" w:hAnsi="Arial" w:cs="Arial"/>
                                  <w:color w:val="000000"/>
                                  <w:sz w:val="16"/>
                                  <w:szCs w:val="16"/>
                                </w:rPr>
                                <w:t>contributed</w:t>
                              </w:r>
                              <w:r w:rsidRPr="00DA0C4D">
                                <w:rPr>
                                  <w:rFonts w:ascii="Arial" w:hAnsi="Arial" w:cs="Arial"/>
                                  <w:color w:val="000000"/>
                                  <w:sz w:val="16"/>
                                  <w:szCs w:val="16"/>
                                </w:rPr>
                                <w:t xml:space="preserve"> to a third party not controlled by government?</w:t>
                              </w:r>
                            </w:p>
                          </w:txbxContent>
                        </wps:txbx>
                        <wps:bodyPr rot="0" vert="horz" wrap="square" lIns="0" tIns="0" rIns="0" bIns="0" anchor="ctr" anchorCtr="0" upright="1">
                          <a:noAutofit/>
                        </wps:bodyPr>
                      </wps:wsp>
                      <wps:wsp>
                        <wps:cNvPr id="7" name="Straight Arrow Connector 7"/>
                        <wps:cNvCnPr>
                          <a:endCxn id="39" idx="0"/>
                        </wps:cNvCnPr>
                        <wps:spPr>
                          <a:xfrm>
                            <a:off x="2126120" y="617080"/>
                            <a:ext cx="790" cy="182044"/>
                          </a:xfrm>
                          <a:prstGeom prst="straightConnector1">
                            <a:avLst/>
                          </a:prstGeom>
                          <a:ln>
                            <a:solidFill>
                              <a:schemeClr val="tx1"/>
                            </a:solidFill>
                            <a:headEnd type="none" w="med" len="sm"/>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EBA24D3" id="Canvas 38" o:spid="_x0000_s1026" editas="canvas" style="width:484.5pt;height:428.25pt;mso-position-horizontal-relative:char;mso-position-vertical-relative:line" coordsize="61531,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54381;visibility:visible;mso-wrap-style:square">
                  <v:fill o:detectmouseclick="t"/>
                  <v:path o:connecttype="none"/>
                </v:shape>
                <v:roundrect id="Rectangle 4" o:spid="_x0000_s1028" style="position:absolute;left:10171;top:23850;width:22079;height:4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" filled="f" fillcolor="#bbe0e3" strokecolor="#53565a">
                  <v:stroke joinstyle="miter"/>
                  <v:textbox inset="0,0,0,0">
                    <w:txbxContent>
                      <w:p w14:paraId="38DC8A30" w14:textId="77777777"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Is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held by </w:t>
                        </w:r>
                        <w:r>
                          <w:rPr>
                            <w:rFonts w:ascii="Arial" w:hAnsi="Arial" w:cs="Arial"/>
                            <w:color w:val="000000"/>
                            <w:sz w:val="16"/>
                            <w:szCs w:val="16"/>
                          </w:rPr>
                          <w:t>the</w:t>
                        </w:r>
                        <w:r w:rsidRPr="00DA0C4D">
                          <w:rPr>
                            <w:rFonts w:ascii="Arial" w:hAnsi="Arial" w:cs="Arial"/>
                            <w:color w:val="000000"/>
                            <w:sz w:val="16"/>
                            <w:szCs w:val="16"/>
                          </w:rPr>
                          <w:t xml:space="preserve"> </w:t>
                        </w:r>
                        <w:r>
                          <w:rPr>
                            <w:rFonts w:ascii="Arial" w:hAnsi="Arial" w:cs="Arial"/>
                            <w:color w:val="000000"/>
                            <w:sz w:val="16"/>
                            <w:szCs w:val="16"/>
                          </w:rPr>
                          <w:t xml:space="preserve">administering department that </w:t>
                        </w:r>
                        <w:r w:rsidR="00763754">
                          <w:rPr>
                            <w:rFonts w:ascii="Arial" w:hAnsi="Arial" w:cs="Arial"/>
                            <w:color w:val="000000"/>
                            <w:sz w:val="16"/>
                            <w:szCs w:val="16"/>
                          </w:rPr>
                          <w:t>shall</w:t>
                        </w:r>
                        <w:r>
                          <w:rPr>
                            <w:rFonts w:ascii="Arial" w:hAnsi="Arial" w:cs="Arial"/>
                            <w:color w:val="000000"/>
                            <w:sz w:val="16"/>
                            <w:szCs w:val="16"/>
                          </w:rPr>
                          <w:t xml:space="preserve"> </w:t>
                        </w:r>
                        <w:r w:rsidR="000311D7">
                          <w:rPr>
                            <w:rFonts w:ascii="Arial" w:hAnsi="Arial" w:cs="Arial"/>
                            <w:color w:val="000000"/>
                            <w:sz w:val="16"/>
                            <w:szCs w:val="16"/>
                          </w:rPr>
                          <w:br/>
                        </w:r>
                        <w:r>
                          <w:rPr>
                            <w:rFonts w:ascii="Arial" w:hAnsi="Arial" w:cs="Arial"/>
                            <w:color w:val="000000"/>
                            <w:sz w:val="16"/>
                            <w:szCs w:val="16"/>
                          </w:rPr>
                          <w:t>contribute the asset to the third party?</w:t>
                        </w:r>
                      </w:p>
                    </w:txbxContent>
                  </v:textbox>
                </v:roundrect>
                <v:line id="Line 8" o:spid="_x0000_s1029" style="position:absolute;visibility:visible;mso-wrap-style:square" from="29375,3257" to="31540,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30" type="#_x0000_t176" style="position:absolute;left:38169;top:952;width:2267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" fillcolor="#53565a" strokecolor="#53565a">
                  <v:textbox inset="0,0,0,2.7pt">
                    <w:txbxContent>
                      <w:p w14:paraId="58BB2693" w14:textId="0BC114EC" w:rsidR="008D0268" w:rsidRPr="00993B9A" w:rsidRDefault="008D0268" w:rsidP="00000C66">
                        <w:pPr>
                          <w:autoSpaceDE w:val="0"/>
                          <w:autoSpaceDN w:val="0"/>
                          <w:adjustRightInd w:val="0"/>
                          <w:spacing w:before="60" w:after="0"/>
                          <w:jc w:val="center"/>
                          <w:rPr>
                            <w:rFonts w:ascii="Arial" w:hAnsi="Arial" w:cs="Arial"/>
                            <w:color w:val="FFFFFF"/>
                            <w:sz w:val="16"/>
                            <w:szCs w:val="16"/>
                          </w:rPr>
                        </w:pPr>
                        <w:r>
                          <w:rPr>
                            <w:rFonts w:ascii="Arial" w:hAnsi="Arial" w:cs="Arial"/>
                            <w:color w:val="FFFFFF"/>
                            <w:sz w:val="16"/>
                            <w:szCs w:val="16"/>
                          </w:rPr>
                          <w:t>R</w:t>
                        </w:r>
                        <w:r w:rsidRPr="00DA0C4D">
                          <w:rPr>
                            <w:rFonts w:ascii="Arial" w:hAnsi="Arial" w:cs="Arial"/>
                            <w:color w:val="FFFFFF"/>
                            <w:sz w:val="16"/>
                            <w:szCs w:val="16"/>
                          </w:rPr>
                          <w:t xml:space="preserve">efer to FRD </w:t>
                        </w:r>
                        <w:r w:rsidR="006A3F40">
                          <w:rPr>
                            <w:rFonts w:ascii="Arial" w:hAnsi="Arial" w:cs="Arial"/>
                            <w:color w:val="FFFFFF"/>
                            <w:sz w:val="16"/>
                            <w:szCs w:val="16"/>
                          </w:rPr>
                          <w:t>119</w:t>
                        </w:r>
                        <w:r w:rsidR="006A3F40" w:rsidRPr="00DA0C4D">
                          <w:rPr>
                            <w:rFonts w:ascii="Arial" w:hAnsi="Arial" w:cs="Arial"/>
                            <w:color w:val="FFFFFF"/>
                            <w:sz w:val="16"/>
                            <w:szCs w:val="16"/>
                          </w:rPr>
                          <w:t xml:space="preserve"> </w:t>
                        </w:r>
                        <w:r w:rsidR="00DE789E" w:rsidRPr="006A3F40">
                          <w:rPr>
                            <w:bCs/>
                          </w:rPr>
                          <w:t xml:space="preserve"> </w:t>
                        </w:r>
                        <w:r w:rsidR="00DE789E" w:rsidRPr="004A1A66">
                          <w:rPr>
                            <w:rFonts w:ascii="Arial" w:hAnsi="Arial" w:cs="Arial"/>
                            <w:i/>
                            <w:color w:val="FFFFFF"/>
                            <w:sz w:val="16"/>
                            <w:szCs w:val="16"/>
                          </w:rPr>
                          <w:t xml:space="preserve">Transfers </w:t>
                        </w:r>
                        <w:r w:rsidR="00E01E9F">
                          <w:rPr>
                            <w:rFonts w:ascii="Arial" w:hAnsi="Arial" w:cs="Arial"/>
                            <w:i/>
                            <w:color w:val="FFFFFF"/>
                            <w:sz w:val="16"/>
                            <w:szCs w:val="16"/>
                          </w:rPr>
                          <w:br/>
                        </w:r>
                        <w:r w:rsidR="00EB258F" w:rsidRPr="004A1A66">
                          <w:rPr>
                            <w:rFonts w:ascii="Arial" w:hAnsi="Arial" w:cs="Arial"/>
                            <w:i/>
                            <w:color w:val="FFFFFF"/>
                            <w:sz w:val="16"/>
                            <w:szCs w:val="16"/>
                          </w:rPr>
                          <w:t xml:space="preserve">through contributed capital </w:t>
                        </w:r>
                        <w:r>
                          <w:rPr>
                            <w:rFonts w:ascii="Arial" w:hAnsi="Arial" w:cs="Arial"/>
                            <w:color w:val="FFFFFF"/>
                            <w:sz w:val="16"/>
                            <w:szCs w:val="16"/>
                          </w:rPr>
                          <w:t>for transfers between public sector entities</w:t>
                        </w:r>
                      </w:p>
                    </w:txbxContent>
                  </v:textbox>
                </v:shape>
                <v:roundrect id="AutoShape 12" o:spid="_x0000_s1031" style="position:absolute;left:9255;top:30937;width:4461;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" fillcolor="#ddd" strokecolor="#53565a">
                  <v:textbox inset="0,0,0,0">
                    <w:txbxContent>
                      <w:p w14:paraId="56AA923A" w14:textId="77777777" w:rsidR="008D0268" w:rsidRPr="00DA0C4D" w:rsidRDefault="008D0268" w:rsidP="00F87F66">
                        <w:pPr>
                          <w:pStyle w:val="Tabletext"/>
                          <w:shd w:val="clear" w:color="auto" w:fill="D9D9D6"/>
                          <w:spacing w:after="0"/>
                          <w:jc w:val="center"/>
                        </w:pPr>
                        <w:r w:rsidRPr="00DA0C4D">
                          <w:t>Yes</w:t>
                        </w:r>
                      </w:p>
                    </w:txbxContent>
                  </v:textbox>
                </v:roundrect>
                <v:shape id="AutoShape 13" o:spid="_x0000_s1032" type="#_x0000_t176" style="position:absolute;left:21393;top:35547;width:18821;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" fillcolor="#53565a" strokecolor="#53565a">
                  <v:textbox inset="0,0,0,2.7pt">
                    <w:txbxContent>
                      <w:p w14:paraId="0BC8453C" w14:textId="094C67B9" w:rsidR="008D0268" w:rsidRPr="00DA0C4D" w:rsidRDefault="008D0268" w:rsidP="00000C66">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 xml:space="preserve">The non-financial asset is </w:t>
                        </w:r>
                        <w:r w:rsidR="00E01E9F">
                          <w:rPr>
                            <w:rFonts w:ascii="Arial" w:hAnsi="Arial" w:cs="Arial"/>
                            <w:color w:val="FFFFFF"/>
                            <w:sz w:val="16"/>
                            <w:szCs w:val="16"/>
                          </w:rPr>
                          <w:br/>
                        </w:r>
                        <w:r>
                          <w:rPr>
                            <w:rFonts w:ascii="Arial" w:hAnsi="Arial" w:cs="Arial"/>
                            <w:color w:val="FFFFFF"/>
                            <w:sz w:val="16"/>
                            <w:szCs w:val="16"/>
                          </w:rPr>
                          <w:t xml:space="preserve">transferred from the entity holding </w:t>
                        </w:r>
                        <w:r w:rsidR="00E01E9F">
                          <w:rPr>
                            <w:rFonts w:ascii="Arial" w:hAnsi="Arial" w:cs="Arial"/>
                            <w:color w:val="FFFFFF"/>
                            <w:sz w:val="16"/>
                            <w:szCs w:val="16"/>
                          </w:rPr>
                          <w:br/>
                        </w:r>
                        <w:r>
                          <w:rPr>
                            <w:rFonts w:ascii="Arial" w:hAnsi="Arial" w:cs="Arial"/>
                            <w:color w:val="FFFFFF"/>
                            <w:sz w:val="16"/>
                            <w:szCs w:val="16"/>
                          </w:rPr>
                          <w:t>the asset to the administering department and is treated as a transfer of contributions by owners</w:t>
                        </w:r>
                        <w:r w:rsidRPr="00076526">
                          <w:rPr>
                            <w:rFonts w:ascii="Arial" w:hAnsi="Arial" w:cs="Arial"/>
                            <w:color w:val="FFFFFF"/>
                            <w:sz w:val="16"/>
                            <w:szCs w:val="16"/>
                          </w:rPr>
                          <w:t xml:space="preserve"> </w:t>
                        </w:r>
                        <w:r w:rsidR="008D4575">
                          <w:rPr>
                            <w:rFonts w:ascii="Arial" w:hAnsi="Arial" w:cs="Arial"/>
                            <w:color w:val="FFFFFF"/>
                            <w:sz w:val="16"/>
                            <w:szCs w:val="16"/>
                          </w:rPr>
                          <w:br/>
                        </w:r>
                        <w:r>
                          <w:rPr>
                            <w:rFonts w:ascii="Arial" w:hAnsi="Arial" w:cs="Arial"/>
                            <w:color w:val="FFFFFF"/>
                            <w:sz w:val="16"/>
                            <w:szCs w:val="16"/>
                          </w:rPr>
                          <w:t>in accordance with</w:t>
                        </w:r>
                        <w:r w:rsidRPr="00076526">
                          <w:rPr>
                            <w:rFonts w:ascii="Arial" w:hAnsi="Arial" w:cs="Arial"/>
                            <w:color w:val="FFFFFF"/>
                            <w:sz w:val="16"/>
                            <w:szCs w:val="16"/>
                          </w:rPr>
                          <w:t xml:space="preserve"> </w:t>
                        </w:r>
                        <w:r w:rsidR="00402D09">
                          <w:rPr>
                            <w:rFonts w:ascii="Arial" w:hAnsi="Arial" w:cs="Arial"/>
                            <w:color w:val="FFFFFF"/>
                            <w:sz w:val="16"/>
                            <w:szCs w:val="16"/>
                          </w:rPr>
                          <w:t>FRD </w:t>
                        </w:r>
                        <w:r w:rsidR="006A3F40">
                          <w:rPr>
                            <w:rFonts w:ascii="Arial" w:hAnsi="Arial" w:cs="Arial"/>
                            <w:color w:val="FFFFFF"/>
                            <w:sz w:val="16"/>
                            <w:szCs w:val="16"/>
                          </w:rPr>
                          <w:t>119</w:t>
                        </w:r>
                        <w:r>
                          <w:rPr>
                            <w:rFonts w:ascii="Arial" w:hAnsi="Arial" w:cs="Arial"/>
                            <w:color w:val="FFFFFF"/>
                            <w:sz w:val="16"/>
                            <w:szCs w:val="16"/>
                          </w:rPr>
                          <w:t>*</w:t>
                        </w:r>
                      </w:p>
                      <w:p w14:paraId="1D14C4F9" w14:textId="77777777" w:rsidR="008D0268" w:rsidRPr="004E757D" w:rsidRDefault="008D0268" w:rsidP="008D0268"/>
                    </w:txbxContent>
                  </v:textbox>
                </v:shape>
                <v:shape id="AutoShape 15" o:spid="_x0000_s1033" type="#_x0000_t176" style="position:absolute;left:1364;top:35452;width:19584;height:9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" fillcolor="#53565a" strokecolor="#53565a">
                  <v:textbox inset="0,0,0,2.7pt">
                    <w:txbxContent>
                      <w:p w14:paraId="50AFA7E6" w14:textId="5333CA58" w:rsidR="008D0268" w:rsidRPr="00A62777" w:rsidRDefault="008D0268" w:rsidP="00A62777">
                        <w:pPr>
                          <w:autoSpaceDE w:val="0"/>
                          <w:autoSpaceDN w:val="0"/>
                          <w:adjustRightInd w:val="0"/>
                          <w:spacing w:before="0" w:after="0"/>
                          <w:jc w:val="center"/>
                          <w:rPr>
                            <w:rFonts w:ascii="Arial" w:hAnsi="Arial" w:cs="Arial"/>
                            <w:color w:val="FFFFFF"/>
                            <w:sz w:val="16"/>
                            <w:szCs w:val="16"/>
                          </w:rPr>
                        </w:pPr>
                        <w:r>
                          <w:rPr>
                            <w:rFonts w:ascii="Arial" w:hAnsi="Arial" w:cs="Arial"/>
                            <w:color w:val="FFFFFF"/>
                            <w:sz w:val="16"/>
                            <w:szCs w:val="16"/>
                          </w:rPr>
                          <w:t>T</w:t>
                        </w:r>
                        <w:r w:rsidRPr="00DA0C4D">
                          <w:rPr>
                            <w:rFonts w:ascii="Arial" w:hAnsi="Arial" w:cs="Arial"/>
                            <w:color w:val="FFFFFF"/>
                            <w:sz w:val="16"/>
                            <w:szCs w:val="16"/>
                          </w:rPr>
                          <w:t xml:space="preserve">he </w:t>
                        </w:r>
                        <w:r>
                          <w:rPr>
                            <w:rFonts w:ascii="Arial" w:hAnsi="Arial" w:cs="Arial"/>
                            <w:color w:val="FFFFFF"/>
                            <w:sz w:val="16"/>
                            <w:szCs w:val="16"/>
                          </w:rPr>
                          <w:t xml:space="preserve">non-financial </w:t>
                        </w:r>
                        <w:r w:rsidRPr="00DA0C4D">
                          <w:rPr>
                            <w:rFonts w:ascii="Arial" w:hAnsi="Arial" w:cs="Arial"/>
                            <w:color w:val="FFFFFF"/>
                            <w:sz w:val="16"/>
                            <w:szCs w:val="16"/>
                          </w:rPr>
                          <w:t xml:space="preserve">asset is </w:t>
                        </w:r>
                        <w:r>
                          <w:rPr>
                            <w:rFonts w:ascii="Arial" w:hAnsi="Arial" w:cs="Arial"/>
                            <w:color w:val="FFFFFF"/>
                            <w:sz w:val="16"/>
                            <w:szCs w:val="16"/>
                          </w:rPr>
                          <w:t>transferred from the controlled to administered accounts as contributions by owners in accordance with</w:t>
                        </w:r>
                        <w:r w:rsidRPr="00076526">
                          <w:rPr>
                            <w:rFonts w:ascii="Arial" w:hAnsi="Arial" w:cs="Arial"/>
                            <w:color w:val="FFFFFF"/>
                            <w:sz w:val="16"/>
                            <w:szCs w:val="16"/>
                          </w:rPr>
                          <w:t xml:space="preserve"> </w:t>
                        </w:r>
                        <w:r w:rsidRPr="00DA0C4D">
                          <w:rPr>
                            <w:rFonts w:ascii="Arial" w:hAnsi="Arial" w:cs="Arial"/>
                            <w:color w:val="FFFFFF"/>
                            <w:sz w:val="16"/>
                            <w:szCs w:val="16"/>
                          </w:rPr>
                          <w:t xml:space="preserve">FRD </w:t>
                        </w:r>
                        <w:r w:rsidR="006A3F40" w:rsidRPr="00402D09">
                          <w:rPr>
                            <w:rFonts w:ascii="Arial" w:hAnsi="Arial" w:cs="Arial"/>
                            <w:color w:val="FFFFFF"/>
                            <w:sz w:val="16"/>
                            <w:szCs w:val="16"/>
                          </w:rPr>
                          <w:t>119</w:t>
                        </w:r>
                        <w:r w:rsidR="006A3F40" w:rsidRPr="004A1A66">
                          <w:rPr>
                            <w:rFonts w:ascii="Arial" w:hAnsi="Arial" w:cs="Arial"/>
                            <w:i/>
                            <w:color w:val="FFFFFF"/>
                            <w:sz w:val="16"/>
                            <w:szCs w:val="16"/>
                          </w:rPr>
                          <w:t xml:space="preserve"> Transfers through </w:t>
                        </w:r>
                        <w:r w:rsidR="00EB258F" w:rsidRPr="004A1A66">
                          <w:rPr>
                            <w:rFonts w:ascii="Arial" w:hAnsi="Arial" w:cs="Arial"/>
                            <w:i/>
                            <w:color w:val="FFFFFF"/>
                            <w:sz w:val="16"/>
                            <w:szCs w:val="16"/>
                          </w:rPr>
                          <w:t>contributed capital</w:t>
                        </w:r>
                        <w:r w:rsidR="006A3F40" w:rsidRPr="00DE789E" w:rsidDel="006A3F40">
                          <w:rPr>
                            <w:rFonts w:ascii="Arial" w:hAnsi="Arial" w:cs="Arial"/>
                            <w:color w:val="FFFFFF"/>
                            <w:sz w:val="16"/>
                            <w:szCs w:val="16"/>
                          </w:rPr>
                          <w:t xml:space="preserve"> </w:t>
                        </w:r>
                        <w:r>
                          <w:rPr>
                            <w:rFonts w:ascii="Arial" w:hAnsi="Arial" w:cs="Arial"/>
                            <w:color w:val="FFFFFF"/>
                            <w:sz w:val="16"/>
                            <w:szCs w:val="16"/>
                          </w:rPr>
                          <w:t>*</w:t>
                        </w:r>
                      </w:p>
                    </w:txbxContent>
                  </v:textbox>
                </v:shape>
                <v:roundrect id="Rectangle 16" o:spid="_x0000_s1034" style="position:absolute;left:1333;top:46939;width:38785;height:6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" filled="f" fillcolor="#bbe0e3" strokecolor="#53565a">
                  <v:stroke joinstyle="miter"/>
                  <v:textbox inset="5.4pt,0,5.4pt,2.7pt">
                    <w:txbxContent>
                      <w:p w14:paraId="22CF5D22" w14:textId="77777777" w:rsidR="008D0268" w:rsidRPr="00C975C5" w:rsidRDefault="008D0268" w:rsidP="008E00B0">
                        <w:pPr>
                          <w:autoSpaceDE w:val="0"/>
                          <w:autoSpaceDN w:val="0"/>
                          <w:adjustRightInd w:val="0"/>
                          <w:spacing w:before="0" w:after="0"/>
                          <w:jc w:val="center"/>
                          <w:rPr>
                            <w:rFonts w:ascii="Arial" w:hAnsi="Arial" w:cs="Arial"/>
                            <w:sz w:val="16"/>
                            <w:szCs w:val="16"/>
                          </w:rPr>
                        </w:pPr>
                        <w:r w:rsidRPr="00C975C5">
                          <w:rPr>
                            <w:rFonts w:ascii="Arial" w:hAnsi="Arial" w:cs="Arial"/>
                            <w:sz w:val="16"/>
                            <w:szCs w:val="16"/>
                          </w:rPr>
                          <w:t xml:space="preserve">The transaction is treated </w:t>
                        </w:r>
                        <w:r>
                          <w:rPr>
                            <w:rFonts w:ascii="Arial" w:hAnsi="Arial" w:cs="Arial"/>
                            <w:sz w:val="16"/>
                            <w:szCs w:val="16"/>
                          </w:rPr>
                          <w:t xml:space="preserve">by the administering department </w:t>
                        </w:r>
                        <w:r w:rsidRPr="00C975C5">
                          <w:rPr>
                            <w:rFonts w:ascii="Arial" w:hAnsi="Arial" w:cs="Arial"/>
                            <w:sz w:val="16"/>
                            <w:szCs w:val="16"/>
                          </w:rPr>
                          <w:t xml:space="preserve">as a </w:t>
                        </w:r>
                        <w:r w:rsidR="00402D09">
                          <w:rPr>
                            <w:rFonts w:ascii="Arial" w:hAnsi="Arial" w:cs="Arial"/>
                            <w:sz w:val="16"/>
                            <w:szCs w:val="16"/>
                          </w:rPr>
                          <w:br/>
                        </w:r>
                        <w:r>
                          <w:rPr>
                            <w:rFonts w:ascii="Arial" w:hAnsi="Arial" w:cs="Arial"/>
                            <w:sz w:val="16"/>
                            <w:szCs w:val="16"/>
                          </w:rPr>
                          <w:t>contribution</w:t>
                        </w:r>
                        <w:r w:rsidRPr="00C975C5">
                          <w:rPr>
                            <w:rFonts w:ascii="Arial" w:hAnsi="Arial" w:cs="Arial"/>
                            <w:sz w:val="16"/>
                            <w:szCs w:val="16"/>
                          </w:rPr>
                          <w:t xml:space="preserve"> </w:t>
                        </w:r>
                        <w:r>
                          <w:rPr>
                            <w:rFonts w:ascii="Arial" w:hAnsi="Arial" w:cs="Arial"/>
                            <w:sz w:val="16"/>
                            <w:szCs w:val="16"/>
                          </w:rPr>
                          <w:t xml:space="preserve">of non-financial assets </w:t>
                        </w:r>
                        <w:r w:rsidRPr="00C975C5">
                          <w:rPr>
                            <w:rFonts w:ascii="Arial" w:hAnsi="Arial" w:cs="Arial"/>
                            <w:sz w:val="16"/>
                            <w:szCs w:val="16"/>
                          </w:rPr>
                          <w:t>by the government as owner</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and is</w:t>
                        </w:r>
                        <w:r w:rsidRPr="00C975C5">
                          <w:rPr>
                            <w:rFonts w:ascii="Arial" w:hAnsi="Arial" w:cs="Arial"/>
                            <w:sz w:val="16"/>
                            <w:szCs w:val="16"/>
                          </w:rPr>
                          <w:t xml:space="preserve"> expensed in the departmental </w:t>
                        </w:r>
                        <w:r>
                          <w:rPr>
                            <w:rFonts w:ascii="Arial" w:hAnsi="Arial" w:cs="Arial"/>
                            <w:sz w:val="16"/>
                            <w:szCs w:val="16"/>
                          </w:rPr>
                          <w:t>administered</w:t>
                        </w:r>
                        <w:r w:rsidRPr="00C975C5">
                          <w:rPr>
                            <w:rFonts w:ascii="Arial" w:hAnsi="Arial" w:cs="Arial"/>
                            <w:sz w:val="16"/>
                            <w:szCs w:val="16"/>
                          </w:rPr>
                          <w:t xml:space="preserve"> accounts</w:t>
                        </w:r>
                        <w:r>
                          <w:rPr>
                            <w:rFonts w:ascii="Arial" w:hAnsi="Arial" w:cs="Arial"/>
                            <w:sz w:val="16"/>
                            <w:szCs w:val="16"/>
                          </w:rPr>
                          <w:t xml:space="preserve"> </w:t>
                        </w:r>
                        <w:r w:rsidR="00402D09">
                          <w:rPr>
                            <w:rFonts w:ascii="Arial" w:hAnsi="Arial" w:cs="Arial"/>
                            <w:sz w:val="16"/>
                            <w:szCs w:val="16"/>
                          </w:rPr>
                          <w:br/>
                        </w:r>
                        <w:r>
                          <w:rPr>
                            <w:rFonts w:ascii="Arial" w:hAnsi="Arial" w:cs="Arial"/>
                            <w:sz w:val="16"/>
                            <w:szCs w:val="16"/>
                          </w:rPr>
                          <w:t>(recorded as an administered transaction)</w:t>
                        </w:r>
                      </w:p>
                      <w:p w14:paraId="0834A085" w14:textId="77777777" w:rsidR="008D0268" w:rsidRPr="00C975C5" w:rsidRDefault="008D0268" w:rsidP="008E00B0">
                        <w:pPr>
                          <w:autoSpaceDE w:val="0"/>
                          <w:autoSpaceDN w:val="0"/>
                          <w:adjustRightInd w:val="0"/>
                          <w:spacing w:before="0" w:after="0"/>
                          <w:jc w:val="center"/>
                          <w:rPr>
                            <w:szCs w:val="16"/>
                          </w:rPr>
                        </w:pPr>
                      </w:p>
                    </w:txbxContent>
                  </v:textbox>
                </v:roundrect>
                <v:line id="Line 17" o:spid="_x0000_s1035" style="position:absolute;rotation:90;visibility:visible;mso-wrap-style:square" from="20108,11095" to="22302,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">
                  <v:stroke endarrow="block"/>
                </v:line>
                <v:line id="Line 18" o:spid="_x0000_s1036" style="position:absolute;rotation:90;visibility:visible;mso-wrap-style:square" from="29805,29878" to="31999,2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">
                  <v:stroke endarrow="block"/>
                </v:line>
                <v:line id="Line 19" o:spid="_x0000_s1037" style="position:absolute;rotation:90;visibility:visible;mso-wrap-style:square" from="10437,29783" to="12631,2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">
                  <v:stroke endarrow="block"/>
                </v:line>
                <v:line id="Line 20" o:spid="_x0000_s1038" style="position:absolute;rotation:90;visibility:visible;mso-wrap-style:square" from="29709,34203" to="31904,3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">
                  <v:stroke endarrow="block"/>
                </v:line>
                <v:line id="Line 21" o:spid="_x0000_s1039" style="position:absolute;rotation:90;visibility:visible;mso-wrap-style:square" from="10436,34108" to="12631,3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">
                  <v:stroke endarrow="block"/>
                </v:line>
                <v:line id="Line 22" o:spid="_x0000_s1040" style="position:absolute;rotation:90;visibility:visible;mso-wrap-style:square" from="29715,45690" to="31910,4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">
                  <v:stroke endarrow="block"/>
                </v:line>
                <v:line id="Line 23" o:spid="_x0000_s1041" style="position:absolute;rotation:90;visibility:visible;mso-wrap-style:square" from="10430,45595" to="12625,4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">
                  <v:stroke endarrow="block"/>
                </v:line>
                <v:roundrect id="Rectangle 24" o:spid="_x0000_s1042" style="position:absolute;left:10839;top:12249;width:20879;height:4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" filled="f" fillcolor="#bbe0e3" strokecolor="#53565a">
                  <v:stroke joinstyle="miter"/>
                  <v:textbox inset="0,0,0,0">
                    <w:txbxContent>
                      <w:p w14:paraId="7A127244" w14:textId="77777777" w:rsidR="008D0268" w:rsidRPr="00DA0C4D"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Are the non-financial assets ready for immediate contribution to the third party </w:t>
                        </w:r>
                        <w:r w:rsidR="00402D09">
                          <w:rPr>
                            <w:rFonts w:ascii="Arial" w:hAnsi="Arial" w:cs="Arial"/>
                            <w:color w:val="000000"/>
                            <w:sz w:val="16"/>
                            <w:szCs w:val="16"/>
                          </w:rPr>
                          <w:br/>
                        </w:r>
                        <w:r>
                          <w:rPr>
                            <w:rFonts w:ascii="Arial" w:hAnsi="Arial" w:cs="Arial"/>
                            <w:color w:val="000000"/>
                            <w:sz w:val="16"/>
                            <w:szCs w:val="16"/>
                          </w:rPr>
                          <w:t>not controlled by Government?</w:t>
                        </w:r>
                      </w:p>
                    </w:txbxContent>
                  </v:textbox>
                </v:roundrect>
                <v:line id="Line 27" o:spid="_x0000_s1043" style="position:absolute;rotation:90;visibility:visible;mso-wrap-style:square" from="20152,18277" to="22347,1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">
                  <v:stroke endarrow="block"/>
                </v:line>
                <v:line id="Line 28" o:spid="_x0000_s1044" style="position:absolute;rotation:90;visibility:visible;mso-wrap-style:square" from="20153,22601" to="22347,2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">
                  <v:stroke endarrow="block"/>
                </v:line>
                <v:line id="Line 29" o:spid="_x0000_s1045" style="position:absolute;visibility:visible;mso-wrap-style:square" from="38440,14649" to="40634,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oundrect id="Rectangle 30" o:spid="_x0000_s1046" style="position:absolute;left:40571;top:8896;width:20389;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" filled="f" fillcolor="#bbe0e3" strokecolor="#53565a">
                  <v:stroke joinstyle="miter"/>
                  <v:textbox inset="0,0,0,0">
                    <w:txbxContent>
                      <w:p w14:paraId="69A65956" w14:textId="77777777" w:rsidR="008D0268" w:rsidRPr="003948DB" w:rsidRDefault="008D0268" w:rsidP="008E00B0">
                        <w:pPr>
                          <w:autoSpaceDE w:val="0"/>
                          <w:autoSpaceDN w:val="0"/>
                          <w:adjustRightInd w:val="0"/>
                          <w:spacing w:before="0" w:after="0"/>
                          <w:jc w:val="center"/>
                          <w:rPr>
                            <w:rFonts w:ascii="Arial" w:hAnsi="Arial" w:cs="Arial"/>
                            <w:color w:val="000000"/>
                            <w:sz w:val="16"/>
                            <w:szCs w:val="16"/>
                          </w:rPr>
                        </w:pPr>
                        <w:r>
                          <w:rPr>
                            <w:rFonts w:ascii="Arial" w:hAnsi="Arial" w:cs="Arial"/>
                            <w:color w:val="000000"/>
                            <w:sz w:val="16"/>
                            <w:szCs w:val="16"/>
                          </w:rPr>
                          <w:t xml:space="preserve">Has the decision by government </w:t>
                        </w:r>
                        <w:r w:rsidR="00E926DB">
                          <w:rPr>
                            <w:rFonts w:ascii="Arial" w:hAnsi="Arial" w:cs="Arial"/>
                            <w:color w:val="000000"/>
                            <w:sz w:val="16"/>
                            <w:szCs w:val="16"/>
                          </w:rPr>
                          <w:br/>
                        </w:r>
                        <w:r>
                          <w:rPr>
                            <w:rFonts w:ascii="Arial" w:hAnsi="Arial" w:cs="Arial"/>
                            <w:color w:val="000000"/>
                            <w:sz w:val="16"/>
                            <w:szCs w:val="16"/>
                          </w:rPr>
                          <w:t xml:space="preserve">created a present obligation under </w:t>
                        </w:r>
                        <w:r w:rsidR="00E926DB">
                          <w:rPr>
                            <w:rFonts w:ascii="Arial" w:hAnsi="Arial" w:cs="Arial"/>
                            <w:color w:val="000000"/>
                            <w:sz w:val="16"/>
                            <w:szCs w:val="16"/>
                          </w:rPr>
                          <w:br/>
                        </w:r>
                        <w:r>
                          <w:rPr>
                            <w:rFonts w:ascii="Arial" w:hAnsi="Arial" w:cs="Arial"/>
                            <w:color w:val="000000"/>
                            <w:sz w:val="16"/>
                            <w:szCs w:val="16"/>
                          </w:rPr>
                          <w:t xml:space="preserve">AASB 137 </w:t>
                        </w:r>
                        <w:r w:rsidRPr="00BE3D0B">
                          <w:rPr>
                            <w:rFonts w:ascii="Arial" w:hAnsi="Arial" w:cs="Arial"/>
                            <w:i/>
                            <w:iCs/>
                            <w:color w:val="000000"/>
                            <w:sz w:val="16"/>
                            <w:szCs w:val="16"/>
                          </w:rPr>
                          <w:t>Provisions, Contingent Liabilities and Contingent Assets?</w:t>
                        </w:r>
                        <w:r>
                          <w:rPr>
                            <w:rFonts w:ascii="Arial" w:hAnsi="Arial" w:cs="Arial"/>
                            <w:i/>
                            <w:iCs/>
                            <w:color w:val="000000"/>
                            <w:sz w:val="16"/>
                            <w:szCs w:val="16"/>
                          </w:rPr>
                          <w:t xml:space="preserve"> </w:t>
                        </w:r>
                        <w:r>
                          <w:rPr>
                            <w:rFonts w:ascii="Arial" w:hAnsi="Arial" w:cs="Arial"/>
                            <w:color w:val="000000"/>
                            <w:sz w:val="16"/>
                            <w:szCs w:val="16"/>
                          </w:rPr>
                          <w:t>(Refer to FRD 117 para 7.7 for guidance)</w:t>
                        </w:r>
                      </w:p>
                      <w:p w14:paraId="2DBE32AD" w14:textId="77777777" w:rsidR="008D0268" w:rsidRPr="00DA0C4D" w:rsidRDefault="008D0268" w:rsidP="008D0268">
                        <w:pPr>
                          <w:autoSpaceDE w:val="0"/>
                          <w:autoSpaceDN w:val="0"/>
                          <w:adjustRightInd w:val="0"/>
                          <w:jc w:val="center"/>
                          <w:rPr>
                            <w:rFonts w:ascii="Arial" w:hAnsi="Arial" w:cs="Arial"/>
                            <w:color w:val="000000"/>
                            <w:sz w:val="16"/>
                            <w:szCs w:val="16"/>
                          </w:rPr>
                        </w:pPr>
                      </w:p>
                    </w:txbxContent>
                  </v:textbox>
                </v:roundrect>
                <v:line id="Line 31" o:spid="_x0000_s1047" style="position:absolute;visibility:visible;mso-wrap-style:square" from="31680,14611" to="33874,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3" o:spid="_x0000_s1048" style="position:absolute;rotation:90;visibility:visible;mso-wrap-style:square" from="42765,17610" to="44959,1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">
                  <v:stroke endarrow="block"/>
                </v:line>
                <v:line id="Line 34" o:spid="_x0000_s1049" style="position:absolute;rotation:90;visibility:visible;mso-wrap-style:square" from="42764,21935" to="44959,2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">
                  <v:stroke endarrow="block"/>
                </v:line>
                <v:line id="Line 36" o:spid="_x0000_s1050" style="position:absolute;rotation:90;visibility:visible;mso-wrap-style:square" from="55324,17575" to="57518,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">
                  <v:stroke endarrow="block"/>
                </v:line>
                <v:line id="Line 37" o:spid="_x0000_s1051" style="position:absolute;rotation:90;visibility:visible;mso-wrap-style:square" from="55323,21995" to="57518,2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">
                  <v:stroke endarrow="block"/>
                </v:line>
                <v:shape id="AutoShape 38" o:spid="_x0000_s1052" type="#_x0000_t176" style="position:absolute;left:35980;top:23180;width:15605;height:8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" fillcolor="#53565a" strokecolor="#53565a">
                  <v:textbox inset="0,0,0,0">
                    <w:txbxContent>
                      <w:p w14:paraId="5BBB2ECD" w14:textId="77777777" w:rsidR="008D0268" w:rsidRPr="007A0DBF"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a provision in accordance with AASB 137 </w:t>
                        </w:r>
                        <w:r w:rsidRPr="00BE3D0B">
                          <w:rPr>
                            <w:rFonts w:ascii="Arial" w:hAnsi="Arial" w:cs="Arial"/>
                            <w:i/>
                            <w:iCs/>
                            <w:color w:val="FFFFFF"/>
                            <w:sz w:val="16"/>
                            <w:szCs w:val="16"/>
                          </w:rPr>
                          <w:t>Provisions, Contingent Liabilities and Contingent Assets</w:t>
                        </w:r>
                        <w:r>
                          <w:rPr>
                            <w:rFonts w:ascii="Arial" w:hAnsi="Arial" w:cs="Arial"/>
                            <w:color w:val="FFFFFF"/>
                            <w:sz w:val="16"/>
                            <w:szCs w:val="16"/>
                          </w:rPr>
                          <w:t xml:space="preserve"> (refer to FRD 117 para 7.7 for additional guidance)</w:t>
                        </w:r>
                      </w:p>
                    </w:txbxContent>
                  </v:textbox>
                </v:shape>
                <v:shape id="AutoShape 39" o:spid="_x0000_s1053" type="#_x0000_t176" style="position:absolute;left:51960;top:23183;width:8975;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" fillcolor="#53565a" strokecolor="#53565a">
                  <v:textbox inset="0,0,0,0">
                    <w:txbxContent>
                      <w:p w14:paraId="7A357A5A" w14:textId="77777777" w:rsidR="008D0268" w:rsidRPr="00BE3D0B" w:rsidRDefault="008D0268" w:rsidP="00000C66">
                        <w:pPr>
                          <w:autoSpaceDE w:val="0"/>
                          <w:autoSpaceDN w:val="0"/>
                          <w:adjustRightInd w:val="0"/>
                          <w:spacing w:before="0" w:after="0"/>
                          <w:jc w:val="center"/>
                          <w:rPr>
                            <w:rFonts w:ascii="Arial" w:hAnsi="Arial" w:cs="Arial"/>
                            <w:color w:val="FFFFFF"/>
                            <w:sz w:val="16"/>
                            <w:szCs w:val="16"/>
                          </w:rPr>
                        </w:pPr>
                        <w:r w:rsidRPr="00BE3D0B">
                          <w:rPr>
                            <w:rFonts w:ascii="Arial" w:hAnsi="Arial" w:cs="Arial"/>
                            <w:color w:val="FFFFFF"/>
                            <w:sz w:val="16"/>
                            <w:szCs w:val="16"/>
                          </w:rPr>
                          <w:t xml:space="preserve">Recognise </w:t>
                        </w:r>
                        <w:r>
                          <w:rPr>
                            <w:rFonts w:ascii="Arial" w:hAnsi="Arial" w:cs="Arial"/>
                            <w:color w:val="FFFFFF"/>
                            <w:sz w:val="16"/>
                            <w:szCs w:val="16"/>
                          </w:rPr>
                          <w:t>the government decision at the time of the contribution</w:t>
                        </w:r>
                      </w:p>
                    </w:txbxContent>
                  </v:textbox>
                </v:shape>
                <v:roundrect id="AutoShape 12" o:spid="_x0000_s1054" style="position:absolute;left:19040;top:7991;width:4457;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" fillcolor="#ddd" strokecolor="#53565a">
                  <v:textbox inset="0,0,0,0">
                    <w:txbxContent>
                      <w:p w14:paraId="573F5F8F"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v:textbox>
                </v:roundrect>
                <v:roundrect id="AutoShape 12" o:spid="_x0000_s1055" style="position:absolute;left:41614;top:18754;width:4458;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" fillcolor="#ddd" strokecolor="#53565a">
                  <v:textbox inset="0,0,0,0">
                    <w:txbxContent>
                      <w:p w14:paraId="3A469F73"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v:textbox>
                </v:roundrect>
                <v:roundrect id="AutoShape 12" o:spid="_x0000_s1056" style="position:absolute;left:19040;top:19421;width:4457;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" fillcolor="#ddd" strokecolor="#53565a">
                  <v:textbox inset="0,0,0,0">
                    <w:txbxContent>
                      <w:p w14:paraId="706809B1"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Yes</w:t>
                        </w:r>
                      </w:p>
                    </w:txbxContent>
                  </v:textbox>
                </v:roundrect>
                <v:roundrect id="AutoShape 12" o:spid="_x0000_s1057" style="position:absolute;left:31518;top:2180;width:4457;height:2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" fillcolor="#ddd" strokecolor="#53565a">
                  <v:textbox inset="0,0,0,0">
                    <w:txbxContent>
                      <w:p w14:paraId="1A94C991"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roundrect id="AutoShape 12" o:spid="_x0000_s1058" style="position:absolute;left:54187;top:18754;width:4458;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" fillcolor="#ddd" strokecolor="#53565a">
                  <v:textbox inset="0,0,0,0">
                    <w:txbxContent>
                      <w:p w14:paraId="41504EA4"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roundrect id="AutoShape 12" o:spid="_x0000_s1059" style="position:absolute;left:33994;top:13706;width:4458;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" fillcolor="#ddd" strokecolor="#53565a">
                  <v:textbox inset="0,0,0,0">
                    <w:txbxContent>
                      <w:p w14:paraId="4A7546CF"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roundrect id="AutoShape 12" o:spid="_x0000_s1060" style="position:absolute;left:28660;top:31041;width:4458;height:2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" fillcolor="#ddd" strokecolor="#53565a">
                  <v:textbox inset="0,0,0,0">
                    <w:txbxContent>
                      <w:p w14:paraId="4244A585" w14:textId="77777777" w:rsidR="00F87F66" w:rsidRDefault="00F87F66" w:rsidP="00F87F66">
                        <w:pPr>
                          <w:pStyle w:val="NormalWeb"/>
                          <w:spacing w:before="60" w:beforeAutospacing="0" w:after="0" w:afterAutospacing="0" w:line="264" w:lineRule="auto"/>
                          <w:jc w:val="center"/>
                        </w:pPr>
                        <w:r>
                          <w:rPr>
                            <w:rFonts w:ascii="Arial" w:eastAsia="Times New Roman" w:hAnsi="Arial"/>
                            <w:spacing w:val="2"/>
                            <w:sz w:val="17"/>
                            <w:szCs w:val="17"/>
                          </w:rPr>
                          <w:t>No</w:t>
                        </w:r>
                      </w:p>
                    </w:txbxContent>
                  </v:textbox>
                </v:roundrect>
                <v:line id="Line 8" o:spid="_x0000_s1061" style="position:absolute;visibility:visible;mso-wrap-style:square" from="35994,3228" to="38160,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roundrect id="Rectangle 6" o:spid="_x0000_s1062" style="position:absolute;left:13144;top:971;width:16231;height:5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" filled="f" fillcolor="#bbe0e3" strokecolor="#53565a">
                  <v:stroke joinstyle="miter"/>
                  <v:textbox inset="0,0,0,0">
                    <w:txbxContent>
                      <w:p w14:paraId="2476244D" w14:textId="77777777" w:rsidR="008D0268" w:rsidRPr="00DA0C4D" w:rsidRDefault="008D0268" w:rsidP="008E00B0">
                        <w:pPr>
                          <w:autoSpaceDE w:val="0"/>
                          <w:autoSpaceDN w:val="0"/>
                          <w:adjustRightInd w:val="0"/>
                          <w:spacing w:before="0" w:after="0"/>
                          <w:jc w:val="center"/>
                          <w:rPr>
                            <w:rFonts w:ascii="Arial" w:hAnsi="Arial" w:cs="Arial"/>
                            <w:color w:val="000000"/>
                            <w:sz w:val="16"/>
                            <w:szCs w:val="16"/>
                          </w:rPr>
                        </w:pPr>
                        <w:r w:rsidRPr="00DA0C4D">
                          <w:rPr>
                            <w:rFonts w:ascii="Arial" w:hAnsi="Arial" w:cs="Arial"/>
                            <w:color w:val="000000"/>
                            <w:sz w:val="16"/>
                            <w:szCs w:val="16"/>
                          </w:rPr>
                          <w:t xml:space="preserve">Will the </w:t>
                        </w:r>
                        <w:r>
                          <w:rPr>
                            <w:rFonts w:ascii="Arial" w:hAnsi="Arial" w:cs="Arial"/>
                            <w:color w:val="000000"/>
                            <w:sz w:val="16"/>
                            <w:szCs w:val="16"/>
                          </w:rPr>
                          <w:t xml:space="preserve">non-financial </w:t>
                        </w:r>
                        <w:r w:rsidRPr="00DA0C4D">
                          <w:rPr>
                            <w:rFonts w:ascii="Arial" w:hAnsi="Arial" w:cs="Arial"/>
                            <w:color w:val="000000"/>
                            <w:sz w:val="16"/>
                            <w:szCs w:val="16"/>
                          </w:rPr>
                          <w:t xml:space="preserve">asset be </w:t>
                        </w:r>
                        <w:r>
                          <w:rPr>
                            <w:rFonts w:ascii="Arial" w:hAnsi="Arial" w:cs="Arial"/>
                            <w:color w:val="000000"/>
                            <w:sz w:val="16"/>
                            <w:szCs w:val="16"/>
                          </w:rPr>
                          <w:t>contributed</w:t>
                        </w:r>
                        <w:r w:rsidRPr="00DA0C4D">
                          <w:rPr>
                            <w:rFonts w:ascii="Arial" w:hAnsi="Arial" w:cs="Arial"/>
                            <w:color w:val="000000"/>
                            <w:sz w:val="16"/>
                            <w:szCs w:val="16"/>
                          </w:rPr>
                          <w:t xml:space="preserve"> to a third party not controlled by government?</w:t>
                        </w:r>
                      </w:p>
                    </w:txbxContent>
                  </v:textbox>
                </v:roundrect>
                <v:shapetype id="_x0000_t32" coordsize="21600,21600" o:spt="32" o:oned="t" path="m,l21600,21600e" filled="f">
                  <v:path arrowok="t" fillok="f" o:connecttype="none"/>
                  <o:lock v:ext="edit" shapetype="t"/>
                </v:shapetype>
                <v:shape id="Straight Arrow Connector 7" o:spid="_x0000_s1063" type="#_x0000_t32" style="position:absolute;left:21261;top:6170;width:8;height:1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" strokecolor="black [3213]">
                  <v:stroke startarrowlength="short" endarrow="block"/>
                </v:shape>
                <w10:anchorlock/>
              </v:group>
            </w:pict>
          </mc:Fallback>
        </mc:AlternateContent>
      </w:r>
    </w:p>
    <w:p w14:paraId="4E5D1EC1" w14:textId="77777777" w:rsidR="00CC2F70" w:rsidRPr="00400793" w:rsidRDefault="00CC2F70" w:rsidP="00EE13CD">
      <w:pPr>
        <w:pStyle w:val="NoteNormal"/>
        <w:ind w:left="90" w:hanging="90"/>
      </w:pPr>
      <w:r w:rsidRPr="00400793">
        <w:t>* Recorded as an administered transaction and is treated as a transfer from the controlled accounts to the administered accounts.</w:t>
      </w:r>
    </w:p>
    <w:p w14:paraId="6571BDA2" w14:textId="77777777" w:rsidR="00CC2F70" w:rsidRDefault="00CC2F70" w:rsidP="005D7B86"/>
    <w:p w14:paraId="5784E2CA" w14:textId="77777777" w:rsidR="001C4299" w:rsidRDefault="001C4299" w:rsidP="005D7B86"/>
    <w:p w14:paraId="1FFD51A7" w14:textId="77777777" w:rsidR="00EE13CD" w:rsidRDefault="00EE13CD">
      <w:pPr>
        <w:spacing w:before="0" w:after="200"/>
      </w:pPr>
      <w:r>
        <w:br w:type="page"/>
      </w:r>
    </w:p>
    <w:p w14:paraId="54322738" w14:textId="77777777" w:rsidR="001C4299" w:rsidRDefault="001C4299" w:rsidP="001C4299">
      <w:r>
        <w:lastRenderedPageBreak/>
        <w:t xml:space="preserve">The following table may be used in determining the financial impact of the contribution of </w:t>
      </w:r>
      <w:r w:rsidRPr="006357DA">
        <w:t>non-financial assets</w:t>
      </w:r>
      <w:r>
        <w:t xml:space="preserve"> to third parties not controlled by government:</w:t>
      </w:r>
    </w:p>
    <w:tbl>
      <w:tblPr>
        <w:tblStyle w:val="DTFtexttable"/>
        <w:tblW w:w="9072" w:type="dxa"/>
        <w:tblLayout w:type="fixed"/>
        <w:tblLook w:val="01A0" w:firstRow="1" w:lastRow="0" w:firstColumn="1" w:lastColumn="1" w:noHBand="0" w:noVBand="0"/>
      </w:tblPr>
      <w:tblGrid>
        <w:gridCol w:w="2127"/>
        <w:gridCol w:w="2410"/>
        <w:gridCol w:w="2268"/>
        <w:gridCol w:w="2267"/>
      </w:tblGrid>
      <w:tr w:rsidR="001C4299" w:rsidRPr="00F43F9B" w14:paraId="2C883787" w14:textId="77777777" w:rsidTr="00091664">
        <w:trPr>
          <w:cnfStyle w:val="100000000000" w:firstRow="1" w:lastRow="0" w:firstColumn="0" w:lastColumn="0" w:oddVBand="0" w:evenVBand="0" w:oddHBand="0" w:evenHBand="0" w:firstRowFirstColumn="0" w:firstRowLastColumn="0" w:lastRowFirstColumn="0" w:lastRowLastColumn="0"/>
          <w:trHeight w:val="187"/>
        </w:trPr>
        <w:tc>
          <w:tcPr>
            <w:cnfStyle w:val="001000000100" w:firstRow="0" w:lastRow="0" w:firstColumn="1" w:lastColumn="0" w:oddVBand="0" w:evenVBand="0" w:oddHBand="0" w:evenHBand="0" w:firstRowFirstColumn="1" w:firstRowLastColumn="0" w:lastRowFirstColumn="0" w:lastRowLastColumn="0"/>
            <w:tcW w:w="2127" w:type="dxa"/>
            <w:vMerge w:val="restart"/>
          </w:tcPr>
          <w:p w14:paraId="231767FC" w14:textId="77777777" w:rsidR="001C4299" w:rsidRPr="00D513BE" w:rsidRDefault="001C4299" w:rsidP="00DF571E">
            <w:pPr>
              <w:pStyle w:val="Tableheader"/>
            </w:pPr>
            <w:r w:rsidRPr="00400793">
              <w:t>Transaction</w:t>
            </w:r>
          </w:p>
        </w:tc>
        <w:tc>
          <w:tcPr>
            <w:cnfStyle w:val="000100001000" w:firstRow="0" w:lastRow="0" w:firstColumn="0" w:lastColumn="1" w:oddVBand="0" w:evenVBand="0" w:oddHBand="0" w:evenHBand="0" w:firstRowFirstColumn="0" w:firstRowLastColumn="1" w:lastRowFirstColumn="0" w:lastRowLastColumn="0"/>
            <w:tcW w:w="6945" w:type="dxa"/>
            <w:gridSpan w:val="3"/>
            <w:tcBorders>
              <w:bottom w:val="single" w:sz="4" w:space="0" w:color="D9D9D6"/>
            </w:tcBorders>
          </w:tcPr>
          <w:p w14:paraId="53FD03D0" w14:textId="77777777" w:rsidR="001C4299" w:rsidRPr="00400793" w:rsidRDefault="001C4299" w:rsidP="00DF571E">
            <w:pPr>
              <w:pStyle w:val="Tableheader"/>
              <w:jc w:val="center"/>
              <w:rPr>
                <w:b w:val="0"/>
              </w:rPr>
            </w:pPr>
            <w:r w:rsidRPr="00400793">
              <w:t>Impact</w:t>
            </w:r>
          </w:p>
        </w:tc>
      </w:tr>
      <w:tr w:rsidR="001C4299" w:rsidRPr="00F43F9B" w14:paraId="63912CA6" w14:textId="77777777" w:rsidTr="00091664">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127" w:type="dxa"/>
            <w:vMerge/>
            <w:tcBorders>
              <w:bottom w:val="nil"/>
            </w:tcBorders>
          </w:tcPr>
          <w:p w14:paraId="00C6FE47" w14:textId="77777777" w:rsidR="001C4299" w:rsidRPr="00400793" w:rsidRDefault="001C4299" w:rsidP="00DF571E">
            <w:pPr>
              <w:jc w:val="center"/>
              <w:rPr>
                <w:b/>
              </w:rPr>
            </w:pP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D9D9D6"/>
              <w:bottom w:val="nil"/>
            </w:tcBorders>
            <w:shd w:val="clear" w:color="auto" w:fill="000000" w:themeFill="text1"/>
            <w:vAlign w:val="bottom"/>
          </w:tcPr>
          <w:p w14:paraId="6D15A12A" w14:textId="77777777" w:rsidR="001C4299" w:rsidRPr="00EB7415" w:rsidRDefault="001C4299" w:rsidP="00DF571E">
            <w:pPr>
              <w:pStyle w:val="Tableheader"/>
              <w:jc w:val="center"/>
              <w:rPr>
                <w:b/>
              </w:rPr>
            </w:pPr>
            <w:r w:rsidRPr="00EB7415">
              <w:rPr>
                <w:b/>
              </w:rPr>
              <w:t xml:space="preserve">Administering </w:t>
            </w:r>
            <w:r w:rsidR="00DF571E" w:rsidRPr="00EB7415">
              <w:rPr>
                <w:b/>
              </w:rPr>
              <w:t>department</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D9D9D6"/>
              <w:bottom w:val="nil"/>
            </w:tcBorders>
            <w:shd w:val="clear" w:color="auto" w:fill="000000" w:themeFill="text1"/>
            <w:vAlign w:val="bottom"/>
          </w:tcPr>
          <w:p w14:paraId="71D4AB03" w14:textId="77777777" w:rsidR="001C4299" w:rsidRPr="00400793" w:rsidRDefault="001C4299" w:rsidP="00DF571E">
            <w:pPr>
              <w:pStyle w:val="Tableheader"/>
              <w:jc w:val="center"/>
              <w:rPr>
                <w:b/>
              </w:rPr>
            </w:pPr>
            <w:r w:rsidRPr="00400793">
              <w:rPr>
                <w:b/>
              </w:rPr>
              <w:t xml:space="preserve">General </w:t>
            </w:r>
            <w:r w:rsidR="00EB7415">
              <w:rPr>
                <w:b/>
              </w:rPr>
              <w:br/>
            </w:r>
            <w:r w:rsidR="00DF571E" w:rsidRPr="00400793">
              <w:rPr>
                <w:b/>
              </w:rPr>
              <w:t>government sector</w:t>
            </w:r>
          </w:p>
        </w:tc>
        <w:tc>
          <w:tcPr>
            <w:cnfStyle w:val="000100000000" w:firstRow="0" w:lastRow="0" w:firstColumn="0" w:lastColumn="1" w:oddVBand="0" w:evenVBand="0" w:oddHBand="0" w:evenHBand="0" w:firstRowFirstColumn="0" w:firstRowLastColumn="0" w:lastRowFirstColumn="0" w:lastRowLastColumn="0"/>
            <w:tcW w:w="2267" w:type="dxa"/>
            <w:tcBorders>
              <w:top w:val="single" w:sz="4" w:space="0" w:color="D9D9D6"/>
              <w:bottom w:val="nil"/>
            </w:tcBorders>
            <w:shd w:val="clear" w:color="auto" w:fill="000000" w:themeFill="text1"/>
            <w:vAlign w:val="bottom"/>
          </w:tcPr>
          <w:p w14:paraId="06B186E8" w14:textId="77777777" w:rsidR="001C4299" w:rsidRPr="00400793" w:rsidRDefault="001C4299" w:rsidP="00DF571E">
            <w:pPr>
              <w:pStyle w:val="Tableheader"/>
              <w:jc w:val="center"/>
              <w:rPr>
                <w:b/>
              </w:rPr>
            </w:pPr>
            <w:r w:rsidRPr="00400793">
              <w:rPr>
                <w:b/>
              </w:rPr>
              <w:t xml:space="preserve">Public financial corporations and </w:t>
            </w:r>
            <w:r w:rsidR="00EB7415">
              <w:rPr>
                <w:b/>
              </w:rPr>
              <w:br/>
            </w:r>
            <w:r w:rsidRPr="00400793">
              <w:rPr>
                <w:b/>
              </w:rPr>
              <w:t>public non</w:t>
            </w:r>
            <w:r w:rsidR="00DF571E">
              <w:rPr>
                <w:b/>
              </w:rPr>
              <w:noBreakHyphen/>
            </w:r>
            <w:r w:rsidRPr="00400793">
              <w:rPr>
                <w:b/>
              </w:rPr>
              <w:t>financial corporations</w:t>
            </w:r>
          </w:p>
        </w:tc>
      </w:tr>
      <w:tr w:rsidR="001C4299" w:rsidRPr="00DF571E" w14:paraId="42B77A23" w14:textId="77777777" w:rsidTr="00B00C67">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nil"/>
            </w:tcBorders>
            <w:shd w:val="clear" w:color="auto" w:fill="D9D9D6"/>
          </w:tcPr>
          <w:p w14:paraId="536AC940" w14:textId="77777777" w:rsidR="001C4299" w:rsidRPr="00DF571E" w:rsidRDefault="001C4299" w:rsidP="00DF571E">
            <w:pPr>
              <w:pStyle w:val="Tabletext"/>
              <w:rPr>
                <w:b/>
              </w:rPr>
            </w:pPr>
            <w:r w:rsidRPr="00DF571E">
              <w:rPr>
                <w:b/>
              </w:rPr>
              <w:t>Transfers to the administering department (i.e. to government as owner)</w:t>
            </w:r>
          </w:p>
        </w:tc>
      </w:tr>
      <w:tr w:rsidR="001C4299" w:rsidRPr="00F43F9B" w14:paraId="06D5108D" w14:textId="77777777" w:rsidTr="00B00C6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14:paraId="13D55B0C" w14:textId="77777777" w:rsidR="001C4299" w:rsidRPr="00400793" w:rsidRDefault="001C4299" w:rsidP="00DF571E">
            <w:pPr>
              <w:pStyle w:val="Tabletext"/>
            </w:pPr>
            <w:r w:rsidRPr="00400793">
              <w:t xml:space="preserve">Non-financial asset is held by the department which </w:t>
            </w:r>
            <w:r w:rsidR="00763754">
              <w:t>shall</w:t>
            </w:r>
            <w:r w:rsidRPr="00400793">
              <w:t xml:space="preserve"> administer the contribution</w:t>
            </w:r>
          </w:p>
        </w:tc>
        <w:tc>
          <w:tcPr>
            <w:cnfStyle w:val="000010000000" w:firstRow="0" w:lastRow="0" w:firstColumn="0" w:lastColumn="0" w:oddVBand="1" w:evenVBand="0" w:oddHBand="0" w:evenHBand="0" w:firstRowFirstColumn="0" w:firstRowLastColumn="0" w:lastRowFirstColumn="0" w:lastRowLastColumn="0"/>
            <w:tcW w:w="2410" w:type="dxa"/>
            <w:tcBorders>
              <w:top w:val="nil"/>
              <w:bottom w:val="single" w:sz="4" w:space="0" w:color="auto"/>
            </w:tcBorders>
          </w:tcPr>
          <w:p w14:paraId="7B129606" w14:textId="1E0C753A" w:rsidR="001C4299" w:rsidRDefault="001C4299" w:rsidP="00DF571E">
            <w:pPr>
              <w:pStyle w:val="Tabletext"/>
              <w:rPr>
                <w:i/>
              </w:rPr>
            </w:pPr>
            <w:r w:rsidRPr="006A3F40">
              <w:t xml:space="preserve">Transfer back to government (from controlled to administered) is recognised as a contribution by owners in accordance with FRD </w:t>
            </w:r>
            <w:r w:rsidR="006A3F40" w:rsidRPr="006A3F40">
              <w:t xml:space="preserve"> 119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14:paraId="13126D00" w14:textId="77777777" w:rsidR="00DF571E" w:rsidRPr="004A1A66" w:rsidRDefault="00DF571E" w:rsidP="00DF571E">
            <w:pPr>
              <w:pStyle w:val="Spacer"/>
            </w:pPr>
          </w:p>
          <w:p w14:paraId="44EC668D" w14:textId="77777777" w:rsidR="001C4299" w:rsidRPr="00400793" w:rsidRDefault="001C4299" w:rsidP="00DF571E">
            <w:pPr>
              <w:pStyle w:val="Tabletext"/>
            </w:pPr>
            <w:r w:rsidRPr="00400793">
              <w:t xml:space="preserve">No </w:t>
            </w:r>
            <w:r w:rsidR="00EB258F" w:rsidRPr="00400793">
              <w:t>impact on the net result from transactions</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single" w:sz="4" w:space="0" w:color="auto"/>
            </w:tcBorders>
          </w:tcPr>
          <w:p w14:paraId="3C2708FD" w14:textId="77777777" w:rsidR="001C4299" w:rsidRPr="00400793" w:rsidRDefault="001C4299" w:rsidP="00DF571E">
            <w:pPr>
              <w:pStyle w:val="Tabletext"/>
            </w:pPr>
            <w:r w:rsidRPr="00400793">
              <w:t xml:space="preserve">The transaction does not impact on the </w:t>
            </w:r>
            <w:r w:rsidR="00EB258F" w:rsidRPr="00400793">
              <w:t>net result from transaction</w:t>
            </w:r>
            <w:r w:rsidRPr="00400793">
              <w:t>s of this sector of government</w:t>
            </w:r>
          </w:p>
        </w:tc>
        <w:tc>
          <w:tcPr>
            <w:cnfStyle w:val="000100000000" w:firstRow="0" w:lastRow="0" w:firstColumn="0" w:lastColumn="1" w:oddVBand="0" w:evenVBand="0" w:oddHBand="0" w:evenHBand="0" w:firstRowFirstColumn="0" w:firstRowLastColumn="0" w:lastRowFirstColumn="0" w:lastRowLastColumn="0"/>
            <w:tcW w:w="2267" w:type="dxa"/>
            <w:tcBorders>
              <w:top w:val="nil"/>
              <w:bottom w:val="single" w:sz="4" w:space="0" w:color="auto"/>
            </w:tcBorders>
          </w:tcPr>
          <w:p w14:paraId="40909C9D" w14:textId="77777777" w:rsidR="001C4299" w:rsidRPr="00400793" w:rsidRDefault="001C4299" w:rsidP="00DF571E">
            <w:pPr>
              <w:pStyle w:val="Tabletext"/>
            </w:pPr>
            <w:r w:rsidRPr="00400793">
              <w:t>The transaction does not involve this sector of government</w:t>
            </w:r>
          </w:p>
        </w:tc>
      </w:tr>
      <w:tr w:rsidR="001C4299" w:rsidRPr="00F43F9B" w14:paraId="56637503" w14:textId="77777777" w:rsidTr="00B00C67">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tcPr>
          <w:p w14:paraId="36E898B6" w14:textId="77777777" w:rsidR="001C4299" w:rsidRPr="00400793" w:rsidRDefault="001C4299" w:rsidP="00DF571E">
            <w:pPr>
              <w:pStyle w:val="Tabletext"/>
            </w:pPr>
            <w:r w:rsidRPr="00400793">
              <w:t>Non-financial asset is held by an entity within the general government sector and is returned to the administering department (i.e. to government as owner)</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auto"/>
              <w:bottom w:val="single" w:sz="4" w:space="0" w:color="auto"/>
            </w:tcBorders>
          </w:tcPr>
          <w:p w14:paraId="14374D65" w14:textId="5EF9EA91" w:rsidR="001C4299" w:rsidRPr="004A1A66" w:rsidRDefault="001C4299" w:rsidP="00DF571E">
            <w:pPr>
              <w:pStyle w:val="Tabletext"/>
              <w:rPr>
                <w:i/>
              </w:rPr>
            </w:pPr>
            <w:r w:rsidRPr="006A3F40">
              <w:t>Transfer to the administering department is recognised as a contribution b</w:t>
            </w:r>
            <w:r w:rsidR="00BF2FC6">
              <w:t>y owners in accordance with FRD</w:t>
            </w:r>
            <w:r w:rsidR="006A3F40" w:rsidRPr="006A3F40">
              <w:t xml:space="preserve"> 119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14:paraId="28A0D5EA" w14:textId="77777777" w:rsidR="001C4299" w:rsidRPr="00400793" w:rsidRDefault="001C4299" w:rsidP="00DF571E">
            <w:pPr>
              <w:pStyle w:val="Spacer"/>
            </w:pPr>
          </w:p>
          <w:p w14:paraId="3D3B2AA7" w14:textId="77777777" w:rsidR="001C4299" w:rsidRPr="00400793" w:rsidRDefault="001C4299" w:rsidP="00DF571E">
            <w:pPr>
              <w:pStyle w:val="Tabletext"/>
            </w:pPr>
            <w:r w:rsidRPr="00400793">
              <w:t xml:space="preserve">No impact on </w:t>
            </w:r>
            <w:r w:rsidR="00EB258F" w:rsidRPr="00400793">
              <w:t>the net result from transaction</w:t>
            </w:r>
            <w:r w:rsidRPr="00400793">
              <w:t>s</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bottom w:val="single" w:sz="4" w:space="0" w:color="auto"/>
            </w:tcBorders>
          </w:tcPr>
          <w:p w14:paraId="21E02ECC" w14:textId="77777777" w:rsidR="001C4299" w:rsidRPr="00400793" w:rsidRDefault="001C4299" w:rsidP="00DF571E">
            <w:pPr>
              <w:pStyle w:val="Tabletext"/>
            </w:pPr>
            <w:r w:rsidRPr="00400793">
              <w:t xml:space="preserve">The transaction does not impact on </w:t>
            </w:r>
            <w:r w:rsidR="00EB258F" w:rsidRPr="00400793">
              <w:t>the net result from transactions of this sector of government</w:t>
            </w:r>
          </w:p>
        </w:tc>
        <w:tc>
          <w:tcPr>
            <w:cnfStyle w:val="000100000000" w:firstRow="0" w:lastRow="0" w:firstColumn="0" w:lastColumn="1" w:oddVBand="0" w:evenVBand="0" w:oddHBand="0" w:evenHBand="0" w:firstRowFirstColumn="0" w:firstRowLastColumn="0" w:lastRowFirstColumn="0" w:lastRowLastColumn="0"/>
            <w:tcW w:w="2267" w:type="dxa"/>
            <w:tcBorders>
              <w:top w:val="single" w:sz="4" w:space="0" w:color="auto"/>
              <w:bottom w:val="single" w:sz="4" w:space="0" w:color="auto"/>
            </w:tcBorders>
          </w:tcPr>
          <w:p w14:paraId="307011B1" w14:textId="77777777" w:rsidR="001C4299" w:rsidRPr="00400793" w:rsidRDefault="001C4299" w:rsidP="00DF571E">
            <w:pPr>
              <w:pStyle w:val="Tabletext"/>
            </w:pPr>
            <w:r w:rsidRPr="00400793">
              <w:t>The transaction does not involve this sector of government</w:t>
            </w:r>
          </w:p>
        </w:tc>
      </w:tr>
      <w:tr w:rsidR="001C4299" w:rsidRPr="00F43F9B" w14:paraId="5347FE48" w14:textId="77777777" w:rsidTr="00B00C6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14:paraId="408CD965" w14:textId="77777777" w:rsidR="001C4299" w:rsidRPr="00400793" w:rsidRDefault="001C4299" w:rsidP="00DF571E">
            <w:pPr>
              <w:pStyle w:val="Tabletext"/>
            </w:pPr>
            <w:r w:rsidRPr="00400793">
              <w:t>Non-financial asset is held by a PFC or PNFC and is returned to the administering department (i.e. to government as owner)</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auto"/>
              <w:bottom w:val="nil"/>
            </w:tcBorders>
          </w:tcPr>
          <w:p w14:paraId="767CC158" w14:textId="34A894DE" w:rsidR="001C4299" w:rsidRPr="004A1A66" w:rsidRDefault="001C4299" w:rsidP="00DF571E">
            <w:pPr>
              <w:pStyle w:val="Tabletext"/>
              <w:rPr>
                <w:i/>
              </w:rPr>
            </w:pPr>
            <w:r w:rsidRPr="006A3F40">
              <w:t xml:space="preserve">Transfer to the administering department is recognised as a contribution by owners in accordance with FRD </w:t>
            </w:r>
            <w:r w:rsidR="006A3F40" w:rsidRPr="006A3F40">
              <w:t xml:space="preserve">119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14:paraId="2B123C04" w14:textId="77777777" w:rsidR="001C4299" w:rsidRPr="00400793" w:rsidRDefault="001C4299" w:rsidP="00DF571E">
            <w:pPr>
              <w:pStyle w:val="Spacer"/>
            </w:pPr>
          </w:p>
          <w:p w14:paraId="7595206B" w14:textId="77777777" w:rsidR="001C4299" w:rsidRPr="00400793" w:rsidRDefault="001C4299" w:rsidP="00DF571E">
            <w:pPr>
              <w:pStyle w:val="Tabletext"/>
            </w:pPr>
            <w:r w:rsidRPr="00400793">
              <w:t xml:space="preserve">No impact </w:t>
            </w:r>
            <w:r w:rsidR="00EB258F" w:rsidRPr="00400793">
              <w:t>on the net result from transactio</w:t>
            </w:r>
            <w:r w:rsidRPr="00400793">
              <w:t>ns</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bottom w:val="nil"/>
            </w:tcBorders>
          </w:tcPr>
          <w:p w14:paraId="7509A733" w14:textId="77777777" w:rsidR="001C4299" w:rsidRPr="00400793" w:rsidRDefault="001C4299" w:rsidP="00DF571E">
            <w:pPr>
              <w:pStyle w:val="Tabletext"/>
            </w:pPr>
            <w:r w:rsidRPr="00400793">
              <w:t>The transfer to the administering department results in a decrease in the investment in the other sector, and an increase in other assets</w:t>
            </w:r>
          </w:p>
        </w:tc>
        <w:tc>
          <w:tcPr>
            <w:cnfStyle w:val="000100000000" w:firstRow="0" w:lastRow="0" w:firstColumn="0" w:lastColumn="1" w:oddVBand="0" w:evenVBand="0" w:oddHBand="0" w:evenHBand="0" w:firstRowFirstColumn="0" w:firstRowLastColumn="0" w:lastRowFirstColumn="0" w:lastRowLastColumn="0"/>
            <w:tcW w:w="2267" w:type="dxa"/>
            <w:tcBorders>
              <w:top w:val="single" w:sz="4" w:space="0" w:color="auto"/>
              <w:bottom w:val="nil"/>
            </w:tcBorders>
          </w:tcPr>
          <w:p w14:paraId="0E6032F6" w14:textId="4263DA78" w:rsidR="001C4299" w:rsidRPr="004A1A66" w:rsidRDefault="001C4299" w:rsidP="00DF571E">
            <w:pPr>
              <w:pStyle w:val="Tabletext"/>
              <w:rPr>
                <w:i/>
                <w:iCs/>
              </w:rPr>
            </w:pPr>
            <w:r w:rsidRPr="006A3F40">
              <w:t xml:space="preserve">Transfer to the administering department is recognised as a contribution by owners in accordance with FRD </w:t>
            </w:r>
            <w:r w:rsidR="006A3F40" w:rsidRPr="006A3F40">
              <w:t xml:space="preserve">119 </w:t>
            </w:r>
            <w:r w:rsidR="006A3F40" w:rsidRPr="004A1A66">
              <w:rPr>
                <w:i/>
              </w:rPr>
              <w:t xml:space="preserve">Transfers through </w:t>
            </w:r>
            <w:r w:rsidR="000A7377">
              <w:rPr>
                <w:i/>
              </w:rPr>
              <w:t>c</w:t>
            </w:r>
            <w:r w:rsidR="006A3F40" w:rsidRPr="004A1A66">
              <w:rPr>
                <w:i/>
              </w:rPr>
              <w:t xml:space="preserve">ontributed </w:t>
            </w:r>
            <w:r w:rsidR="000A7377">
              <w:rPr>
                <w:i/>
              </w:rPr>
              <w:t>c</w:t>
            </w:r>
            <w:r w:rsidR="006A3F40" w:rsidRPr="004A1A66">
              <w:rPr>
                <w:i/>
              </w:rPr>
              <w:t>apital</w:t>
            </w:r>
          </w:p>
          <w:p w14:paraId="1B8FBC58" w14:textId="77777777" w:rsidR="001C4299" w:rsidRPr="00400793" w:rsidRDefault="001C4299" w:rsidP="00DF571E">
            <w:pPr>
              <w:pStyle w:val="Spacer"/>
            </w:pPr>
          </w:p>
          <w:p w14:paraId="74393F8D" w14:textId="77777777" w:rsidR="001C4299" w:rsidRPr="00400793" w:rsidRDefault="001C4299" w:rsidP="00DF571E">
            <w:pPr>
              <w:pStyle w:val="Tabletext"/>
            </w:pPr>
            <w:r w:rsidRPr="00400793">
              <w:t xml:space="preserve">No impact </w:t>
            </w:r>
            <w:r w:rsidR="00EB258F" w:rsidRPr="00400793">
              <w:t>on the net result from transactions</w:t>
            </w:r>
          </w:p>
        </w:tc>
      </w:tr>
      <w:tr w:rsidR="001C4299" w:rsidRPr="00DF571E" w14:paraId="006C744C" w14:textId="77777777" w:rsidTr="00DF571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072" w:type="dxa"/>
            <w:gridSpan w:val="4"/>
            <w:tcBorders>
              <w:bottom w:val="nil"/>
            </w:tcBorders>
            <w:shd w:val="clear" w:color="auto" w:fill="D9D9D6"/>
          </w:tcPr>
          <w:p w14:paraId="0BF2E5F4" w14:textId="77777777" w:rsidR="001C4299" w:rsidRPr="00DF571E" w:rsidRDefault="001C4299" w:rsidP="00DF571E">
            <w:pPr>
              <w:pStyle w:val="Tabletext"/>
              <w:rPr>
                <w:b/>
              </w:rPr>
            </w:pPr>
            <w:r w:rsidRPr="00DF571E">
              <w:rPr>
                <w:b/>
              </w:rPr>
              <w:t>Contributions</w:t>
            </w:r>
          </w:p>
        </w:tc>
      </w:tr>
      <w:tr w:rsidR="001C4299" w:rsidRPr="00F43F9B" w14:paraId="7B06F4A5" w14:textId="77777777" w:rsidTr="00DF571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127" w:type="dxa"/>
            <w:tcBorders>
              <w:top w:val="nil"/>
            </w:tcBorders>
          </w:tcPr>
          <w:p w14:paraId="5BB632FE" w14:textId="77777777" w:rsidR="001C4299" w:rsidRPr="00400793" w:rsidRDefault="001C4299" w:rsidP="00DF571E">
            <w:pPr>
              <w:pStyle w:val="Tabletext"/>
            </w:pPr>
            <w:r w:rsidRPr="00400793">
              <w:t xml:space="preserve">The administering department (i.e. government) contributes the non-financial asset to a third party not consolidated into the </w:t>
            </w:r>
            <w:r w:rsidRPr="00400793">
              <w:rPr>
                <w:i/>
                <w:iCs/>
              </w:rPr>
              <w:t>Financial Report for the State of Victoria</w:t>
            </w:r>
          </w:p>
        </w:tc>
        <w:tc>
          <w:tcPr>
            <w:cnfStyle w:val="000010000000" w:firstRow="0" w:lastRow="0" w:firstColumn="0" w:lastColumn="0" w:oddVBand="1" w:evenVBand="0" w:oddHBand="0" w:evenHBand="0" w:firstRowFirstColumn="0" w:firstRowLastColumn="0" w:lastRowFirstColumn="0" w:lastRowLastColumn="0"/>
            <w:tcW w:w="2410" w:type="dxa"/>
            <w:tcBorders>
              <w:top w:val="nil"/>
            </w:tcBorders>
          </w:tcPr>
          <w:p w14:paraId="77CF1AA1" w14:textId="77777777" w:rsidR="001C4299" w:rsidRPr="00400793" w:rsidRDefault="001C4299" w:rsidP="00DF571E">
            <w:pPr>
              <w:pStyle w:val="Tabletext"/>
            </w:pPr>
            <w:r w:rsidRPr="00400793">
              <w:t>Treated as an administered expense of the administering department</w:t>
            </w:r>
          </w:p>
        </w:tc>
        <w:tc>
          <w:tcPr>
            <w:cnfStyle w:val="000001000000" w:firstRow="0" w:lastRow="0" w:firstColumn="0" w:lastColumn="0" w:oddVBand="0" w:evenVBand="1" w:oddHBand="0" w:evenHBand="0" w:firstRowFirstColumn="0" w:firstRowLastColumn="0" w:lastRowFirstColumn="0" w:lastRowLastColumn="0"/>
            <w:tcW w:w="2268" w:type="dxa"/>
            <w:tcBorders>
              <w:top w:val="nil"/>
            </w:tcBorders>
          </w:tcPr>
          <w:p w14:paraId="5F3D8E6B" w14:textId="77777777" w:rsidR="001C4299" w:rsidRPr="00400793" w:rsidRDefault="001C4299" w:rsidP="00DF571E">
            <w:pPr>
              <w:pStyle w:val="Tabletext"/>
            </w:pPr>
            <w:r w:rsidRPr="00400793">
              <w:t xml:space="preserve">Treated as an expense of </w:t>
            </w:r>
            <w:r w:rsidR="00EB258F" w:rsidRPr="00400793">
              <w:t xml:space="preserve">the general government sector </w:t>
            </w:r>
          </w:p>
          <w:p w14:paraId="578D897E" w14:textId="77777777" w:rsidR="001C4299" w:rsidRPr="00400793" w:rsidRDefault="001C4299" w:rsidP="00DF571E">
            <w:pPr>
              <w:pStyle w:val="Spacer"/>
            </w:pPr>
          </w:p>
          <w:p w14:paraId="6BE092D1" w14:textId="77777777" w:rsidR="001C4299" w:rsidRPr="00400793" w:rsidRDefault="001C4299" w:rsidP="00DF571E">
            <w:pPr>
              <w:pStyle w:val="Tabletext"/>
            </w:pPr>
            <w:r w:rsidRPr="00400793">
              <w:t xml:space="preserve">Impacts on </w:t>
            </w:r>
            <w:r w:rsidR="00EB258F" w:rsidRPr="00400793">
              <w:t>the net result from transa</w:t>
            </w:r>
            <w:r w:rsidRPr="00400793">
              <w:t>ctions (administered)</w:t>
            </w:r>
          </w:p>
        </w:tc>
        <w:tc>
          <w:tcPr>
            <w:cnfStyle w:val="000100000000" w:firstRow="0" w:lastRow="0" w:firstColumn="0" w:lastColumn="1" w:oddVBand="0" w:evenVBand="0" w:oddHBand="0" w:evenHBand="0" w:firstRowFirstColumn="0" w:firstRowLastColumn="0" w:lastRowFirstColumn="0" w:lastRowLastColumn="0"/>
            <w:tcW w:w="2267" w:type="dxa"/>
            <w:tcBorders>
              <w:top w:val="nil"/>
            </w:tcBorders>
          </w:tcPr>
          <w:p w14:paraId="216D5948" w14:textId="77777777" w:rsidR="001C4299" w:rsidRPr="00400793" w:rsidRDefault="001C4299" w:rsidP="00DF571E">
            <w:pPr>
              <w:pStyle w:val="Tabletext"/>
            </w:pPr>
            <w:r w:rsidRPr="00400793">
              <w:t>The transaction does not impact this sector of government</w:t>
            </w:r>
          </w:p>
        </w:tc>
      </w:tr>
    </w:tbl>
    <w:p w14:paraId="54E467CF" w14:textId="77777777" w:rsidR="001C4299" w:rsidRDefault="001C4299" w:rsidP="001C4299"/>
    <w:p w14:paraId="596F526E" w14:textId="77777777" w:rsidR="001C4299" w:rsidRPr="00C67777" w:rsidRDefault="001C4299" w:rsidP="005D7B86"/>
    <w:sectPr w:rsidR="001C4299" w:rsidRPr="00C67777" w:rsidSect="005C120F">
      <w:footerReference w:type="default" r:id="rId9"/>
      <w:headerReference w:type="first" r:id="rId10"/>
      <w:footerReference w:type="first" r:id="rId11"/>
      <w:pgSz w:w="11906" w:h="16838" w:code="9"/>
      <w:pgMar w:top="1800" w:right="1440" w:bottom="1354" w:left="1440" w:header="44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67A7" w14:textId="77777777" w:rsidR="00FC753A" w:rsidRDefault="00FC753A" w:rsidP="00493B55">
      <w:pPr>
        <w:spacing w:before="0" w:after="0"/>
      </w:pPr>
      <w:r>
        <w:separator/>
      </w:r>
    </w:p>
  </w:endnote>
  <w:endnote w:type="continuationSeparator" w:id="0">
    <w:p w14:paraId="70B08C1A" w14:textId="77777777" w:rsidR="00FC753A" w:rsidRDefault="00FC753A"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7B28" w14:textId="63CEEA97" w:rsidR="005C120F" w:rsidRDefault="000053DB" w:rsidP="005C120F">
    <w:pPr>
      <w:pStyle w:val="Spacer"/>
    </w:pPr>
    <w:r>
      <w:rPr>
        <w:noProof/>
      </w:rPr>
      <mc:AlternateContent>
        <mc:Choice Requires="wps">
          <w:drawing>
            <wp:anchor distT="0" distB="0" distL="114300" distR="114300" simplePos="0" relativeHeight="251656192" behindDoc="0" locked="0" layoutInCell="0" allowOverlap="1" wp14:anchorId="140A8DB5" wp14:editId="4AC6C155">
              <wp:simplePos x="0" y="0"/>
              <wp:positionH relativeFrom="page">
                <wp:posOffset>0</wp:posOffset>
              </wp:positionH>
              <wp:positionV relativeFrom="page">
                <wp:posOffset>10227945</wp:posOffset>
              </wp:positionV>
              <wp:extent cx="7560310" cy="273050"/>
              <wp:effectExtent l="0" t="0" r="0" b="12700"/>
              <wp:wrapNone/>
              <wp:docPr id="2" name="MSIPCM5d2f4134889691899a63ac9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0B5751" w14:textId="1E9606F2" w:rsidR="000053DB" w:rsidRPr="000053DB" w:rsidRDefault="000053DB" w:rsidP="000053DB">
                          <w:pPr>
                            <w:spacing w:before="0" w:after="0"/>
                            <w:rPr>
                              <w:rFonts w:ascii="Calibri" w:hAnsi="Calibri" w:cs="Calibri"/>
                              <w:color w:val="000000"/>
                              <w:sz w:val="22"/>
                            </w:rPr>
                          </w:pPr>
                          <w:r w:rsidRPr="000053D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0A8DB5" id="_x0000_t202" coordsize="21600,21600" o:spt="202" path="m,l,21600r21600,l21600,xe">
              <v:stroke joinstyle="miter"/>
              <v:path gradientshapeok="t" o:connecttype="rect"/>
            </v:shapetype>
            <v:shape id="MSIPCM5d2f4134889691899a63ac9b" o:spid="_x0000_s1064" type="#_x0000_t202" alt="{&quot;HashCode&quot;:-1267603503,&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LQf8ay2AgAA&#10;SAUAAA4AAAAAAAAAAAAAAAAALgIAAGRycy9lMm9Eb2MueG1sUEsBAi0AFAAGAAgAAAAhAHx2COHf&#10;AAAACwEAAA8AAAAAAAAAAAAAAAAAEAUAAGRycy9kb3ducmV2LnhtbFBLBQYAAAAABAAEAPMAAAAc&#10;BgAAAAA=&#10;" o:allowincell="f" filled="f" stroked="f" strokeweight=".5pt">
              <v:textbox inset="20pt,0,,0">
                <w:txbxContent>
                  <w:p w14:paraId="0F0B5751" w14:textId="1E9606F2" w:rsidR="000053DB" w:rsidRPr="000053DB" w:rsidRDefault="000053DB" w:rsidP="000053DB">
                    <w:pPr>
                      <w:spacing w:before="0" w:after="0"/>
                      <w:rPr>
                        <w:rFonts w:ascii="Calibri" w:hAnsi="Calibri" w:cs="Calibri"/>
                        <w:color w:val="000000"/>
                        <w:sz w:val="22"/>
                      </w:rPr>
                    </w:pPr>
                    <w:r w:rsidRPr="000053DB">
                      <w:rPr>
                        <w:rFonts w:ascii="Calibri" w:hAnsi="Calibri" w:cs="Calibri"/>
                        <w:color w:val="000000"/>
                        <w:sz w:val="22"/>
                      </w:rPr>
                      <w:t>OFFICIAL</w:t>
                    </w:r>
                  </w:p>
                </w:txbxContent>
              </v:textbox>
              <w10:wrap anchorx="page" anchory="page"/>
            </v:shape>
          </w:pict>
        </mc:Fallback>
      </mc:AlternateContent>
    </w:r>
  </w:p>
  <w:p w14:paraId="19C26E1F" w14:textId="54AB74DC" w:rsidR="005C120F" w:rsidRPr="005828FE" w:rsidRDefault="005C120F" w:rsidP="005C120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6111EF">
      <w:rPr>
        <w:b/>
      </w:rPr>
      <w:t>FRD 117</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6111EF">
      <w:t>Contributions of existing non-financial assets to third parties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107E87">
      <w:rPr>
        <w:rStyle w:val="PageNumber"/>
      </w:rPr>
      <w:t>2</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88E8" w14:textId="4BBA478B" w:rsidR="005C120F" w:rsidRDefault="000053DB" w:rsidP="005C120F">
    <w:pPr>
      <w:pStyle w:val="Spacer"/>
    </w:pPr>
    <w:r>
      <w:rPr>
        <w:noProof/>
      </w:rPr>
      <mc:AlternateContent>
        <mc:Choice Requires="wps">
          <w:drawing>
            <wp:anchor distT="0" distB="0" distL="114300" distR="114300" simplePos="0" relativeHeight="251659264" behindDoc="0" locked="0" layoutInCell="0" allowOverlap="1" wp14:anchorId="44578F70" wp14:editId="59C4C40F">
              <wp:simplePos x="0" y="0"/>
              <wp:positionH relativeFrom="page">
                <wp:posOffset>0</wp:posOffset>
              </wp:positionH>
              <wp:positionV relativeFrom="page">
                <wp:posOffset>10227945</wp:posOffset>
              </wp:positionV>
              <wp:extent cx="7560310" cy="273050"/>
              <wp:effectExtent l="0" t="0" r="0" b="12700"/>
              <wp:wrapNone/>
              <wp:docPr id="3" name="MSIPCM3d734770ad1036f4c380c51f"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62483" w14:textId="77FFDE6F" w:rsidR="000053DB" w:rsidRPr="000053DB" w:rsidRDefault="000053DB" w:rsidP="000053DB">
                          <w:pPr>
                            <w:spacing w:before="0" w:after="0"/>
                            <w:rPr>
                              <w:rFonts w:ascii="Calibri" w:hAnsi="Calibri" w:cs="Calibri"/>
                              <w:color w:val="000000"/>
                              <w:sz w:val="22"/>
                            </w:rPr>
                          </w:pPr>
                          <w:r w:rsidRPr="000053D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578F70" id="_x0000_t202" coordsize="21600,21600" o:spt="202" path="m,l,21600r21600,l21600,xe">
              <v:stroke joinstyle="miter"/>
              <v:path gradientshapeok="t" o:connecttype="rect"/>
            </v:shapetype>
            <v:shape id="MSIPCM3d734770ad1036f4c380c51f" o:spid="_x0000_s1065" type="#_x0000_t202" alt="{&quot;HashCode&quot;:-1267603503,&quot;Height&quot;:841.0,&quot;Width&quot;:595.0,&quot;Placement&quot;:&quot;Footer&quot;,&quot;Index&quot;:&quot;FirstPage&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RIFcBtAIAAFEF&#10;AAAOAAAAAAAAAAAAAAAAAC4CAABkcnMvZTJvRG9jLnhtbFBLAQItABQABgAIAAAAIQB8dgjh3wAA&#10;AAsBAAAPAAAAAAAAAAAAAAAAAA4FAABkcnMvZG93bnJldi54bWxQSwUGAAAAAAQABADzAAAAGgYA&#10;AAAA&#10;" o:allowincell="f" filled="f" stroked="f" strokeweight=".5pt">
              <v:textbox inset="20pt,0,,0">
                <w:txbxContent>
                  <w:p w14:paraId="59E62483" w14:textId="77FFDE6F" w:rsidR="000053DB" w:rsidRPr="000053DB" w:rsidRDefault="000053DB" w:rsidP="000053DB">
                    <w:pPr>
                      <w:spacing w:before="0" w:after="0"/>
                      <w:rPr>
                        <w:rFonts w:ascii="Calibri" w:hAnsi="Calibri" w:cs="Calibri"/>
                        <w:color w:val="000000"/>
                        <w:sz w:val="22"/>
                      </w:rPr>
                    </w:pPr>
                    <w:r w:rsidRPr="000053DB">
                      <w:rPr>
                        <w:rFonts w:ascii="Calibri" w:hAnsi="Calibri" w:cs="Calibri"/>
                        <w:color w:val="000000"/>
                        <w:sz w:val="22"/>
                      </w:rPr>
                      <w:t>OFFICIAL</w:t>
                    </w:r>
                  </w:p>
                </w:txbxContent>
              </v:textbox>
              <w10:wrap anchorx="page" anchory="page"/>
            </v:shape>
          </w:pict>
        </mc:Fallback>
      </mc:AlternateContent>
    </w:r>
  </w:p>
  <w:p w14:paraId="64D0F87C" w14:textId="56DC1645" w:rsidR="005C120F" w:rsidRPr="005828FE" w:rsidRDefault="005C120F" w:rsidP="005C120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6111EF">
      <w:rPr>
        <w:b/>
      </w:rPr>
      <w:t>FRD 117</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6111EF">
      <w:t>Contributions of existing non-financial assets to third parties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107E87">
      <w:rPr>
        <w:rStyle w:val="PageNumber"/>
      </w:rPr>
      <w:t>1</w:t>
    </w:r>
    <w:r w:rsidRPr="005828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9481" w14:textId="77777777" w:rsidR="00FC753A" w:rsidRDefault="00FC753A" w:rsidP="00493B55">
      <w:pPr>
        <w:spacing w:before="0" w:after="0"/>
      </w:pPr>
      <w:r>
        <w:separator/>
      </w:r>
    </w:p>
  </w:footnote>
  <w:footnote w:type="continuationSeparator" w:id="0">
    <w:p w14:paraId="6D4C1DDB" w14:textId="77777777" w:rsidR="00FC753A" w:rsidRDefault="00FC753A"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944F" w14:textId="77777777" w:rsidR="00360A72" w:rsidRDefault="0009286E" w:rsidP="0009286E">
    <w:pPr>
      <w:pStyle w:val="Header"/>
      <w:jc w:val="right"/>
    </w:pPr>
    <w:r>
      <w:rPr>
        <w:noProof/>
      </w:rPr>
      <w:drawing>
        <wp:inline distT="0" distB="0" distL="0" distR="0" wp14:anchorId="2A6BD693" wp14:editId="061398E0">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6EF"/>
    <w:multiLevelType w:val="hybridMultilevel"/>
    <w:tmpl w:val="53DC9432"/>
    <w:lvl w:ilvl="0" w:tplc="776CD9C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E2F15"/>
    <w:multiLevelType w:val="hybridMultilevel"/>
    <w:tmpl w:val="3E88787C"/>
    <w:lvl w:ilvl="0" w:tplc="C9B47C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 w15:restartNumberingAfterBreak="0">
    <w:nsid w:val="18522E09"/>
    <w:multiLevelType w:val="hybridMultilevel"/>
    <w:tmpl w:val="347E1D24"/>
    <w:lvl w:ilvl="0" w:tplc="EB48B3BE">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F33317"/>
    <w:multiLevelType w:val="hybridMultilevel"/>
    <w:tmpl w:val="24425B1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047BE"/>
    <w:multiLevelType w:val="hybridMultilevel"/>
    <w:tmpl w:val="8B108482"/>
    <w:lvl w:ilvl="0" w:tplc="A9466156">
      <w:start w:val="1"/>
      <w:numFmt w:val="lowerLetter"/>
      <w:lvlText w:val="(%1)"/>
      <w:lvlJc w:val="left"/>
      <w:pPr>
        <w:tabs>
          <w:tab w:val="num" w:pos="567"/>
        </w:tabs>
        <w:ind w:left="567" w:hanging="567"/>
      </w:pPr>
      <w:rPr>
        <w:rFonts w:hint="default"/>
        <w:b w:val="0"/>
        <w:i w:val="0"/>
      </w:rPr>
    </w:lvl>
    <w:lvl w:ilvl="1" w:tplc="0C965854">
      <w:start w:val="1"/>
      <w:numFmt w:val="lowerRoman"/>
      <w:lvlText w:val="%2."/>
      <w:lvlJc w:val="righ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D75D54"/>
    <w:multiLevelType w:val="hybridMultilevel"/>
    <w:tmpl w:val="5EB4B510"/>
    <w:lvl w:ilvl="0" w:tplc="AE708F2C">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433829"/>
    <w:multiLevelType w:val="hybridMultilevel"/>
    <w:tmpl w:val="67F0DEB2"/>
    <w:lvl w:ilvl="0" w:tplc="DC206C14">
      <w:start w:val="2"/>
      <w:numFmt w:val="lowerLetter"/>
      <w:lvlText w:val="%1)"/>
      <w:lvlJc w:val="left"/>
      <w:pPr>
        <w:ind w:left="518" w:hanging="360"/>
      </w:pPr>
      <w:rPr>
        <w:rFonts w:hint="default"/>
      </w:rPr>
    </w:lvl>
    <w:lvl w:ilvl="1" w:tplc="0C090019">
      <w:start w:val="1"/>
      <w:numFmt w:val="lowerLetter"/>
      <w:lvlText w:val="%2."/>
      <w:lvlJc w:val="left"/>
      <w:pPr>
        <w:ind w:left="878" w:hanging="360"/>
      </w:pPr>
    </w:lvl>
    <w:lvl w:ilvl="2" w:tplc="0C09001B" w:tentative="1">
      <w:start w:val="1"/>
      <w:numFmt w:val="lowerRoman"/>
      <w:lvlText w:val="%3."/>
      <w:lvlJc w:val="right"/>
      <w:pPr>
        <w:ind w:left="1598" w:hanging="180"/>
      </w:pPr>
    </w:lvl>
    <w:lvl w:ilvl="3" w:tplc="0C09000F" w:tentative="1">
      <w:start w:val="1"/>
      <w:numFmt w:val="decimal"/>
      <w:lvlText w:val="%4."/>
      <w:lvlJc w:val="left"/>
      <w:pPr>
        <w:ind w:left="2318" w:hanging="360"/>
      </w:pPr>
    </w:lvl>
    <w:lvl w:ilvl="4" w:tplc="0C090019" w:tentative="1">
      <w:start w:val="1"/>
      <w:numFmt w:val="lowerLetter"/>
      <w:lvlText w:val="%5."/>
      <w:lvlJc w:val="left"/>
      <w:pPr>
        <w:ind w:left="3038" w:hanging="360"/>
      </w:pPr>
    </w:lvl>
    <w:lvl w:ilvl="5" w:tplc="0C09001B" w:tentative="1">
      <w:start w:val="1"/>
      <w:numFmt w:val="lowerRoman"/>
      <w:lvlText w:val="%6."/>
      <w:lvlJc w:val="right"/>
      <w:pPr>
        <w:ind w:left="3758" w:hanging="180"/>
      </w:pPr>
    </w:lvl>
    <w:lvl w:ilvl="6" w:tplc="0C09000F" w:tentative="1">
      <w:start w:val="1"/>
      <w:numFmt w:val="decimal"/>
      <w:lvlText w:val="%7."/>
      <w:lvlJc w:val="left"/>
      <w:pPr>
        <w:ind w:left="4478" w:hanging="360"/>
      </w:pPr>
    </w:lvl>
    <w:lvl w:ilvl="7" w:tplc="0C090019" w:tentative="1">
      <w:start w:val="1"/>
      <w:numFmt w:val="lowerLetter"/>
      <w:lvlText w:val="%8."/>
      <w:lvlJc w:val="left"/>
      <w:pPr>
        <w:ind w:left="5198" w:hanging="360"/>
      </w:pPr>
    </w:lvl>
    <w:lvl w:ilvl="8" w:tplc="0C09001B" w:tentative="1">
      <w:start w:val="1"/>
      <w:numFmt w:val="lowerRoman"/>
      <w:lvlText w:val="%9."/>
      <w:lvlJc w:val="right"/>
      <w:pPr>
        <w:ind w:left="5918" w:hanging="180"/>
      </w:pPr>
    </w:lvl>
  </w:abstractNum>
  <w:abstractNum w:abstractNumId="15" w15:restartNumberingAfterBreak="0">
    <w:nsid w:val="592B198C"/>
    <w:multiLevelType w:val="hybridMultilevel"/>
    <w:tmpl w:val="0F048978"/>
    <w:lvl w:ilvl="0" w:tplc="9F7A7474">
      <w:start w:val="1"/>
      <w:numFmt w:val="bullet"/>
      <w:lvlText w:val=""/>
      <w:lvlJc w:val="left"/>
      <w:pPr>
        <w:ind w:left="284" w:hanging="284"/>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C550F8"/>
    <w:multiLevelType w:val="multilevel"/>
    <w:tmpl w:val="6AEA3172"/>
    <w:lvl w:ilvl="0">
      <w:start w:val="1"/>
      <w:numFmt w:val="lowerLetter"/>
      <w:pStyle w:val="List1"/>
      <w:lvlText w:val="(%1)"/>
      <w:lvlJc w:val="left"/>
      <w:pPr>
        <w:ind w:left="360" w:hanging="360"/>
      </w:pPr>
      <w:rPr>
        <w:rFonts w:hint="default"/>
      </w:rPr>
    </w:lvl>
    <w:lvl w:ilvl="1">
      <w:start w:val="1"/>
      <w:numFmt w:val="lowerLetter"/>
      <w:pStyle w:val="List2"/>
      <w:lvlText w:val="%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9"/>
      <w:numFmt w:val="lowerLetter"/>
      <w:pStyle w:val="List3"/>
      <w:lvlText w:val="%3)"/>
      <w:lvlJc w:val="left"/>
      <w:pPr>
        <w:ind w:left="801" w:hanging="360"/>
      </w:pPr>
      <w:rPr>
        <w:rFonts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auto"/>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6C0124D7"/>
    <w:multiLevelType w:val="multilevel"/>
    <w:tmpl w:val="C930AE54"/>
    <w:lvl w:ilvl="0">
      <w:start w:val="1"/>
      <w:numFmt w:val="decimal"/>
      <w:pStyle w:val="Refnum1"/>
      <w:suff w:val="nothing"/>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F46032A"/>
    <w:multiLevelType w:val="hybridMultilevel"/>
    <w:tmpl w:val="369C701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FD44514"/>
    <w:multiLevelType w:val="multilevel"/>
    <w:tmpl w:val="1F68226C"/>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12"/>
  </w:num>
  <w:num w:numId="3">
    <w:abstractNumId w:val="19"/>
  </w:num>
  <w:num w:numId="4">
    <w:abstractNumId w:val="9"/>
  </w:num>
  <w:num w:numId="5">
    <w:abstractNumId w:val="2"/>
  </w:num>
  <w:num w:numId="6">
    <w:abstractNumId w:val="16"/>
  </w:num>
  <w:num w:numId="7">
    <w:abstractNumId w:val="5"/>
  </w:num>
  <w:num w:numId="8">
    <w:abstractNumId w:val="3"/>
  </w:num>
  <w:num w:numId="9">
    <w:abstractNumId w:val="0"/>
  </w:num>
  <w:num w:numId="10">
    <w:abstractNumId w:val="10"/>
  </w:num>
  <w:num w:numId="11">
    <w:abstractNumId w:val="13"/>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4"/>
  </w:num>
  <w:num w:numId="17">
    <w:abstractNumId w:val="7"/>
  </w:num>
  <w:num w:numId="18">
    <w:abstractNumId w:val="18"/>
  </w:num>
  <w:num w:numId="19">
    <w:abstractNumId w:val="16"/>
  </w:num>
  <w:num w:numId="20">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6"/>
  </w:num>
  <w:num w:numId="27">
    <w:abstractNumId w:val="17"/>
  </w:num>
  <w:num w:numId="28">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17"/>
  </w:num>
  <w:num w:numId="31">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E1E"/>
    <w:rsid w:val="0000060C"/>
    <w:rsid w:val="00000C66"/>
    <w:rsid w:val="000053DB"/>
    <w:rsid w:val="00012378"/>
    <w:rsid w:val="000311D7"/>
    <w:rsid w:val="00056E1E"/>
    <w:rsid w:val="00070D77"/>
    <w:rsid w:val="000803F4"/>
    <w:rsid w:val="0008044B"/>
    <w:rsid w:val="00082936"/>
    <w:rsid w:val="00083CF0"/>
    <w:rsid w:val="00087CA2"/>
    <w:rsid w:val="00091664"/>
    <w:rsid w:val="0009286E"/>
    <w:rsid w:val="000969C7"/>
    <w:rsid w:val="000A7060"/>
    <w:rsid w:val="000A7377"/>
    <w:rsid w:val="000B2B10"/>
    <w:rsid w:val="000C367E"/>
    <w:rsid w:val="000F0AF5"/>
    <w:rsid w:val="000F7EC2"/>
    <w:rsid w:val="00100510"/>
    <w:rsid w:val="00107E87"/>
    <w:rsid w:val="0011157C"/>
    <w:rsid w:val="001123F6"/>
    <w:rsid w:val="001508A8"/>
    <w:rsid w:val="00151BE3"/>
    <w:rsid w:val="00166FCE"/>
    <w:rsid w:val="00174CA7"/>
    <w:rsid w:val="00180A32"/>
    <w:rsid w:val="001C3355"/>
    <w:rsid w:val="001C3880"/>
    <w:rsid w:val="001C4299"/>
    <w:rsid w:val="001D240B"/>
    <w:rsid w:val="00216CF0"/>
    <w:rsid w:val="00227B74"/>
    <w:rsid w:val="0023035C"/>
    <w:rsid w:val="00231A10"/>
    <w:rsid w:val="002346BF"/>
    <w:rsid w:val="00291805"/>
    <w:rsid w:val="002C01DC"/>
    <w:rsid w:val="002E0B0A"/>
    <w:rsid w:val="002E0CDF"/>
    <w:rsid w:val="003275FB"/>
    <w:rsid w:val="0033172B"/>
    <w:rsid w:val="00347E2E"/>
    <w:rsid w:val="0035318B"/>
    <w:rsid w:val="00355FA3"/>
    <w:rsid w:val="00356805"/>
    <w:rsid w:val="00360A72"/>
    <w:rsid w:val="00367642"/>
    <w:rsid w:val="00376C4B"/>
    <w:rsid w:val="0037796E"/>
    <w:rsid w:val="003902BF"/>
    <w:rsid w:val="00394EBF"/>
    <w:rsid w:val="003A3FB2"/>
    <w:rsid w:val="003B0F23"/>
    <w:rsid w:val="003F3FA4"/>
    <w:rsid w:val="00402D09"/>
    <w:rsid w:val="00413CA0"/>
    <w:rsid w:val="004317C8"/>
    <w:rsid w:val="004471E3"/>
    <w:rsid w:val="00457EBB"/>
    <w:rsid w:val="004670C0"/>
    <w:rsid w:val="0048169D"/>
    <w:rsid w:val="00485BD7"/>
    <w:rsid w:val="00493B55"/>
    <w:rsid w:val="004A0696"/>
    <w:rsid w:val="004A1A66"/>
    <w:rsid w:val="004C52A6"/>
    <w:rsid w:val="004D34D8"/>
    <w:rsid w:val="004D5F60"/>
    <w:rsid w:val="005114A9"/>
    <w:rsid w:val="00511C05"/>
    <w:rsid w:val="00526CC5"/>
    <w:rsid w:val="00526D2B"/>
    <w:rsid w:val="00537AE5"/>
    <w:rsid w:val="00544D36"/>
    <w:rsid w:val="00547C68"/>
    <w:rsid w:val="00553871"/>
    <w:rsid w:val="00570A3B"/>
    <w:rsid w:val="00582435"/>
    <w:rsid w:val="005C120F"/>
    <w:rsid w:val="005D7B86"/>
    <w:rsid w:val="005E149B"/>
    <w:rsid w:val="005E1D1C"/>
    <w:rsid w:val="005F09DB"/>
    <w:rsid w:val="005F473E"/>
    <w:rsid w:val="006107B1"/>
    <w:rsid w:val="006111EF"/>
    <w:rsid w:val="00620FD9"/>
    <w:rsid w:val="006216B3"/>
    <w:rsid w:val="006306B9"/>
    <w:rsid w:val="00645860"/>
    <w:rsid w:val="00660953"/>
    <w:rsid w:val="006634F3"/>
    <w:rsid w:val="006A3F40"/>
    <w:rsid w:val="006E1C4E"/>
    <w:rsid w:val="006E4C27"/>
    <w:rsid w:val="006F4790"/>
    <w:rsid w:val="00721A11"/>
    <w:rsid w:val="00734837"/>
    <w:rsid w:val="00763754"/>
    <w:rsid w:val="00765193"/>
    <w:rsid w:val="007C57C4"/>
    <w:rsid w:val="007C7552"/>
    <w:rsid w:val="007E7274"/>
    <w:rsid w:val="00810B92"/>
    <w:rsid w:val="00824B5E"/>
    <w:rsid w:val="00831179"/>
    <w:rsid w:val="008359C0"/>
    <w:rsid w:val="00845688"/>
    <w:rsid w:val="00845FB0"/>
    <w:rsid w:val="00873D5D"/>
    <w:rsid w:val="008A5F70"/>
    <w:rsid w:val="008C7872"/>
    <w:rsid w:val="008D0268"/>
    <w:rsid w:val="008D4575"/>
    <w:rsid w:val="008E00B0"/>
    <w:rsid w:val="008E4FBF"/>
    <w:rsid w:val="00900144"/>
    <w:rsid w:val="00933D94"/>
    <w:rsid w:val="00961351"/>
    <w:rsid w:val="00984ECF"/>
    <w:rsid w:val="0099345F"/>
    <w:rsid w:val="009B02A5"/>
    <w:rsid w:val="009B2A46"/>
    <w:rsid w:val="009C0E03"/>
    <w:rsid w:val="009C1B95"/>
    <w:rsid w:val="009C6BCB"/>
    <w:rsid w:val="009F2188"/>
    <w:rsid w:val="009F6F02"/>
    <w:rsid w:val="00A02A3B"/>
    <w:rsid w:val="00A224D1"/>
    <w:rsid w:val="00A22DC1"/>
    <w:rsid w:val="00A33C5A"/>
    <w:rsid w:val="00A37946"/>
    <w:rsid w:val="00A418CB"/>
    <w:rsid w:val="00A47D72"/>
    <w:rsid w:val="00A62777"/>
    <w:rsid w:val="00A6470C"/>
    <w:rsid w:val="00A743AA"/>
    <w:rsid w:val="00AC4CE3"/>
    <w:rsid w:val="00AF334A"/>
    <w:rsid w:val="00B00C67"/>
    <w:rsid w:val="00B17502"/>
    <w:rsid w:val="00B17DBB"/>
    <w:rsid w:val="00B27E72"/>
    <w:rsid w:val="00B36867"/>
    <w:rsid w:val="00B73329"/>
    <w:rsid w:val="00B91B3B"/>
    <w:rsid w:val="00B944D1"/>
    <w:rsid w:val="00BA43D8"/>
    <w:rsid w:val="00BA555D"/>
    <w:rsid w:val="00BC4C86"/>
    <w:rsid w:val="00BE20E1"/>
    <w:rsid w:val="00BF110C"/>
    <w:rsid w:val="00BF2FC6"/>
    <w:rsid w:val="00C15329"/>
    <w:rsid w:val="00C20267"/>
    <w:rsid w:val="00C341EF"/>
    <w:rsid w:val="00C67777"/>
    <w:rsid w:val="00C7198A"/>
    <w:rsid w:val="00C75B34"/>
    <w:rsid w:val="00C94EFF"/>
    <w:rsid w:val="00CC2F70"/>
    <w:rsid w:val="00CD1A5D"/>
    <w:rsid w:val="00CD4276"/>
    <w:rsid w:val="00D13103"/>
    <w:rsid w:val="00D427A7"/>
    <w:rsid w:val="00D513BE"/>
    <w:rsid w:val="00D71FE7"/>
    <w:rsid w:val="00D74F30"/>
    <w:rsid w:val="00DA6C8A"/>
    <w:rsid w:val="00DB47F7"/>
    <w:rsid w:val="00DC5B25"/>
    <w:rsid w:val="00DC7675"/>
    <w:rsid w:val="00DE7462"/>
    <w:rsid w:val="00DE789E"/>
    <w:rsid w:val="00DF0650"/>
    <w:rsid w:val="00DF0E38"/>
    <w:rsid w:val="00DF571E"/>
    <w:rsid w:val="00E01E9F"/>
    <w:rsid w:val="00E26F68"/>
    <w:rsid w:val="00E26F92"/>
    <w:rsid w:val="00E33E7F"/>
    <w:rsid w:val="00E44354"/>
    <w:rsid w:val="00E44A41"/>
    <w:rsid w:val="00E5610D"/>
    <w:rsid w:val="00E71ED4"/>
    <w:rsid w:val="00E926DB"/>
    <w:rsid w:val="00E92A9F"/>
    <w:rsid w:val="00EA17F7"/>
    <w:rsid w:val="00EA18BA"/>
    <w:rsid w:val="00EB258F"/>
    <w:rsid w:val="00EB7415"/>
    <w:rsid w:val="00EC3E3F"/>
    <w:rsid w:val="00EC59F5"/>
    <w:rsid w:val="00EE0CD6"/>
    <w:rsid w:val="00EE13CD"/>
    <w:rsid w:val="00EE4082"/>
    <w:rsid w:val="00F06E38"/>
    <w:rsid w:val="00F345FD"/>
    <w:rsid w:val="00F70A5D"/>
    <w:rsid w:val="00F74FA7"/>
    <w:rsid w:val="00F8558A"/>
    <w:rsid w:val="00F87F66"/>
    <w:rsid w:val="00F9168E"/>
    <w:rsid w:val="00FB174D"/>
    <w:rsid w:val="00FC739A"/>
    <w:rsid w:val="00FC753A"/>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29362"/>
  <w15:docId w15:val="{AD59ED8C-D397-4AF8-9D24-64ED3B91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iPriority="2"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8A"/>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E44354"/>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E4435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4435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E44354"/>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354"/>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E44354"/>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E44354"/>
    <w:pPr>
      <w:spacing w:before="0" w:after="0" w:line="120" w:lineRule="atLeast"/>
    </w:pPr>
    <w:rPr>
      <w:rFonts w:eastAsia="Times New Roman" w:cs="Calibri"/>
      <w:spacing w:val="0"/>
      <w:sz w:val="10"/>
      <w:szCs w:val="22"/>
    </w:rPr>
  </w:style>
  <w:style w:type="paragraph" w:customStyle="1" w:styleId="million">
    <w:name w:val="$million"/>
    <w:basedOn w:val="Normal"/>
    <w:uiPriority w:val="5"/>
    <w:semiHidden/>
    <w:rsid w:val="00B27E72"/>
    <w:pPr>
      <w:jc w:val="center"/>
    </w:pPr>
    <w:rPr>
      <w:i/>
      <w:sz w:val="18"/>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semiHidden/>
    <w:rsid w:val="00F8558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E44354"/>
    <w:pPr>
      <w:numPr>
        <w:numId w:val="2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E44354"/>
    <w:pPr>
      <w:numPr>
        <w:ilvl w:val="1"/>
      </w:numPr>
      <w:spacing w:before="0"/>
    </w:pPr>
  </w:style>
  <w:style w:type="paragraph" w:customStyle="1" w:styleId="Bullet3">
    <w:name w:val="Bullet 3"/>
    <w:basedOn w:val="Normal"/>
    <w:uiPriority w:val="2"/>
    <w:unhideWhenUsed/>
    <w:qFormat/>
    <w:rsid w:val="00A743AA"/>
    <w:pPr>
      <w:numPr>
        <w:ilvl w:val="2"/>
        <w:numId w:val="2"/>
      </w:numPr>
    </w:pPr>
  </w:style>
  <w:style w:type="table" w:styleId="TableGrid">
    <w:name w:val="Table Grid"/>
    <w:basedOn w:val="TableNormal"/>
    <w:uiPriority w:val="59"/>
    <w:rsid w:val="00E44354"/>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E44354"/>
    <w:pPr>
      <w:numPr>
        <w:numId w:val="30"/>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E44354"/>
    <w:pPr>
      <w:numPr>
        <w:ilvl w:val="2"/>
      </w:numPr>
    </w:pPr>
    <w:rPr>
      <w:color w:val="auto"/>
    </w:rPr>
  </w:style>
  <w:style w:type="paragraph" w:customStyle="1" w:styleId="List1">
    <w:name w:val="List 1"/>
    <w:basedOn w:val="Normal"/>
    <w:uiPriority w:val="2"/>
    <w:semiHidden/>
    <w:qFormat/>
    <w:rsid w:val="00485BD7"/>
    <w:pPr>
      <w:numPr>
        <w:numId w:val="6"/>
      </w:numPr>
    </w:pPr>
  </w:style>
  <w:style w:type="paragraph" w:styleId="List2">
    <w:name w:val="List 2"/>
    <w:basedOn w:val="List1"/>
    <w:uiPriority w:val="2"/>
    <w:semiHidden/>
    <w:rsid w:val="00485BD7"/>
    <w:pPr>
      <w:numPr>
        <w:ilvl w:val="1"/>
      </w:numPr>
    </w:pPr>
  </w:style>
  <w:style w:type="paragraph" w:styleId="Header">
    <w:name w:val="header"/>
    <w:basedOn w:val="Normal"/>
    <w:link w:val="HeaderChar"/>
    <w:uiPriority w:val="99"/>
    <w:semiHidden/>
    <w:rsid w:val="00E44354"/>
    <w:pPr>
      <w:tabs>
        <w:tab w:val="center" w:pos="4513"/>
        <w:tab w:val="right" w:pos="9026"/>
      </w:tabs>
      <w:spacing w:after="0" w:line="240" w:lineRule="auto"/>
    </w:pPr>
  </w:style>
  <w:style w:type="paragraph" w:customStyle="1" w:styleId="Tabletext">
    <w:name w:val="Table text"/>
    <w:basedOn w:val="Normal"/>
    <w:uiPriority w:val="9"/>
    <w:qFormat/>
    <w:rsid w:val="00E44354"/>
    <w:pPr>
      <w:spacing w:before="60" w:after="60" w:line="264" w:lineRule="auto"/>
    </w:pPr>
    <w:rPr>
      <w:sz w:val="17"/>
    </w:rPr>
  </w:style>
  <w:style w:type="paragraph" w:customStyle="1" w:styleId="FRDHeader">
    <w:name w:val="FRD Header"/>
    <w:basedOn w:val="Normal"/>
    <w:semiHidden/>
    <w:rsid w:val="00E44354"/>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E44354"/>
    <w:rPr>
      <w:rFonts w:eastAsiaTheme="minorEastAsia"/>
      <w:spacing w:val="2"/>
      <w:sz w:val="20"/>
      <w:szCs w:val="20"/>
      <w:lang w:eastAsia="en-AU"/>
    </w:rPr>
  </w:style>
  <w:style w:type="paragraph" w:customStyle="1" w:styleId="FRDNumber">
    <w:name w:val="FRD Number"/>
    <w:basedOn w:val="FRDHeader"/>
    <w:semiHidden/>
    <w:rsid w:val="00E44354"/>
  </w:style>
  <w:style w:type="paragraph" w:customStyle="1" w:styleId="Normalgrey">
    <w:name w:val="Normal grey"/>
    <w:basedOn w:val="Normal"/>
    <w:uiPriority w:val="2"/>
    <w:unhideWhenUsed/>
    <w:qFormat/>
    <w:rsid w:val="00E44354"/>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E44354"/>
    <w:pPr>
      <w:spacing w:line="252" w:lineRule="auto"/>
      <w:ind w:left="792"/>
    </w:pPr>
  </w:style>
  <w:style w:type="paragraph" w:customStyle="1" w:styleId="Bullet1grey">
    <w:name w:val="Bullet 1 grey"/>
    <w:basedOn w:val="Bullet1"/>
    <w:uiPriority w:val="3"/>
    <w:unhideWhenUsed/>
    <w:qFormat/>
    <w:rsid w:val="00E44354"/>
    <w:rPr>
      <w:color w:val="4D4D4D"/>
      <w:sz w:val="18"/>
      <w:szCs w:val="18"/>
      <w:lang w:eastAsia="en-US"/>
    </w:rPr>
  </w:style>
  <w:style w:type="paragraph" w:customStyle="1" w:styleId="Bullet2grey">
    <w:name w:val="Bullet 2 grey"/>
    <w:basedOn w:val="Bullet2"/>
    <w:uiPriority w:val="3"/>
    <w:qFormat/>
    <w:rsid w:val="00E44354"/>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semiHidden/>
    <w:rsid w:val="00A6470C"/>
    <w:pPr>
      <w:numPr>
        <w:ilvl w:val="2"/>
      </w:numPr>
      <w:ind w:left="518"/>
    </w:pPr>
  </w:style>
  <w:style w:type="paragraph" w:styleId="Footer">
    <w:name w:val="footer"/>
    <w:basedOn w:val="Normal"/>
    <w:link w:val="FooterChar"/>
    <w:uiPriority w:val="24"/>
    <w:rsid w:val="00E44354"/>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44354"/>
    <w:rPr>
      <w:rFonts w:eastAsiaTheme="minorEastAsia"/>
      <w:noProof/>
      <w:spacing w:val="2"/>
      <w:sz w:val="18"/>
      <w:szCs w:val="18"/>
      <w:lang w:eastAsia="en-AU"/>
    </w:rPr>
  </w:style>
  <w:style w:type="paragraph" w:styleId="BalloonText">
    <w:name w:val="Balloon Text"/>
    <w:basedOn w:val="Normal"/>
    <w:link w:val="BalloonTextChar"/>
    <w:uiPriority w:val="99"/>
    <w:semiHidden/>
    <w:rsid w:val="00E4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54"/>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0969C7"/>
    <w:pPr>
      <w:ind w:left="288"/>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styleId="CommentReference">
    <w:name w:val="annotation reference"/>
    <w:basedOn w:val="DefaultParagraphFont"/>
    <w:uiPriority w:val="99"/>
    <w:semiHidden/>
    <w:rsid w:val="00367642"/>
    <w:rPr>
      <w:sz w:val="16"/>
      <w:szCs w:val="16"/>
    </w:rPr>
  </w:style>
  <w:style w:type="paragraph" w:styleId="CommentText">
    <w:name w:val="annotation text"/>
    <w:basedOn w:val="Normal"/>
    <w:link w:val="CommentTextChar"/>
    <w:uiPriority w:val="99"/>
    <w:semiHidden/>
    <w:rsid w:val="00367642"/>
  </w:style>
  <w:style w:type="character" w:customStyle="1" w:styleId="CommentTextChar">
    <w:name w:val="Comment Text Char"/>
    <w:basedOn w:val="DefaultParagraphFont"/>
    <w:link w:val="CommentText"/>
    <w:uiPriority w:val="99"/>
    <w:semiHidden/>
    <w:rsid w:val="00367642"/>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367642"/>
    <w:rPr>
      <w:b/>
      <w:bCs/>
    </w:rPr>
  </w:style>
  <w:style w:type="character" w:customStyle="1" w:styleId="CommentSubjectChar">
    <w:name w:val="Comment Subject Char"/>
    <w:basedOn w:val="CommentTextChar"/>
    <w:link w:val="CommentSubject"/>
    <w:uiPriority w:val="99"/>
    <w:semiHidden/>
    <w:rsid w:val="00367642"/>
    <w:rPr>
      <w:rFonts w:ascii="Calibri" w:eastAsia="Calibri" w:hAnsi="Calibri" w:cs="Times New Roman"/>
      <w:b/>
      <w:bCs/>
      <w:color w:val="000000" w:themeColor="text1"/>
      <w:sz w:val="20"/>
      <w:szCs w:val="20"/>
    </w:rPr>
  </w:style>
  <w:style w:type="paragraph" w:styleId="BodyTextIndent3">
    <w:name w:val="Body Text Indent 3"/>
    <w:basedOn w:val="Normal"/>
    <w:link w:val="BodyTextIndent3Char"/>
    <w:semiHidden/>
    <w:rsid w:val="00C75B34"/>
    <w:pPr>
      <w:spacing w:before="0" w:after="240" w:line="240" w:lineRule="atLeast"/>
      <w:ind w:left="851" w:hanging="851"/>
      <w:jc w:val="both"/>
    </w:pPr>
    <w:rPr>
      <w:rFonts w:ascii="Times New Roman" w:eastAsia="Times New Roman" w:hAnsi="Times New Roman"/>
      <w:lang w:val="x-none"/>
    </w:rPr>
  </w:style>
  <w:style w:type="character" w:customStyle="1" w:styleId="BodyTextIndent3Char">
    <w:name w:val="Body Text Indent 3 Char"/>
    <w:basedOn w:val="DefaultParagraphFont"/>
    <w:link w:val="BodyTextIndent3"/>
    <w:semiHidden/>
    <w:rsid w:val="00F8558A"/>
    <w:rPr>
      <w:rFonts w:ascii="Times New Roman" w:eastAsia="Times New Roman" w:hAnsi="Times New Roman"/>
      <w:spacing w:val="2"/>
      <w:sz w:val="20"/>
      <w:szCs w:val="20"/>
      <w:lang w:val="x-none" w:eastAsia="en-AU"/>
    </w:rPr>
  </w:style>
  <w:style w:type="paragraph" w:customStyle="1" w:styleId="Normalbold">
    <w:name w:val="Normal bold"/>
    <w:basedOn w:val="Normal"/>
    <w:qFormat/>
    <w:rsid w:val="00E44354"/>
    <w:pPr>
      <w:spacing w:line="264" w:lineRule="auto"/>
    </w:pPr>
    <w:rPr>
      <w:rFonts w:eastAsiaTheme="minorHAnsi"/>
      <w:b/>
      <w:sz w:val="18"/>
      <w:szCs w:val="18"/>
      <w:lang w:eastAsia="en-US"/>
    </w:rPr>
  </w:style>
  <w:style w:type="character" w:customStyle="1" w:styleId="Heading4Char">
    <w:name w:val="Heading 4 Char"/>
    <w:basedOn w:val="DefaultParagraphFont"/>
    <w:link w:val="Heading4"/>
    <w:semiHidden/>
    <w:rsid w:val="00E44354"/>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E44354"/>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E44354"/>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44354"/>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44354"/>
    <w:pPr>
      <w:tabs>
        <w:tab w:val="right" w:leader="dot" w:pos="9000"/>
      </w:tabs>
      <w:ind w:right="432"/>
    </w:pPr>
    <w:rPr>
      <w:sz w:val="24"/>
      <w:szCs w:val="24"/>
    </w:rPr>
  </w:style>
  <w:style w:type="paragraph" w:styleId="TOC2">
    <w:name w:val="toc 2"/>
    <w:next w:val="Normal"/>
    <w:uiPriority w:val="39"/>
    <w:rsid w:val="00E44354"/>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E44354"/>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44354"/>
    <w:pPr>
      <w:spacing w:after="60" w:line="240" w:lineRule="auto"/>
    </w:pPr>
    <w:rPr>
      <w:sz w:val="16"/>
    </w:rPr>
  </w:style>
  <w:style w:type="paragraph" w:styleId="Index2">
    <w:name w:val="index 2"/>
    <w:basedOn w:val="Normal"/>
    <w:next w:val="Normal"/>
    <w:uiPriority w:val="99"/>
    <w:semiHidden/>
    <w:rsid w:val="00E44354"/>
    <w:pPr>
      <w:spacing w:after="0" w:line="240" w:lineRule="auto"/>
      <w:ind w:left="216"/>
    </w:pPr>
    <w:rPr>
      <w:sz w:val="16"/>
      <w:szCs w:val="16"/>
    </w:rPr>
  </w:style>
  <w:style w:type="character" w:styleId="Hyperlink">
    <w:name w:val="Hyperlink"/>
    <w:basedOn w:val="DefaultParagraphFont"/>
    <w:uiPriority w:val="99"/>
    <w:rsid w:val="00A62777"/>
    <w:rPr>
      <w:color w:val="53565A"/>
      <w:u w:val="none"/>
    </w:rPr>
  </w:style>
  <w:style w:type="paragraph" w:customStyle="1" w:styleId="Bulletindent">
    <w:name w:val="Bullet indent"/>
    <w:basedOn w:val="Bullet2"/>
    <w:uiPriority w:val="7"/>
    <w:qFormat/>
    <w:rsid w:val="00E44354"/>
    <w:pPr>
      <w:numPr>
        <w:ilvl w:val="2"/>
      </w:numPr>
    </w:pPr>
  </w:style>
  <w:style w:type="paragraph" w:customStyle="1" w:styleId="Heading1numbered">
    <w:name w:val="Heading 1 numbered"/>
    <w:basedOn w:val="Heading1"/>
    <w:next w:val="NormalIndent"/>
    <w:uiPriority w:val="4"/>
    <w:semiHidden/>
    <w:qFormat/>
    <w:rsid w:val="00E44354"/>
    <w:pPr>
      <w:numPr>
        <w:ilvl w:val="2"/>
        <w:numId w:val="25"/>
      </w:numPr>
    </w:pPr>
  </w:style>
  <w:style w:type="paragraph" w:customStyle="1" w:styleId="Heading2numbered">
    <w:name w:val="Heading 2 numbered"/>
    <w:basedOn w:val="Heading2"/>
    <w:next w:val="NormalIndent"/>
    <w:uiPriority w:val="4"/>
    <w:semiHidden/>
    <w:qFormat/>
    <w:rsid w:val="00E44354"/>
    <w:pPr>
      <w:numPr>
        <w:ilvl w:val="3"/>
        <w:numId w:val="25"/>
      </w:numPr>
    </w:pPr>
  </w:style>
  <w:style w:type="paragraph" w:customStyle="1" w:styleId="Heading3numbered">
    <w:name w:val="Heading 3 numbered"/>
    <w:basedOn w:val="Heading3"/>
    <w:next w:val="NormalIndent"/>
    <w:uiPriority w:val="4"/>
    <w:semiHidden/>
    <w:qFormat/>
    <w:rsid w:val="00E44354"/>
    <w:pPr>
      <w:numPr>
        <w:ilvl w:val="4"/>
        <w:numId w:val="25"/>
      </w:numPr>
    </w:pPr>
  </w:style>
  <w:style w:type="paragraph" w:customStyle="1" w:styleId="Heading4numbered">
    <w:name w:val="Heading 4 numbered"/>
    <w:basedOn w:val="Heading4"/>
    <w:next w:val="NormalIndent"/>
    <w:uiPriority w:val="4"/>
    <w:semiHidden/>
    <w:qFormat/>
    <w:rsid w:val="00E44354"/>
    <w:pPr>
      <w:numPr>
        <w:ilvl w:val="5"/>
        <w:numId w:val="25"/>
      </w:numPr>
    </w:pPr>
  </w:style>
  <w:style w:type="paragraph" w:customStyle="1" w:styleId="NoteNormal">
    <w:name w:val="Note Normal"/>
    <w:basedOn w:val="Normal"/>
    <w:uiPriority w:val="49"/>
    <w:rsid w:val="00E4435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E44354"/>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E44354"/>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E44354"/>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E44354"/>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E44354"/>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E44354"/>
    <w:pPr>
      <w:numPr>
        <w:ilvl w:val="3"/>
        <w:numId w:val="24"/>
      </w:numPr>
      <w:spacing w:before="100"/>
      <w:contextualSpacing/>
    </w:pPr>
  </w:style>
  <w:style w:type="paragraph" w:styleId="IndexHeading">
    <w:name w:val="index heading"/>
    <w:basedOn w:val="Normal"/>
    <w:next w:val="Index1"/>
    <w:uiPriority w:val="99"/>
    <w:semiHidden/>
    <w:rsid w:val="00E44354"/>
    <w:rPr>
      <w:rFonts w:asciiTheme="majorHAnsi" w:eastAsiaTheme="majorEastAsia" w:hAnsiTheme="majorHAnsi" w:cstheme="majorBidi"/>
      <w:b/>
      <w:bCs/>
    </w:rPr>
  </w:style>
  <w:style w:type="character" w:styleId="PageNumber">
    <w:name w:val="page number"/>
    <w:uiPriority w:val="49"/>
    <w:semiHidden/>
    <w:rsid w:val="00E44354"/>
    <w:rPr>
      <w:b w:val="0"/>
      <w:color w:val="000000" w:themeColor="text1"/>
    </w:rPr>
  </w:style>
  <w:style w:type="paragraph" w:styleId="TOCHeading">
    <w:name w:val="TOC Heading"/>
    <w:basedOn w:val="Heading1"/>
    <w:next w:val="Normal"/>
    <w:uiPriority w:val="39"/>
    <w:semiHidden/>
    <w:rsid w:val="00E44354"/>
    <w:pPr>
      <w:spacing w:before="480" w:after="720"/>
      <w:outlineLvl w:val="9"/>
    </w:pPr>
    <w:rPr>
      <w:spacing w:val="2"/>
    </w:rPr>
  </w:style>
  <w:style w:type="paragraph" w:customStyle="1" w:styleId="NormalTight">
    <w:name w:val="Normal Tight"/>
    <w:uiPriority w:val="99"/>
    <w:semiHidden/>
    <w:rsid w:val="00E44354"/>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E4435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44354"/>
    <w:rPr>
      <w:rFonts w:ascii="Calibri" w:eastAsia="Times New Roman" w:hAnsi="Calibri" w:cs="Calibri"/>
      <w:lang w:eastAsia="en-AU"/>
    </w:rPr>
  </w:style>
  <w:style w:type="paragraph" w:customStyle="1" w:styleId="Insidecoverspacer">
    <w:name w:val="Inside cover spacer"/>
    <w:basedOn w:val="NormalTight"/>
    <w:uiPriority w:val="99"/>
    <w:semiHidden/>
    <w:qFormat/>
    <w:rsid w:val="00E44354"/>
    <w:pPr>
      <w:spacing w:before="5800"/>
      <w:ind w:right="1382"/>
    </w:pPr>
  </w:style>
  <w:style w:type="paragraph" w:styleId="TOC4">
    <w:name w:val="toc 4"/>
    <w:basedOn w:val="TOC1"/>
    <w:next w:val="Normal"/>
    <w:uiPriority w:val="39"/>
    <w:semiHidden/>
    <w:rsid w:val="00E44354"/>
    <w:pPr>
      <w:ind w:left="450" w:hanging="450"/>
    </w:pPr>
    <w:rPr>
      <w:noProof/>
      <w:lang w:eastAsia="en-US"/>
    </w:rPr>
  </w:style>
  <w:style w:type="paragraph" w:styleId="TOC5">
    <w:name w:val="toc 5"/>
    <w:basedOn w:val="TOC2"/>
    <w:next w:val="Normal"/>
    <w:uiPriority w:val="39"/>
    <w:semiHidden/>
    <w:rsid w:val="00E44354"/>
    <w:pPr>
      <w:ind w:left="1080" w:hanging="634"/>
    </w:pPr>
    <w:rPr>
      <w:lang w:eastAsia="en-US"/>
    </w:rPr>
  </w:style>
  <w:style w:type="paragraph" w:styleId="TOC6">
    <w:name w:val="toc 6"/>
    <w:basedOn w:val="TOC3"/>
    <w:next w:val="Normal"/>
    <w:uiPriority w:val="39"/>
    <w:semiHidden/>
    <w:rsid w:val="00E44354"/>
    <w:pPr>
      <w:ind w:left="1800" w:hanging="720"/>
    </w:pPr>
    <w:rPr>
      <w:lang w:eastAsia="en-US"/>
    </w:rPr>
  </w:style>
  <w:style w:type="table" w:customStyle="1" w:styleId="DTFtexttable">
    <w:name w:val="DTF text table"/>
    <w:basedOn w:val="TableGrid"/>
    <w:uiPriority w:val="99"/>
    <w:rsid w:val="00E4435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4435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E44354"/>
    <w:pPr>
      <w:jc w:val="right"/>
    </w:pPr>
  </w:style>
  <w:style w:type="paragraph" w:customStyle="1" w:styleId="Listnumindent2">
    <w:name w:val="List num indent 2"/>
    <w:basedOn w:val="Normal"/>
    <w:uiPriority w:val="7"/>
    <w:qFormat/>
    <w:rsid w:val="00E44354"/>
    <w:pPr>
      <w:numPr>
        <w:ilvl w:val="7"/>
        <w:numId w:val="25"/>
      </w:numPr>
      <w:spacing w:before="100"/>
      <w:contextualSpacing/>
    </w:pPr>
  </w:style>
  <w:style w:type="paragraph" w:customStyle="1" w:styleId="Listnumindent">
    <w:name w:val="List num indent"/>
    <w:basedOn w:val="Normal"/>
    <w:uiPriority w:val="7"/>
    <w:qFormat/>
    <w:rsid w:val="00E44354"/>
    <w:pPr>
      <w:numPr>
        <w:ilvl w:val="6"/>
        <w:numId w:val="25"/>
      </w:numPr>
      <w:spacing w:before="100"/>
    </w:pPr>
  </w:style>
  <w:style w:type="paragraph" w:customStyle="1" w:styleId="Listnum">
    <w:name w:val="List num"/>
    <w:basedOn w:val="Normal"/>
    <w:uiPriority w:val="1"/>
    <w:qFormat/>
    <w:rsid w:val="00E44354"/>
    <w:pPr>
      <w:numPr>
        <w:numId w:val="25"/>
      </w:numPr>
      <w:contextualSpacing/>
    </w:pPr>
    <w:rPr>
      <w:sz w:val="18"/>
    </w:rPr>
  </w:style>
  <w:style w:type="paragraph" w:customStyle="1" w:styleId="Listnum2">
    <w:name w:val="List num 2"/>
    <w:basedOn w:val="Normal"/>
    <w:uiPriority w:val="1"/>
    <w:qFormat/>
    <w:rsid w:val="00E44354"/>
    <w:pPr>
      <w:numPr>
        <w:ilvl w:val="1"/>
        <w:numId w:val="25"/>
      </w:numPr>
      <w:contextualSpacing/>
    </w:pPr>
    <w:rPr>
      <w:sz w:val="18"/>
    </w:rPr>
  </w:style>
  <w:style w:type="paragraph" w:customStyle="1" w:styleId="Tabletextcentred">
    <w:name w:val="Table text centred"/>
    <w:basedOn w:val="Tabletext"/>
    <w:uiPriority w:val="8"/>
    <w:qFormat/>
    <w:rsid w:val="00E44354"/>
    <w:pPr>
      <w:jc w:val="center"/>
    </w:pPr>
  </w:style>
  <w:style w:type="paragraph" w:customStyle="1" w:styleId="Tableheader">
    <w:name w:val="Table header"/>
    <w:basedOn w:val="Tabletext"/>
    <w:uiPriority w:val="8"/>
    <w:qFormat/>
    <w:rsid w:val="00EB7415"/>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E44354"/>
    <w:pPr>
      <w:numPr>
        <w:numId w:val="26"/>
      </w:numPr>
    </w:pPr>
  </w:style>
  <w:style w:type="paragraph" w:customStyle="1" w:styleId="Tabledash">
    <w:name w:val="Table dash"/>
    <w:basedOn w:val="Tablebullet"/>
    <w:uiPriority w:val="9"/>
    <w:rsid w:val="00E44354"/>
    <w:pPr>
      <w:numPr>
        <w:ilvl w:val="1"/>
      </w:numPr>
    </w:pPr>
  </w:style>
  <w:style w:type="paragraph" w:customStyle="1" w:styleId="Tabletextindent">
    <w:name w:val="Table text indent"/>
    <w:basedOn w:val="Tabletext"/>
    <w:uiPriority w:val="8"/>
    <w:qFormat/>
    <w:rsid w:val="00E44354"/>
    <w:pPr>
      <w:ind w:left="288"/>
    </w:pPr>
  </w:style>
  <w:style w:type="paragraph" w:customStyle="1" w:styleId="Listnumgrey">
    <w:name w:val="List num grey"/>
    <w:basedOn w:val="Listnum"/>
    <w:uiPriority w:val="3"/>
    <w:qFormat/>
    <w:rsid w:val="00E44354"/>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E44354"/>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E44354"/>
    <w:rPr>
      <w:color w:val="F2F2F2" w:themeColor="background1" w:themeShade="F2"/>
    </w:rPr>
  </w:style>
  <w:style w:type="paragraph" w:customStyle="1" w:styleId="Refnum2grey">
    <w:name w:val="Ref num 2 grey"/>
    <w:basedOn w:val="Normal"/>
    <w:rsid w:val="00E44354"/>
    <w:pPr>
      <w:numPr>
        <w:ilvl w:val="1"/>
        <w:numId w:val="30"/>
      </w:numPr>
    </w:pPr>
  </w:style>
  <w:style w:type="paragraph" w:customStyle="1" w:styleId="Normalgreybold">
    <w:name w:val="Normal grey bold"/>
    <w:basedOn w:val="Normalgrey"/>
    <w:qFormat/>
    <w:rsid w:val="00E44354"/>
    <w:rPr>
      <w:b/>
    </w:rPr>
  </w:style>
  <w:style w:type="paragraph" w:styleId="NormalWeb">
    <w:name w:val="Normal (Web)"/>
    <w:basedOn w:val="Normal"/>
    <w:uiPriority w:val="99"/>
    <w:semiHidden/>
    <w:unhideWhenUsed/>
    <w:rsid w:val="00F87F66"/>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0053DB"/>
    <w:pPr>
      <w:spacing w:after="0" w:line="240" w:lineRule="auto"/>
    </w:pPr>
    <w:rPr>
      <w:rFonts w:eastAsiaTheme="minorEastAsia"/>
      <w:spacing w:val="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5381C3C-A4CF-43BE-82B6-3D299E4D4517}">
  <ds:schemaRefs>
    <ds:schemaRef ds:uri="http://schemas.openxmlformats.org/officeDocument/2006/bibliography"/>
  </ds:schemaRefs>
</ds:datastoreItem>
</file>

<file path=customXml/itemProps2.xml><?xml version="1.0" encoding="utf-8"?>
<ds:datastoreItem xmlns:ds="http://schemas.openxmlformats.org/officeDocument/2006/customXml" ds:itemID="{99E39044-4690-4166-BE29-029A19726FF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7</Pages>
  <Words>2359</Words>
  <Characters>13449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2016-06-14T23:27:00Z</cp:lastPrinted>
  <dcterms:created xsi:type="dcterms:W3CDTF">2022-04-28T02:51:00Z</dcterms:created>
  <dcterms:modified xsi:type="dcterms:W3CDTF">2022-04-28T02:51:00Z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2022-04-28T02:51:11Z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4f796efe-c355-4ebe-9cbc-6e766c0d7da6</vt:lpwstr>
  </property>
  <property fmtid="{D5CDD505-2E9C-101B-9397-08002B2CF9AE}" pid="10" name="MSIP_Label_7158ebbd-6c5e-441f-bfc9-4eb8c11e3978_ContentBits">
    <vt:lpwstr>2</vt:lpwstr>
  </property>
</Properties>
</file>