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E7" w:rsidRPr="00D60AD6" w:rsidRDefault="005F73FC" w:rsidP="003D71E7">
      <w:pPr>
        <w:pStyle w:val="Title"/>
        <w:rPr>
          <w:color w:val="000000" w:themeColor="text1"/>
          <w:sz w:val="48"/>
          <w:szCs w:val="48"/>
        </w:rPr>
      </w:pPr>
      <w:bookmarkStart w:id="0" w:name="_GoBack"/>
      <w:bookmarkEnd w:id="0"/>
      <w:r w:rsidRPr="003D71E7">
        <w:rPr>
          <w:sz w:val="50"/>
          <w:szCs w:val="50"/>
        </w:rPr>
        <w:t xml:space="preserve">Natural </w:t>
      </w:r>
      <w:r w:rsidR="00743B21" w:rsidRPr="003D71E7">
        <w:rPr>
          <w:sz w:val="50"/>
          <w:szCs w:val="50"/>
        </w:rPr>
        <w:t>D</w:t>
      </w:r>
      <w:r w:rsidRPr="003D71E7">
        <w:rPr>
          <w:sz w:val="50"/>
          <w:szCs w:val="50"/>
        </w:rPr>
        <w:t xml:space="preserve">isaster </w:t>
      </w:r>
      <w:r w:rsidR="00743B21" w:rsidRPr="003D71E7">
        <w:rPr>
          <w:sz w:val="50"/>
          <w:szCs w:val="50"/>
        </w:rPr>
        <w:t>F</w:t>
      </w:r>
      <w:r w:rsidRPr="003D71E7">
        <w:rPr>
          <w:sz w:val="50"/>
          <w:szCs w:val="50"/>
        </w:rPr>
        <w:t xml:space="preserve">inancial </w:t>
      </w:r>
      <w:r w:rsidR="00743B21" w:rsidRPr="003D71E7">
        <w:rPr>
          <w:sz w:val="50"/>
          <w:szCs w:val="50"/>
        </w:rPr>
        <w:t>A</w:t>
      </w:r>
      <w:r w:rsidRPr="003D71E7">
        <w:rPr>
          <w:sz w:val="50"/>
          <w:szCs w:val="50"/>
        </w:rPr>
        <w:t>ssistance for local councils</w:t>
      </w:r>
    </w:p>
    <w:p w:rsidR="005F73FC" w:rsidRPr="003D71E7" w:rsidRDefault="005F73FC" w:rsidP="003D71E7">
      <w:pPr>
        <w:pStyle w:val="Title"/>
        <w:rPr>
          <w:b w:val="0"/>
          <w:color w:val="000000" w:themeColor="text1"/>
          <w:sz w:val="44"/>
          <w:szCs w:val="44"/>
        </w:rPr>
      </w:pPr>
      <w:r w:rsidRPr="003D71E7">
        <w:rPr>
          <w:b w:val="0"/>
          <w:color w:val="000000" w:themeColor="text1"/>
          <w:sz w:val="44"/>
          <w:szCs w:val="44"/>
        </w:rPr>
        <w:t>Counter disaster operations</w:t>
      </w:r>
    </w:p>
    <w:p w:rsidR="005F73FC" w:rsidRPr="008C1F6D" w:rsidRDefault="005F73FC">
      <w:pPr>
        <w:pStyle w:val="Heading2"/>
      </w:pPr>
      <w:r w:rsidRPr="008C1F6D">
        <w:t>Overview</w:t>
      </w:r>
    </w:p>
    <w:p w:rsidR="005F73FC" w:rsidRPr="00070415" w:rsidRDefault="005F73FC" w:rsidP="003D71E7">
      <w:pPr>
        <w:jc w:val="both"/>
        <w:rPr>
          <w:rFonts w:cstheme="minorHAnsi"/>
          <w:lang w:eastAsia="en-US"/>
        </w:rPr>
      </w:pPr>
      <w:r w:rsidRPr="00B2393F">
        <w:rPr>
          <w:rFonts w:cstheme="minorHAnsi"/>
          <w:lang w:eastAsia="en-US"/>
        </w:rPr>
        <w:t xml:space="preserve">Under </w:t>
      </w:r>
      <w:r w:rsidR="007002E8">
        <w:rPr>
          <w:rFonts w:cstheme="minorHAnsi"/>
          <w:lang w:eastAsia="en-US"/>
        </w:rPr>
        <w:t xml:space="preserve">Victoria’s </w:t>
      </w:r>
      <w:r w:rsidRPr="00B2393F">
        <w:rPr>
          <w:rFonts w:cstheme="minorHAnsi"/>
          <w:lang w:eastAsia="en-US"/>
        </w:rPr>
        <w:t>Natural Disaster Financial Assistance (NDFA) scheme, financial support is provided to assist local coun</w:t>
      </w:r>
      <w:r w:rsidR="00070415">
        <w:rPr>
          <w:rFonts w:cstheme="minorHAnsi"/>
          <w:lang w:eastAsia="en-US"/>
        </w:rPr>
        <w:t xml:space="preserve">cils with costs associated with </w:t>
      </w:r>
      <w:r w:rsidRPr="00070415">
        <w:rPr>
          <w:rFonts w:cstheme="minorHAnsi"/>
          <w:lang w:eastAsia="en-US"/>
        </w:rPr>
        <w:t>certain counter disaster operations, including repairs to assets damaged by counter disaster operations.</w:t>
      </w:r>
    </w:p>
    <w:p w:rsidR="005F73FC" w:rsidRPr="00B2393F" w:rsidRDefault="005F73FC" w:rsidP="003D71E7">
      <w:pPr>
        <w:jc w:val="both"/>
        <w:rPr>
          <w:rFonts w:cstheme="minorHAnsi"/>
          <w:lang w:eastAsia="en-US"/>
        </w:rPr>
      </w:pPr>
      <w:r w:rsidRPr="00B2393F">
        <w:rPr>
          <w:rFonts w:cstheme="minorHAnsi"/>
          <w:lang w:eastAsia="en-US"/>
        </w:rPr>
        <w:t>Financial assistance is provided in accordance with the Commonwealth-State Natural Disaster Relief and Recovery Arrangements (NDRRA).</w:t>
      </w:r>
    </w:p>
    <w:p w:rsidR="005F73FC" w:rsidRPr="008C1F6D" w:rsidRDefault="005F73FC">
      <w:pPr>
        <w:pStyle w:val="Heading2"/>
      </w:pPr>
      <w:r w:rsidRPr="008C1F6D">
        <w:t>Definition of a counter disaster operation</w:t>
      </w:r>
    </w:p>
    <w:p w:rsidR="005F73FC" w:rsidRPr="00B2393F" w:rsidRDefault="005F73FC" w:rsidP="003D71E7">
      <w:pPr>
        <w:jc w:val="both"/>
        <w:rPr>
          <w:rFonts w:cstheme="minorHAnsi"/>
          <w:lang w:eastAsia="en-US"/>
        </w:rPr>
      </w:pPr>
      <w:r w:rsidRPr="00B2393F">
        <w:rPr>
          <w:rFonts w:cstheme="minorHAnsi"/>
        </w:rPr>
        <w:t xml:space="preserve">Counter disaster operations can be defined as those </w:t>
      </w:r>
      <w:r w:rsidRPr="008920DD">
        <w:rPr>
          <w:rFonts w:cstheme="minorHAnsi"/>
          <w:b/>
        </w:rPr>
        <w:t>extraordinary</w:t>
      </w:r>
      <w:r w:rsidRPr="00B2393F">
        <w:rPr>
          <w:rFonts w:cstheme="minorHAnsi"/>
        </w:rPr>
        <w:t xml:space="preserve"> activities undertaken to provide direct assistance to, and in the protection of, individuals or the general public, immediately before, during, and in the immediate aftermath of a natural disaster. </w:t>
      </w:r>
      <w:r w:rsidRPr="00B2393F">
        <w:rPr>
          <w:rFonts w:cstheme="minorHAnsi"/>
          <w:lang w:eastAsia="en-US"/>
        </w:rPr>
        <w:t xml:space="preserve">As a general rule, counter disaster operations activities are typically undertaken within the immediate proximity of residential properties. </w:t>
      </w:r>
    </w:p>
    <w:p w:rsidR="00A21FFC" w:rsidRPr="003D71E7" w:rsidRDefault="005F73FC" w:rsidP="003D71E7">
      <w:pPr>
        <w:jc w:val="both"/>
        <w:rPr>
          <w:rFonts w:cstheme="minorHAnsi"/>
        </w:rPr>
      </w:pPr>
      <w:r w:rsidRPr="00A21FFC">
        <w:rPr>
          <w:rFonts w:cstheme="minorHAnsi"/>
        </w:rPr>
        <w:t>Where activities are carried out to protect commu</w:t>
      </w:r>
      <w:r w:rsidR="002E52E3" w:rsidRPr="00A21FFC">
        <w:rPr>
          <w:rFonts w:cstheme="minorHAnsi"/>
        </w:rPr>
        <w:t>nities</w:t>
      </w:r>
      <w:r w:rsidR="003F574D" w:rsidRPr="00A21FFC">
        <w:rPr>
          <w:rFonts w:cstheme="minorHAnsi"/>
        </w:rPr>
        <w:t xml:space="preserve"> </w:t>
      </w:r>
      <w:r w:rsidR="002E52E3" w:rsidRPr="00A21FFC">
        <w:rPr>
          <w:rFonts w:cstheme="minorHAnsi"/>
        </w:rPr>
        <w:t xml:space="preserve">the underlying principle </w:t>
      </w:r>
      <w:r w:rsidRPr="00A21FFC">
        <w:rPr>
          <w:rFonts w:cstheme="minorHAnsi"/>
        </w:rPr>
        <w:t xml:space="preserve">is that these activities are undertaken to reduce the cost of </w:t>
      </w:r>
      <w:r w:rsidR="00A21FFC" w:rsidRPr="00A21FFC">
        <w:rPr>
          <w:rFonts w:cstheme="minorHAnsi"/>
        </w:rPr>
        <w:t>other forms of assistance i.e. costs associated with temporary accommodation</w:t>
      </w:r>
      <w:r w:rsidRPr="00A21FFC">
        <w:rPr>
          <w:rFonts w:cstheme="minorHAnsi"/>
        </w:rPr>
        <w:t>.</w:t>
      </w:r>
    </w:p>
    <w:p w:rsidR="005F73FC" w:rsidRDefault="005F73FC" w:rsidP="003D71E7">
      <w:pPr>
        <w:jc w:val="both"/>
        <w:rPr>
          <w:rFonts w:cstheme="minorHAnsi"/>
        </w:rPr>
      </w:pPr>
      <w:r w:rsidRPr="00B2393F">
        <w:rPr>
          <w:rFonts w:cstheme="minorHAnsi"/>
        </w:rPr>
        <w:t>Counter disaster operations are normally undertaken within the first 24/48 hours and up to two weeks after a natural disaster.</w:t>
      </w:r>
    </w:p>
    <w:p w:rsidR="00981F43" w:rsidRDefault="005F73FC">
      <w:pPr>
        <w:pStyle w:val="Heading2"/>
      </w:pPr>
      <w:r w:rsidRPr="001266F2">
        <w:rPr>
          <w:b w:val="0"/>
          <w:bCs w:val="0"/>
        </w:rPr>
        <w:t>Examples of eligible counter disaster operation</w:t>
      </w:r>
      <w:r w:rsidR="003F574D" w:rsidRPr="001266F2">
        <w:rPr>
          <w:b w:val="0"/>
          <w:bCs w:val="0"/>
        </w:rPr>
        <w:t>s</w:t>
      </w:r>
      <w:r w:rsidR="004F0CC0" w:rsidRPr="001266F2">
        <w:rPr>
          <w:b w:val="0"/>
          <w:bCs w:val="0"/>
        </w:rPr>
        <w:t xml:space="preserve"> following all types of </w:t>
      </w:r>
      <w:r w:rsidR="00B42565" w:rsidRPr="001266F2">
        <w:rPr>
          <w:b w:val="0"/>
          <w:bCs w:val="0"/>
        </w:rPr>
        <w:t xml:space="preserve">natural disaster </w:t>
      </w:r>
      <w:r w:rsidR="004F0CC0" w:rsidRPr="001266F2">
        <w:rPr>
          <w:b w:val="0"/>
          <w:bCs w:val="0"/>
        </w:rPr>
        <w:t>events</w:t>
      </w:r>
    </w:p>
    <w:tbl>
      <w:tblPr>
        <w:tblStyle w:val="DTFtexttable"/>
        <w:tblW w:w="9300" w:type="dxa"/>
        <w:tblBorders>
          <w:insideH w:val="single" w:sz="6" w:space="0" w:color="C7D7E9" w:themeColor="accent3" w:themeTint="66"/>
        </w:tblBorders>
        <w:tblCellMar>
          <w:left w:w="86" w:type="dxa"/>
          <w:right w:w="86" w:type="dxa"/>
        </w:tblCellMar>
        <w:tblLook w:val="0420" w:firstRow="1" w:lastRow="0" w:firstColumn="0" w:lastColumn="0" w:noHBand="0" w:noVBand="1"/>
      </w:tblPr>
      <w:tblGrid>
        <w:gridCol w:w="9219"/>
        <w:gridCol w:w="81"/>
      </w:tblGrid>
      <w:tr w:rsidR="00981F43" w:rsidRPr="00292A48" w:rsidTr="003D71E7">
        <w:trPr>
          <w:cnfStyle w:val="100000000000" w:firstRow="1" w:lastRow="0" w:firstColumn="0" w:lastColumn="0" w:oddVBand="0" w:evenVBand="0" w:oddHBand="0" w:evenHBand="0" w:firstRowFirstColumn="0" w:firstRowLastColumn="0" w:lastRowFirstColumn="0" w:lastRowLastColumn="0"/>
        </w:trPr>
        <w:tc>
          <w:tcPr>
            <w:tcW w:w="9300" w:type="dxa"/>
            <w:gridSpan w:val="2"/>
          </w:tcPr>
          <w:p w:rsidR="00981F43" w:rsidRPr="003D71E7" w:rsidRDefault="00981F43" w:rsidP="00CE6730">
            <w:pPr>
              <w:keepNext w:val="0"/>
              <w:keepLines w:val="0"/>
              <w:spacing w:line="240" w:lineRule="atLeast"/>
              <w:jc w:val="both"/>
              <w:rPr>
                <w:rFonts w:cstheme="minorHAnsi"/>
                <w:b w:val="0"/>
                <w:szCs w:val="17"/>
              </w:rPr>
            </w:pPr>
            <w:r w:rsidRPr="003D71E7">
              <w:rPr>
                <w:rFonts w:cstheme="minorHAnsi"/>
                <w:sz w:val="20"/>
                <w:szCs w:val="17"/>
              </w:rPr>
              <w:t>For the protection of the general public</w:t>
            </w:r>
          </w:p>
        </w:tc>
      </w:tr>
      <w:tr w:rsidR="00981F43" w:rsidRPr="00292A48" w:rsidTr="003D71E7">
        <w:tc>
          <w:tcPr>
            <w:tcW w:w="9300" w:type="dxa"/>
            <w:gridSpan w:val="2"/>
          </w:tcPr>
          <w:p w:rsidR="00981F43" w:rsidRPr="003D71E7" w:rsidRDefault="00981F43" w:rsidP="00CE6730">
            <w:pPr>
              <w:pStyle w:val="Tablebullet"/>
              <w:jc w:val="both"/>
              <w:rPr>
                <w:szCs w:val="17"/>
              </w:rPr>
            </w:pPr>
            <w:r w:rsidRPr="003D71E7">
              <w:rPr>
                <w:szCs w:val="17"/>
              </w:rPr>
              <w:t xml:space="preserve">Establishment and operation of temporarily locally positioned operational </w:t>
            </w:r>
            <w:r w:rsidRPr="003D71E7">
              <w:rPr>
                <w:b/>
                <w:szCs w:val="17"/>
              </w:rPr>
              <w:t>base camps</w:t>
            </w:r>
            <w:r w:rsidRPr="003D71E7">
              <w:rPr>
                <w:szCs w:val="17"/>
              </w:rPr>
              <w:t xml:space="preserve"> used by front line emergency services personnel to undertake bushfire suppression activities.</w:t>
            </w:r>
          </w:p>
        </w:tc>
      </w:tr>
      <w:tr w:rsidR="00981F43" w:rsidRPr="00292A48" w:rsidTr="003D71E7">
        <w:trPr>
          <w:cnfStyle w:val="000000010000" w:firstRow="0" w:lastRow="0" w:firstColumn="0" w:lastColumn="0" w:oddVBand="0" w:evenVBand="0" w:oddHBand="0" w:evenHBand="1" w:firstRowFirstColumn="0" w:firstRowLastColumn="0" w:lastRowFirstColumn="0" w:lastRowLastColumn="0"/>
        </w:trPr>
        <w:tc>
          <w:tcPr>
            <w:tcW w:w="9300" w:type="dxa"/>
            <w:gridSpan w:val="2"/>
          </w:tcPr>
          <w:p w:rsidR="00981F43" w:rsidRPr="003D71E7" w:rsidRDefault="00981F43" w:rsidP="00CE6730">
            <w:pPr>
              <w:pStyle w:val="Tablebullet"/>
              <w:jc w:val="both"/>
              <w:rPr>
                <w:szCs w:val="17"/>
              </w:rPr>
            </w:pPr>
            <w:r w:rsidRPr="003D71E7">
              <w:rPr>
                <w:b/>
                <w:szCs w:val="17"/>
              </w:rPr>
              <w:t>Bushfire suppression</w:t>
            </w:r>
            <w:r w:rsidRPr="003D71E7">
              <w:rPr>
                <w:szCs w:val="17"/>
              </w:rPr>
              <w:t xml:space="preserve"> activities to protect the general public, including aerial support in the immediate proximity of a community where fire impact is imminent.</w:t>
            </w:r>
          </w:p>
        </w:tc>
      </w:tr>
      <w:tr w:rsidR="00981F43" w:rsidRPr="00292A48" w:rsidTr="003D71E7">
        <w:tc>
          <w:tcPr>
            <w:tcW w:w="9300" w:type="dxa"/>
            <w:gridSpan w:val="2"/>
          </w:tcPr>
          <w:p w:rsidR="00981F43" w:rsidRPr="003D71E7" w:rsidRDefault="00981F43" w:rsidP="00CE6730">
            <w:pPr>
              <w:pStyle w:val="Tablebullet"/>
              <w:jc w:val="both"/>
              <w:rPr>
                <w:szCs w:val="17"/>
              </w:rPr>
            </w:pPr>
            <w:r w:rsidRPr="003D71E7">
              <w:rPr>
                <w:b/>
                <w:color w:val="000000" w:themeColor="text1"/>
                <w:szCs w:val="17"/>
              </w:rPr>
              <w:t>Consumables</w:t>
            </w:r>
            <w:r w:rsidRPr="003D71E7">
              <w:rPr>
                <w:color w:val="000000" w:themeColor="text1"/>
                <w:szCs w:val="17"/>
              </w:rPr>
              <w:t xml:space="preserve"> such as saw chains, ropes, batteries, plastic sheeting, outboard motor parts, tarpaulins and personal protective equipment and uniforms used during an event (as long as there was no stock on hand prior to the event).</w:t>
            </w:r>
          </w:p>
        </w:tc>
      </w:tr>
      <w:tr w:rsidR="00981F43" w:rsidRPr="00292A48" w:rsidTr="003D71E7">
        <w:trPr>
          <w:cnfStyle w:val="000000010000" w:firstRow="0" w:lastRow="0" w:firstColumn="0" w:lastColumn="0" w:oddVBand="0" w:evenVBand="0" w:oddHBand="0" w:evenHBand="1" w:firstRowFirstColumn="0" w:firstRowLastColumn="0" w:lastRowFirstColumn="0" w:lastRowLastColumn="0"/>
        </w:trPr>
        <w:tc>
          <w:tcPr>
            <w:tcW w:w="9300" w:type="dxa"/>
            <w:gridSpan w:val="2"/>
          </w:tcPr>
          <w:p w:rsidR="00981F43" w:rsidRPr="003D71E7" w:rsidRDefault="00981F43" w:rsidP="00CE6730">
            <w:pPr>
              <w:pStyle w:val="Tablebullet"/>
              <w:jc w:val="both"/>
              <w:rPr>
                <w:szCs w:val="17"/>
              </w:rPr>
            </w:pPr>
            <w:r w:rsidRPr="003D71E7">
              <w:rPr>
                <w:b/>
                <w:color w:val="000000" w:themeColor="text1"/>
                <w:szCs w:val="17"/>
              </w:rPr>
              <w:t>Hire of additional plant and equipment</w:t>
            </w:r>
            <w:r w:rsidRPr="003D71E7">
              <w:rPr>
                <w:color w:val="000000" w:themeColor="text1"/>
                <w:szCs w:val="17"/>
              </w:rPr>
              <w:t xml:space="preserve"> to undertake eligible activities listed above.</w:t>
            </w:r>
          </w:p>
        </w:tc>
      </w:tr>
      <w:tr w:rsidR="00981F43" w:rsidRPr="00292A48" w:rsidTr="003D71E7">
        <w:tc>
          <w:tcPr>
            <w:tcW w:w="9300" w:type="dxa"/>
            <w:gridSpan w:val="2"/>
          </w:tcPr>
          <w:p w:rsidR="00981F43" w:rsidRPr="003D71E7" w:rsidRDefault="00981F43" w:rsidP="00CE6730">
            <w:pPr>
              <w:pStyle w:val="Tablebullet"/>
              <w:jc w:val="both"/>
              <w:rPr>
                <w:b/>
                <w:szCs w:val="17"/>
              </w:rPr>
            </w:pPr>
            <w:r w:rsidRPr="003D71E7">
              <w:rPr>
                <w:b/>
                <w:szCs w:val="17"/>
              </w:rPr>
              <w:t>Removal of trees</w:t>
            </w:r>
            <w:r w:rsidRPr="003D71E7">
              <w:rPr>
                <w:szCs w:val="17"/>
              </w:rPr>
              <w:t xml:space="preserve"> or damaged limbs or dead animals (domestic or wildlife) from roadside verges.</w:t>
            </w:r>
          </w:p>
        </w:tc>
      </w:tr>
      <w:tr w:rsidR="00981F43" w:rsidRPr="00292A48" w:rsidTr="003D71E7">
        <w:trPr>
          <w:cnfStyle w:val="000000010000" w:firstRow="0" w:lastRow="0" w:firstColumn="0" w:lastColumn="0" w:oddVBand="0" w:evenVBand="0" w:oddHBand="0" w:evenHBand="1" w:firstRowFirstColumn="0" w:firstRowLastColumn="0" w:lastRowFirstColumn="0" w:lastRowLastColumn="0"/>
        </w:trPr>
        <w:tc>
          <w:tcPr>
            <w:tcW w:w="9300" w:type="dxa"/>
            <w:gridSpan w:val="2"/>
          </w:tcPr>
          <w:p w:rsidR="00981F43" w:rsidRPr="003D71E7" w:rsidRDefault="00981F43" w:rsidP="00CE6730">
            <w:pPr>
              <w:pStyle w:val="Tablebullet"/>
              <w:jc w:val="both"/>
              <w:rPr>
                <w:color w:val="000000" w:themeColor="text1"/>
                <w:szCs w:val="17"/>
              </w:rPr>
            </w:pPr>
            <w:r w:rsidRPr="003D71E7">
              <w:rPr>
                <w:rFonts w:cstheme="minorHAnsi"/>
                <w:b/>
                <w:szCs w:val="17"/>
              </w:rPr>
              <w:t>Restoration of a facility</w:t>
            </w:r>
            <w:r w:rsidRPr="003D71E7">
              <w:rPr>
                <w:rFonts w:cstheme="minorHAnsi"/>
                <w:szCs w:val="17"/>
              </w:rPr>
              <w:t xml:space="preserve"> has been damaged while undertaking eligible counter disaster operations activities, or where an asset has been damaged when used as an evacuation point.</w:t>
            </w:r>
          </w:p>
        </w:tc>
      </w:tr>
      <w:tr w:rsidR="00981F43" w:rsidRPr="00292A48" w:rsidTr="003D71E7">
        <w:tc>
          <w:tcPr>
            <w:tcW w:w="9300" w:type="dxa"/>
            <w:gridSpan w:val="2"/>
          </w:tcPr>
          <w:p w:rsidR="00981F43" w:rsidRPr="003D71E7" w:rsidRDefault="00981F43" w:rsidP="00CE6730">
            <w:pPr>
              <w:pStyle w:val="Tablebullet"/>
              <w:jc w:val="both"/>
              <w:rPr>
                <w:b/>
                <w:szCs w:val="17"/>
              </w:rPr>
            </w:pPr>
            <w:r w:rsidRPr="003D71E7">
              <w:rPr>
                <w:szCs w:val="17"/>
              </w:rPr>
              <w:t xml:space="preserve">Establishment of </w:t>
            </w:r>
            <w:r w:rsidRPr="003D71E7">
              <w:rPr>
                <w:b/>
                <w:szCs w:val="17"/>
              </w:rPr>
              <w:t>temporary access routes</w:t>
            </w:r>
            <w:r w:rsidRPr="003D71E7">
              <w:rPr>
                <w:szCs w:val="17"/>
              </w:rPr>
              <w:t xml:space="preserve"> required for disaster relief operations to allow individuals and families to return to their home.</w:t>
            </w:r>
          </w:p>
        </w:tc>
      </w:tr>
      <w:tr w:rsidR="006D46A3" w:rsidRPr="00292A48" w:rsidTr="003D71E7">
        <w:trPr>
          <w:cnfStyle w:val="000000010000" w:firstRow="0" w:lastRow="0" w:firstColumn="0" w:lastColumn="0" w:oddVBand="0" w:evenVBand="0" w:oddHBand="0" w:evenHBand="1" w:firstRowFirstColumn="0" w:firstRowLastColumn="0" w:lastRowFirstColumn="0" w:lastRowLastColumn="0"/>
        </w:trPr>
        <w:tc>
          <w:tcPr>
            <w:tcW w:w="9300" w:type="dxa"/>
            <w:gridSpan w:val="2"/>
          </w:tcPr>
          <w:p w:rsidR="006D46A3" w:rsidRPr="00292A48" w:rsidRDefault="006D46A3" w:rsidP="00CE6730">
            <w:pPr>
              <w:pStyle w:val="Tablebullet"/>
              <w:jc w:val="both"/>
              <w:rPr>
                <w:szCs w:val="17"/>
              </w:rPr>
            </w:pPr>
            <w:r w:rsidRPr="003D71E7">
              <w:rPr>
                <w:b/>
                <w:color w:val="000000" w:themeColor="text1"/>
                <w:szCs w:val="17"/>
              </w:rPr>
              <w:lastRenderedPageBreak/>
              <w:t>Transportation</w:t>
            </w:r>
            <w:r w:rsidRPr="00F465C5">
              <w:rPr>
                <w:color w:val="000000" w:themeColor="text1"/>
                <w:szCs w:val="17"/>
              </w:rPr>
              <w:t xml:space="preserve"> of labour, equipment and materials necessary for eligible disaster relief operations.</w:t>
            </w:r>
          </w:p>
        </w:tc>
      </w:tr>
      <w:tr w:rsidR="00981F43" w:rsidRPr="00292A48" w:rsidTr="003D71E7">
        <w:trPr>
          <w:gridAfter w:val="1"/>
          <w:wAfter w:w="81" w:type="dxa"/>
          <w:trHeight w:val="571"/>
        </w:trPr>
        <w:tc>
          <w:tcPr>
            <w:tcW w:w="9219" w:type="dxa"/>
            <w:tcBorders>
              <w:top w:val="single" w:sz="6" w:space="0" w:color="C7D7E9" w:themeColor="accent3" w:themeTint="66"/>
            </w:tcBorders>
          </w:tcPr>
          <w:p w:rsidR="00981F43" w:rsidRPr="003D71E7" w:rsidRDefault="00981F43" w:rsidP="00CE6730">
            <w:pPr>
              <w:pStyle w:val="Tablebullet"/>
              <w:jc w:val="both"/>
              <w:rPr>
                <w:szCs w:val="17"/>
              </w:rPr>
            </w:pPr>
            <w:r w:rsidRPr="003D71E7">
              <w:rPr>
                <w:b/>
                <w:color w:val="000000" w:themeColor="text1"/>
                <w:szCs w:val="17"/>
              </w:rPr>
              <w:t xml:space="preserve">Vehicle or equipment </w:t>
            </w:r>
            <w:r w:rsidR="003D71E7" w:rsidRPr="003D71E7">
              <w:rPr>
                <w:b/>
                <w:color w:val="000000" w:themeColor="text1"/>
                <w:szCs w:val="17"/>
              </w:rPr>
              <w:t>repairs,</w:t>
            </w:r>
            <w:r w:rsidRPr="003D71E7">
              <w:rPr>
                <w:color w:val="000000" w:themeColor="text1"/>
                <w:szCs w:val="17"/>
              </w:rPr>
              <w:t xml:space="preserve"> and additional servicing required as a direct consequence of eligible counter disaster operations, such as fuel and oils.</w:t>
            </w:r>
          </w:p>
        </w:tc>
      </w:tr>
    </w:tbl>
    <w:p w:rsidR="00981F43" w:rsidRPr="003D71E7" w:rsidRDefault="00981F43" w:rsidP="003D71E7">
      <w:pPr>
        <w:rPr>
          <w:sz w:val="8"/>
        </w:rPr>
      </w:pPr>
    </w:p>
    <w:tbl>
      <w:tblPr>
        <w:tblStyle w:val="TableGrid"/>
        <w:tblW w:w="0" w:type="auto"/>
        <w:tblLook w:val="04A0" w:firstRow="1" w:lastRow="0" w:firstColumn="1" w:lastColumn="0" w:noHBand="0" w:noVBand="1"/>
      </w:tblPr>
      <w:tblGrid>
        <w:gridCol w:w="9140"/>
      </w:tblGrid>
      <w:tr w:rsidR="00981F43" w:rsidTr="00CE6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rsidR="00981F43" w:rsidRPr="00F87C10" w:rsidRDefault="00981F43" w:rsidP="00CE6730">
            <w:pPr>
              <w:rPr>
                <w:b/>
                <w:szCs w:val="17"/>
              </w:rPr>
            </w:pPr>
            <w:r w:rsidRPr="006D46A3">
              <w:rPr>
                <w:b/>
                <w:szCs w:val="17"/>
              </w:rPr>
              <w:t>Direct assistance to individuals or households</w:t>
            </w:r>
          </w:p>
        </w:tc>
      </w:tr>
      <w:tr w:rsidR="00981F43" w:rsidTr="00CE6730">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ListParagraph"/>
              <w:numPr>
                <w:ilvl w:val="0"/>
                <w:numId w:val="34"/>
              </w:numPr>
              <w:rPr>
                <w:szCs w:val="17"/>
              </w:rPr>
            </w:pPr>
            <w:r w:rsidRPr="006D46A3">
              <w:rPr>
                <w:szCs w:val="17"/>
              </w:rPr>
              <w:t xml:space="preserve">Rapid </w:t>
            </w:r>
            <w:r w:rsidRPr="006D46A3">
              <w:rPr>
                <w:b/>
                <w:szCs w:val="17"/>
              </w:rPr>
              <w:t>damage assessments</w:t>
            </w:r>
            <w:r w:rsidRPr="00F87C10">
              <w:rPr>
                <w:szCs w:val="17"/>
              </w:rPr>
              <w:t xml:space="preserve"> on residential properties.</w:t>
            </w:r>
          </w:p>
        </w:tc>
      </w:tr>
      <w:tr w:rsidR="00981F43" w:rsidTr="00CE67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ListParagraph"/>
              <w:numPr>
                <w:ilvl w:val="0"/>
                <w:numId w:val="34"/>
              </w:numPr>
              <w:rPr>
                <w:szCs w:val="17"/>
              </w:rPr>
            </w:pPr>
            <w:r w:rsidRPr="006D46A3">
              <w:rPr>
                <w:szCs w:val="17"/>
              </w:rPr>
              <w:t xml:space="preserve">Activities to render a </w:t>
            </w:r>
            <w:r w:rsidRPr="006D46A3">
              <w:rPr>
                <w:b/>
                <w:szCs w:val="17"/>
              </w:rPr>
              <w:t>damaged house safe and habitable</w:t>
            </w:r>
            <w:r w:rsidRPr="00F87C10">
              <w:rPr>
                <w:szCs w:val="17"/>
              </w:rPr>
              <w:t xml:space="preserve">. For example, covering broken windows, tarping damaged roofs, tree </w:t>
            </w:r>
            <w:r w:rsidR="003D71E7" w:rsidRPr="00F87C10">
              <w:rPr>
                <w:szCs w:val="17"/>
              </w:rPr>
              <w:t>bracing,</w:t>
            </w:r>
            <w:r w:rsidRPr="00F87C10">
              <w:rPr>
                <w:szCs w:val="17"/>
              </w:rPr>
              <w:t xml:space="preserve"> or structural integrity assessments required prior to res</w:t>
            </w:r>
            <w:r w:rsidRPr="003D71E7">
              <w:rPr>
                <w:szCs w:val="17"/>
              </w:rPr>
              <w:t>idents returning home (i.e. electrical safety, re-grading of a private driveway to ensure access to the immediate vicinity of the main residential house.</w:t>
            </w:r>
          </w:p>
          <w:p w:rsidR="00981F43" w:rsidRPr="003D71E7" w:rsidRDefault="00981F43" w:rsidP="00CE6730">
            <w:pPr>
              <w:ind w:left="360"/>
              <w:rPr>
                <w:szCs w:val="17"/>
              </w:rPr>
            </w:pPr>
            <w:r w:rsidRPr="003D71E7">
              <w:rPr>
                <w:szCs w:val="17"/>
              </w:rPr>
              <w:t>These activities are only eligible to assist a disaster affected household where they are the actual owner of the home and it is their principal place of residence. In order to claim reimbursement of expenditure, local councils need to demonstrate that any work undertaken on the main residential house are necessary to make the home safe, habitable and secure (note that the household needs to have utilised any available insurance arrangements).</w:t>
            </w:r>
          </w:p>
        </w:tc>
      </w:tr>
      <w:tr w:rsidR="00981F43" w:rsidTr="00CE6730">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CE6730">
            <w:pPr>
              <w:pStyle w:val="Tablebullet"/>
              <w:jc w:val="both"/>
              <w:rPr>
                <w:szCs w:val="17"/>
              </w:rPr>
            </w:pPr>
            <w:r w:rsidRPr="003D71E7">
              <w:rPr>
                <w:b/>
                <w:szCs w:val="17"/>
              </w:rPr>
              <w:t xml:space="preserve">Demolition of a damaged house arising from a natural disaster. </w:t>
            </w:r>
            <w:r w:rsidRPr="003D71E7">
              <w:rPr>
                <w:szCs w:val="17"/>
              </w:rPr>
              <w:t>For example, demolition and removal of disaster damaged related building materials and debris of the residential property.</w:t>
            </w:r>
          </w:p>
          <w:p w:rsidR="00981F43" w:rsidRPr="006D46A3" w:rsidRDefault="00981F43" w:rsidP="00CE6730">
            <w:pPr>
              <w:ind w:left="288"/>
              <w:rPr>
                <w:szCs w:val="17"/>
              </w:rPr>
            </w:pPr>
            <w:r w:rsidRPr="003D71E7">
              <w:rPr>
                <w:sz w:val="20"/>
                <w:szCs w:val="17"/>
              </w:rPr>
              <w:t>This measure is only eligible to assist a disaster affected household where they are the actual owner of the home and it is their principal place of residence. In order to claim reimbursement of expenditure, local councils need to demonstrate that the costs relate to the demolition activities and that the household is intending to rebuild their house in the same location (note that the household needs to have utilised any available insurance arrangements).</w:t>
            </w:r>
          </w:p>
        </w:tc>
      </w:tr>
      <w:tr w:rsidR="00981F43" w:rsidTr="00CE67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ListParagraph"/>
              <w:numPr>
                <w:ilvl w:val="0"/>
                <w:numId w:val="35"/>
              </w:numPr>
              <w:rPr>
                <w:szCs w:val="17"/>
              </w:rPr>
            </w:pPr>
            <w:r w:rsidRPr="003D71E7">
              <w:rPr>
                <w:b/>
                <w:sz w:val="20"/>
                <w:szCs w:val="17"/>
              </w:rPr>
              <w:t>Removal of disaster related debris</w:t>
            </w:r>
            <w:r w:rsidRPr="003D71E7">
              <w:rPr>
                <w:sz w:val="20"/>
                <w:szCs w:val="17"/>
              </w:rPr>
              <w:t xml:space="preserve"> in immediate vicinity of residential properties including damaged and/or destroyed items. The only exception to this is if a residential property, such as a holiday home, is damaged and there is hazardous waste (such as asbestos) on that property, which is preventing other residents from returning to their principal place of residence. Debris located beyond the immediate vicinity of a residential property is ineligible. For rural properties, the residential component is the area clearly identifiable as residential and not used for farming purposes (i.e. residential premises and immediate surroundings).</w:t>
            </w:r>
          </w:p>
          <w:p w:rsidR="00981F43" w:rsidRPr="003D71E7" w:rsidRDefault="00981F43" w:rsidP="00981F43">
            <w:pPr>
              <w:pStyle w:val="Tablebullet"/>
              <w:numPr>
                <w:ilvl w:val="0"/>
                <w:numId w:val="0"/>
              </w:numPr>
              <w:ind w:left="360"/>
              <w:jc w:val="both"/>
              <w:rPr>
                <w:szCs w:val="17"/>
              </w:rPr>
            </w:pPr>
            <w:r w:rsidRPr="003D71E7">
              <w:rPr>
                <w:szCs w:val="17"/>
              </w:rPr>
              <w:t>The following activities are associated with the removal of debris:</w:t>
            </w:r>
          </w:p>
          <w:p w:rsidR="00981F43" w:rsidRPr="003D71E7" w:rsidRDefault="00981F43" w:rsidP="003D71E7">
            <w:pPr>
              <w:pStyle w:val="Tablenum2"/>
              <w:numPr>
                <w:ilvl w:val="1"/>
                <w:numId w:val="35"/>
              </w:numPr>
              <w:spacing w:line="264" w:lineRule="auto"/>
              <w:rPr>
                <w:szCs w:val="17"/>
              </w:rPr>
            </w:pPr>
            <w:r w:rsidRPr="003D71E7">
              <w:rPr>
                <w:szCs w:val="17"/>
              </w:rPr>
              <w:t>clean-up activities inside and immediately outside a home including the removal of damaged furniture, whitegoods, building material debris (such as tiles, bricks and broken glass) and spoiled perishable food;</w:t>
            </w:r>
          </w:p>
          <w:p w:rsidR="00981F43" w:rsidRPr="003D71E7" w:rsidRDefault="00981F43" w:rsidP="003D71E7">
            <w:pPr>
              <w:pStyle w:val="Tablenum2"/>
              <w:numPr>
                <w:ilvl w:val="1"/>
                <w:numId w:val="35"/>
              </w:numPr>
              <w:rPr>
                <w:szCs w:val="17"/>
              </w:rPr>
            </w:pPr>
            <w:r w:rsidRPr="003D71E7">
              <w:rPr>
                <w:szCs w:val="17"/>
              </w:rPr>
              <w:t>removal of septic waste;</w:t>
            </w:r>
          </w:p>
          <w:p w:rsidR="00981F43" w:rsidRPr="003D71E7" w:rsidRDefault="00981F43" w:rsidP="003D71E7">
            <w:pPr>
              <w:pStyle w:val="Tablenum2"/>
              <w:numPr>
                <w:ilvl w:val="1"/>
                <w:numId w:val="35"/>
              </w:numPr>
              <w:spacing w:line="264" w:lineRule="auto"/>
              <w:rPr>
                <w:szCs w:val="17"/>
              </w:rPr>
            </w:pPr>
            <w:r w:rsidRPr="003D71E7">
              <w:rPr>
                <w:szCs w:val="17"/>
              </w:rPr>
              <w:t>removal of fallen trees and green waste as well as the removal of trees which have become dangerous as a direct result of the natural disaster;</w:t>
            </w:r>
          </w:p>
          <w:p w:rsidR="00981F43" w:rsidRPr="003D71E7" w:rsidRDefault="00981F43" w:rsidP="003D71E7">
            <w:pPr>
              <w:pStyle w:val="Tablenum2"/>
              <w:numPr>
                <w:ilvl w:val="1"/>
                <w:numId w:val="35"/>
              </w:numPr>
              <w:spacing w:line="264" w:lineRule="auto"/>
              <w:rPr>
                <w:szCs w:val="17"/>
              </w:rPr>
            </w:pPr>
            <w:r w:rsidRPr="003D71E7">
              <w:rPr>
                <w:szCs w:val="17"/>
              </w:rPr>
              <w:t>removal of flood related debris (such as mud);</w:t>
            </w:r>
          </w:p>
          <w:p w:rsidR="00981F43" w:rsidRPr="003D71E7" w:rsidRDefault="00981F43" w:rsidP="003D71E7">
            <w:pPr>
              <w:pStyle w:val="Tablenum2"/>
              <w:numPr>
                <w:ilvl w:val="1"/>
                <w:numId w:val="35"/>
              </w:numPr>
              <w:spacing w:line="264" w:lineRule="auto"/>
              <w:rPr>
                <w:szCs w:val="17"/>
              </w:rPr>
            </w:pPr>
            <w:r w:rsidRPr="003D71E7">
              <w:rPr>
                <w:szCs w:val="17"/>
              </w:rPr>
              <w:t>removal of hazardous material (such as asbestos) which has been exposed as a direct result of the eligible disaster. Hazardous material located beyond the residential block which is causing potential health and safety risks for the household, is also eligible to be removed; and</w:t>
            </w:r>
          </w:p>
          <w:p w:rsidR="00981F43" w:rsidRDefault="00981F43" w:rsidP="003D71E7">
            <w:pPr>
              <w:pStyle w:val="Tablenum2"/>
              <w:numPr>
                <w:ilvl w:val="1"/>
                <w:numId w:val="35"/>
              </w:numPr>
              <w:spacing w:line="264" w:lineRule="auto"/>
              <w:rPr>
                <w:szCs w:val="17"/>
              </w:rPr>
            </w:pPr>
            <w:r w:rsidRPr="003D71E7">
              <w:rPr>
                <w:szCs w:val="17"/>
              </w:rPr>
              <w:t>clearing blocked drains, guttering and downpipes.</w:t>
            </w:r>
          </w:p>
          <w:p w:rsidR="006D46A3" w:rsidRPr="006D46A3" w:rsidRDefault="006D46A3" w:rsidP="003D71E7">
            <w:pPr>
              <w:pStyle w:val="Tablenum2"/>
              <w:numPr>
                <w:ilvl w:val="0"/>
                <w:numId w:val="0"/>
              </w:numPr>
              <w:spacing w:line="264" w:lineRule="auto"/>
              <w:ind w:left="720" w:hanging="360"/>
              <w:rPr>
                <w:szCs w:val="17"/>
              </w:rPr>
            </w:pPr>
          </w:p>
        </w:tc>
      </w:tr>
      <w:tr w:rsidR="00981F43" w:rsidRPr="003D71E7" w:rsidTr="00CE6730">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Tablebullet"/>
              <w:numPr>
                <w:ilvl w:val="0"/>
                <w:numId w:val="0"/>
              </w:numPr>
              <w:ind w:left="288"/>
              <w:jc w:val="both"/>
              <w:rPr>
                <w:szCs w:val="17"/>
              </w:rPr>
            </w:pPr>
            <w:r w:rsidRPr="003D71E7">
              <w:rPr>
                <w:szCs w:val="17"/>
              </w:rPr>
              <w:lastRenderedPageBreak/>
              <w:t>Local councils can seek reimbursement for costs associated with the engagement of contractors or the hiring of skips, transportation and disposal costs for the debris including any temporary dump sites to accommodate debris removal, the hire of additional specialised cleaning machinery, the replacement of consumable items (i.e. chainsaw chains and fuel) and extraordinary Council staffing costs (i.e. overtime and allowances waived – for example, if a local council allows households to dispose of their disaster related debris free of cost as a council owned dump site.</w:t>
            </w:r>
          </w:p>
          <w:p w:rsidR="00981F43" w:rsidRPr="003D71E7" w:rsidRDefault="00981F43" w:rsidP="00981F43">
            <w:pPr>
              <w:pStyle w:val="Tablenum2"/>
              <w:numPr>
                <w:ilvl w:val="0"/>
                <w:numId w:val="0"/>
              </w:numPr>
              <w:spacing w:line="264" w:lineRule="auto"/>
              <w:ind w:left="288"/>
              <w:rPr>
                <w:szCs w:val="17"/>
              </w:rPr>
            </w:pPr>
            <w:r w:rsidRPr="003D71E7">
              <w:rPr>
                <w:szCs w:val="17"/>
              </w:rPr>
              <w:t>This measure is only eligible to assist a disaster affected household where they are the actual owner of the home and it is their principal place of residence.</w:t>
            </w:r>
          </w:p>
          <w:p w:rsidR="00981F43" w:rsidRPr="003D71E7" w:rsidRDefault="00981F43" w:rsidP="00981F43">
            <w:pPr>
              <w:pStyle w:val="Tablebullet"/>
              <w:numPr>
                <w:ilvl w:val="0"/>
                <w:numId w:val="35"/>
              </w:numPr>
              <w:jc w:val="both"/>
              <w:rPr>
                <w:szCs w:val="17"/>
              </w:rPr>
            </w:pPr>
            <w:r w:rsidRPr="003D71E7">
              <w:rPr>
                <w:b/>
                <w:szCs w:val="17"/>
              </w:rPr>
              <w:t>Removal of trees or damaged limbs or dead animals</w:t>
            </w:r>
            <w:r w:rsidRPr="003D71E7">
              <w:rPr>
                <w:szCs w:val="17"/>
              </w:rPr>
              <w:t xml:space="preserve"> (including livestock) if it occurs within the residential component of a rural property, or within the area immediately surrounding the main access to the house (i.e. the driveways), or where it could potentially present a health and safety threat to residents living in the house (i.e. by contaminating drinking water). For rural properties, the residential component is the area clearly identifiable as residential and not used for farming purposes (i.e. residential premise and immediate surroundings). </w:t>
            </w:r>
          </w:p>
          <w:p w:rsidR="00981F43" w:rsidRPr="003D71E7" w:rsidRDefault="00981F43" w:rsidP="003D71E7">
            <w:pPr>
              <w:pStyle w:val="ListParagraph"/>
              <w:ind w:left="360"/>
              <w:rPr>
                <w:b/>
                <w:szCs w:val="17"/>
              </w:rPr>
            </w:pPr>
            <w:r w:rsidRPr="003D71E7">
              <w:rPr>
                <w:sz w:val="20"/>
                <w:szCs w:val="17"/>
              </w:rPr>
              <w:t>This measure is only eligible to assist a disaster affected household where they are the actual owner of the home and it is their principal place of residence.</w:t>
            </w:r>
          </w:p>
        </w:tc>
      </w:tr>
      <w:tr w:rsidR="00981F43" w:rsidRPr="003D71E7" w:rsidTr="00CE67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ListParagraph"/>
              <w:numPr>
                <w:ilvl w:val="0"/>
                <w:numId w:val="35"/>
              </w:numPr>
              <w:rPr>
                <w:b/>
                <w:szCs w:val="17"/>
              </w:rPr>
            </w:pPr>
            <w:r w:rsidRPr="003D71E7">
              <w:rPr>
                <w:b/>
                <w:sz w:val="20"/>
                <w:szCs w:val="17"/>
              </w:rPr>
              <w:t>Restoration of assets damaged</w:t>
            </w:r>
            <w:r w:rsidRPr="003D71E7">
              <w:rPr>
                <w:sz w:val="20"/>
                <w:szCs w:val="17"/>
              </w:rPr>
              <w:t xml:space="preserve"> during eligible counter disaster operations (i.e. fences that have been damaged when emergency access is required to combat the eligible natural disaster event).</w:t>
            </w:r>
          </w:p>
        </w:tc>
      </w:tr>
      <w:tr w:rsidR="00981F43" w:rsidRPr="003D71E7" w:rsidTr="00CE6730">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ListParagraph"/>
              <w:numPr>
                <w:ilvl w:val="0"/>
                <w:numId w:val="35"/>
              </w:numPr>
              <w:rPr>
                <w:b/>
                <w:szCs w:val="17"/>
              </w:rPr>
            </w:pPr>
            <w:r w:rsidRPr="003D71E7">
              <w:rPr>
                <w:b/>
                <w:sz w:val="20"/>
                <w:szCs w:val="17"/>
              </w:rPr>
              <w:t>Search and rescue</w:t>
            </w:r>
            <w:r w:rsidRPr="003D71E7">
              <w:rPr>
                <w:sz w:val="20"/>
                <w:szCs w:val="17"/>
              </w:rPr>
              <w:t xml:space="preserve"> operations</w:t>
            </w:r>
          </w:p>
        </w:tc>
      </w:tr>
      <w:tr w:rsidR="00981F43" w:rsidRPr="003D71E7" w:rsidTr="00CE67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rsidR="00981F43" w:rsidRPr="003D71E7" w:rsidRDefault="00981F43" w:rsidP="00981F43">
            <w:pPr>
              <w:pStyle w:val="ListParagraph"/>
              <w:numPr>
                <w:ilvl w:val="0"/>
                <w:numId w:val="35"/>
              </w:numPr>
              <w:rPr>
                <w:b/>
                <w:szCs w:val="17"/>
              </w:rPr>
            </w:pPr>
            <w:r w:rsidRPr="003D71E7">
              <w:rPr>
                <w:sz w:val="20"/>
                <w:szCs w:val="17"/>
              </w:rPr>
              <w:t xml:space="preserve">Establishment of </w:t>
            </w:r>
            <w:r w:rsidRPr="003D71E7">
              <w:rPr>
                <w:b/>
                <w:sz w:val="20"/>
                <w:szCs w:val="17"/>
              </w:rPr>
              <w:t>temporary dump sites</w:t>
            </w:r>
            <w:r w:rsidRPr="003D71E7">
              <w:rPr>
                <w:sz w:val="20"/>
                <w:szCs w:val="17"/>
              </w:rPr>
              <w:t xml:space="preserve"> for disposing of disaster related debris (includes establishment, operation and decommissioning costs).</w:t>
            </w:r>
          </w:p>
        </w:tc>
      </w:tr>
    </w:tbl>
    <w:p w:rsidR="004F0CC0" w:rsidRPr="003D71E7" w:rsidRDefault="004F0CC0" w:rsidP="003D71E7">
      <w:pPr>
        <w:pStyle w:val="Heading2"/>
      </w:pPr>
      <w:r w:rsidRPr="003D71E7">
        <w:t xml:space="preserve">Examples of ineligible counter disaster operations following all types of </w:t>
      </w:r>
      <w:r w:rsidR="00CF4A08" w:rsidRPr="003D71E7">
        <w:rPr>
          <w:sz w:val="22"/>
          <w:szCs w:val="20"/>
        </w:rPr>
        <w:t>natural disaster</w:t>
      </w:r>
      <w:r w:rsidR="00CF4A08" w:rsidRPr="003D71E7">
        <w:rPr>
          <w:sz w:val="20"/>
          <w:szCs w:val="20"/>
        </w:rPr>
        <w:t xml:space="preserve"> </w:t>
      </w:r>
      <w:r w:rsidRPr="003D71E7">
        <w:t>events</w:t>
      </w:r>
    </w:p>
    <w:tbl>
      <w:tblPr>
        <w:tblStyle w:val="DTFtexttable"/>
        <w:tblW w:w="0" w:type="auto"/>
        <w:tblBorders>
          <w:insideH w:val="single" w:sz="6" w:space="0" w:color="C7D7E9" w:themeColor="accent3" w:themeTint="66"/>
        </w:tblBorders>
        <w:tblCellMar>
          <w:left w:w="86" w:type="dxa"/>
          <w:right w:w="86" w:type="dxa"/>
        </w:tblCellMar>
        <w:tblLook w:val="0420" w:firstRow="1" w:lastRow="0" w:firstColumn="0" w:lastColumn="0" w:noHBand="0" w:noVBand="1"/>
      </w:tblPr>
      <w:tblGrid>
        <w:gridCol w:w="9140"/>
      </w:tblGrid>
      <w:tr w:rsidR="004F0CC0" w:rsidRPr="003D71E7" w:rsidTr="00C83674">
        <w:trPr>
          <w:cnfStyle w:val="100000000000" w:firstRow="1" w:lastRow="0" w:firstColumn="0" w:lastColumn="0" w:oddVBand="0" w:evenVBand="0" w:oddHBand="0" w:evenHBand="0" w:firstRowFirstColumn="0" w:firstRowLastColumn="0" w:lastRowFirstColumn="0" w:lastRowLastColumn="0"/>
        </w:trPr>
        <w:tc>
          <w:tcPr>
            <w:tcW w:w="9140" w:type="dxa"/>
          </w:tcPr>
          <w:p w:rsidR="004F0CC0" w:rsidRPr="003D71E7" w:rsidRDefault="004F0CC0" w:rsidP="003D71E7">
            <w:pPr>
              <w:keepNext w:val="0"/>
              <w:keepLines w:val="0"/>
              <w:spacing w:line="240" w:lineRule="atLeast"/>
              <w:jc w:val="both"/>
              <w:rPr>
                <w:rFonts w:cstheme="minorHAnsi"/>
                <w:b w:val="0"/>
                <w:szCs w:val="17"/>
              </w:rPr>
            </w:pPr>
            <w:r w:rsidRPr="003D71E7">
              <w:rPr>
                <w:rFonts w:cstheme="minorHAnsi"/>
                <w:szCs w:val="17"/>
              </w:rPr>
              <w:t>For the protection of the general public</w:t>
            </w:r>
          </w:p>
        </w:tc>
      </w:tr>
      <w:tr w:rsidR="000B77EF" w:rsidRPr="003D71E7" w:rsidTr="00C83674">
        <w:tc>
          <w:tcPr>
            <w:tcW w:w="9140" w:type="dxa"/>
          </w:tcPr>
          <w:p w:rsidR="000B77EF" w:rsidRPr="003D71E7" w:rsidRDefault="000B77EF">
            <w:pPr>
              <w:pStyle w:val="Tablebullet"/>
              <w:jc w:val="both"/>
              <w:rPr>
                <w:b/>
                <w:szCs w:val="17"/>
              </w:rPr>
            </w:pPr>
            <w:r w:rsidRPr="003D71E7">
              <w:rPr>
                <w:b/>
                <w:szCs w:val="17"/>
              </w:rPr>
              <w:t>Advertising</w:t>
            </w:r>
            <w:r w:rsidRPr="003D71E7">
              <w:rPr>
                <w:szCs w:val="17"/>
              </w:rPr>
              <w:t xml:space="preserve"> where not associated with an eligible NDRRA activity i.e. community events.</w:t>
            </w:r>
          </w:p>
        </w:tc>
      </w:tr>
      <w:tr w:rsidR="000B77EF" w:rsidRPr="003D71E7" w:rsidTr="00C83674">
        <w:trPr>
          <w:cnfStyle w:val="000000010000" w:firstRow="0" w:lastRow="0" w:firstColumn="0" w:lastColumn="0" w:oddVBand="0" w:evenVBand="0" w:oddHBand="0" w:evenHBand="1" w:firstRowFirstColumn="0" w:firstRowLastColumn="0" w:lastRowFirstColumn="0" w:lastRowLastColumn="0"/>
        </w:trPr>
        <w:tc>
          <w:tcPr>
            <w:tcW w:w="9140" w:type="dxa"/>
          </w:tcPr>
          <w:p w:rsidR="000B77EF" w:rsidRPr="003D71E7" w:rsidRDefault="000B77EF">
            <w:pPr>
              <w:pStyle w:val="Tablebullet"/>
              <w:jc w:val="both"/>
              <w:rPr>
                <w:color w:val="000000" w:themeColor="text1"/>
                <w:szCs w:val="17"/>
              </w:rPr>
            </w:pPr>
            <w:r w:rsidRPr="003D71E7">
              <w:rPr>
                <w:b/>
                <w:szCs w:val="17"/>
              </w:rPr>
              <w:t>Caravan Parks -</w:t>
            </w:r>
            <w:r w:rsidRPr="003D71E7">
              <w:rPr>
                <w:szCs w:val="17"/>
              </w:rPr>
              <w:t xml:space="preserve"> Restoration of damage located in Caravan Parks (owned by a private operator or local council).</w:t>
            </w:r>
          </w:p>
        </w:tc>
      </w:tr>
      <w:tr w:rsidR="00E50356" w:rsidRPr="003D71E7" w:rsidTr="00C83674">
        <w:tc>
          <w:tcPr>
            <w:tcW w:w="9140" w:type="dxa"/>
          </w:tcPr>
          <w:p w:rsidR="00E50356" w:rsidRPr="003D71E7" w:rsidRDefault="00E50356">
            <w:pPr>
              <w:pStyle w:val="Tablebullet"/>
              <w:rPr>
                <w:b/>
                <w:color w:val="000000" w:themeColor="text1"/>
                <w:szCs w:val="17"/>
              </w:rPr>
            </w:pPr>
            <w:r w:rsidRPr="003D71E7">
              <w:rPr>
                <w:b/>
                <w:color w:val="000000" w:themeColor="text1"/>
                <w:szCs w:val="17"/>
              </w:rPr>
              <w:t>Capital purchases for computers, phones and software.</w:t>
            </w:r>
          </w:p>
        </w:tc>
      </w:tr>
      <w:tr w:rsidR="00DA1537" w:rsidRPr="003D71E7" w:rsidTr="00C83674">
        <w:trPr>
          <w:cnfStyle w:val="000000010000" w:firstRow="0" w:lastRow="0" w:firstColumn="0" w:lastColumn="0" w:oddVBand="0" w:evenVBand="0" w:oddHBand="0" w:evenHBand="1" w:firstRowFirstColumn="0" w:firstRowLastColumn="0" w:lastRowFirstColumn="0" w:lastRowLastColumn="0"/>
        </w:trPr>
        <w:tc>
          <w:tcPr>
            <w:tcW w:w="9140" w:type="dxa"/>
          </w:tcPr>
          <w:p w:rsidR="00DA1537" w:rsidRPr="003D71E7" w:rsidRDefault="00DA1537" w:rsidP="003D71E7">
            <w:pPr>
              <w:pStyle w:val="Tablebullet"/>
              <w:rPr>
                <w:color w:val="000000" w:themeColor="text1"/>
                <w:szCs w:val="17"/>
              </w:rPr>
            </w:pPr>
            <w:r w:rsidRPr="003D71E7">
              <w:rPr>
                <w:b/>
                <w:color w:val="000000" w:themeColor="text1"/>
                <w:szCs w:val="17"/>
              </w:rPr>
              <w:t xml:space="preserve">Debris – </w:t>
            </w:r>
            <w:r w:rsidRPr="003D71E7">
              <w:rPr>
                <w:color w:val="000000" w:themeColor="text1"/>
                <w:szCs w:val="17"/>
              </w:rPr>
              <w:t>including dead stock, located beyond the immediate vicinity of a residential property is ineligible. For rural properties, the residential component is the area clearly identifiable as residential and not used for farming purposes (i.e. residential premise and immediate surroundings).</w:t>
            </w:r>
          </w:p>
        </w:tc>
      </w:tr>
      <w:tr w:rsidR="004F1F01" w:rsidRPr="003D71E7" w:rsidTr="00C83674">
        <w:tc>
          <w:tcPr>
            <w:tcW w:w="9140" w:type="dxa"/>
          </w:tcPr>
          <w:p w:rsidR="004F1F01" w:rsidRPr="003D71E7" w:rsidRDefault="004F1F01">
            <w:pPr>
              <w:pStyle w:val="Tablebullet"/>
              <w:jc w:val="both"/>
              <w:rPr>
                <w:b/>
                <w:color w:val="000000" w:themeColor="text1"/>
                <w:szCs w:val="17"/>
              </w:rPr>
            </w:pPr>
            <w:r w:rsidRPr="003D71E7">
              <w:rPr>
                <w:b/>
                <w:color w:val="000000" w:themeColor="text1"/>
                <w:szCs w:val="17"/>
              </w:rPr>
              <w:t xml:space="preserve">Driveways – </w:t>
            </w:r>
            <w:r w:rsidRPr="003D71E7">
              <w:rPr>
                <w:color w:val="000000" w:themeColor="text1"/>
                <w:szCs w:val="17"/>
              </w:rPr>
              <w:t>re</w:t>
            </w:r>
            <w:r w:rsidR="00DA1537" w:rsidRPr="003D71E7">
              <w:rPr>
                <w:color w:val="000000" w:themeColor="text1"/>
                <w:szCs w:val="17"/>
              </w:rPr>
              <w:t>-</w:t>
            </w:r>
            <w:r w:rsidRPr="003D71E7">
              <w:rPr>
                <w:color w:val="000000" w:themeColor="text1"/>
                <w:szCs w:val="17"/>
              </w:rPr>
              <w:t>grading of private driveways where there is no link to a natural disaster.</w:t>
            </w:r>
          </w:p>
        </w:tc>
      </w:tr>
      <w:tr w:rsidR="004F0CC0" w:rsidRPr="003D71E7" w:rsidTr="00C83674">
        <w:trPr>
          <w:cnfStyle w:val="000000010000" w:firstRow="0" w:lastRow="0" w:firstColumn="0" w:lastColumn="0" w:oddVBand="0" w:evenVBand="0" w:oddHBand="0" w:evenHBand="1" w:firstRowFirstColumn="0" w:firstRowLastColumn="0" w:lastRowFirstColumn="0" w:lastRowLastColumn="0"/>
        </w:trPr>
        <w:tc>
          <w:tcPr>
            <w:tcW w:w="9140" w:type="dxa"/>
          </w:tcPr>
          <w:p w:rsidR="004F0CC0" w:rsidRPr="003D71E7" w:rsidRDefault="000B77EF" w:rsidP="003D71E7">
            <w:pPr>
              <w:pStyle w:val="Tablebullet"/>
              <w:jc w:val="both"/>
              <w:rPr>
                <w:szCs w:val="17"/>
              </w:rPr>
            </w:pPr>
            <w:r w:rsidRPr="003D71E7">
              <w:rPr>
                <w:b/>
                <w:color w:val="000000" w:themeColor="text1"/>
                <w:szCs w:val="17"/>
              </w:rPr>
              <w:t>Fencing -</w:t>
            </w:r>
            <w:r w:rsidRPr="003D71E7">
              <w:rPr>
                <w:color w:val="000000" w:themeColor="text1"/>
                <w:szCs w:val="17"/>
              </w:rPr>
              <w:t xml:space="preserve"> </w:t>
            </w:r>
            <w:r w:rsidR="004F0CC0" w:rsidRPr="003D71E7">
              <w:rPr>
                <w:color w:val="000000" w:themeColor="text1"/>
                <w:szCs w:val="17"/>
              </w:rPr>
              <w:t>Establishment costs associated with a volunteer organisation repairing fencing on a residential property.</w:t>
            </w:r>
          </w:p>
        </w:tc>
      </w:tr>
      <w:tr w:rsidR="004F1F01" w:rsidRPr="003D71E7" w:rsidTr="00C83674">
        <w:tc>
          <w:tcPr>
            <w:tcW w:w="9140" w:type="dxa"/>
          </w:tcPr>
          <w:p w:rsidR="004F1F01" w:rsidRPr="003D71E7" w:rsidRDefault="004F1F01" w:rsidP="00D60AD6">
            <w:pPr>
              <w:pStyle w:val="Tablebullet"/>
              <w:jc w:val="both"/>
              <w:rPr>
                <w:b/>
                <w:color w:val="000000" w:themeColor="text1"/>
                <w:szCs w:val="17"/>
              </w:rPr>
            </w:pPr>
            <w:r w:rsidRPr="003D71E7">
              <w:rPr>
                <w:b/>
                <w:color w:val="000000" w:themeColor="text1"/>
                <w:szCs w:val="17"/>
              </w:rPr>
              <w:t xml:space="preserve">Fencing – </w:t>
            </w:r>
            <w:r w:rsidRPr="003D71E7">
              <w:rPr>
                <w:color w:val="000000" w:themeColor="text1"/>
                <w:szCs w:val="17"/>
              </w:rPr>
              <w:t>restoration of fencing bordering on private property and areas managed by either Councils or Catchment Management Authorities which are owned by the private property landholder.</w:t>
            </w:r>
          </w:p>
        </w:tc>
      </w:tr>
      <w:tr w:rsidR="004F0CC0" w:rsidRPr="003D71E7" w:rsidTr="00C83674">
        <w:trPr>
          <w:cnfStyle w:val="000000010000" w:firstRow="0" w:lastRow="0" w:firstColumn="0" w:lastColumn="0" w:oddVBand="0" w:evenVBand="0" w:oddHBand="0" w:evenHBand="1" w:firstRowFirstColumn="0" w:firstRowLastColumn="0" w:lastRowFirstColumn="0" w:lastRowLastColumn="0"/>
        </w:trPr>
        <w:tc>
          <w:tcPr>
            <w:tcW w:w="9140" w:type="dxa"/>
          </w:tcPr>
          <w:p w:rsidR="004F0CC0" w:rsidRPr="003D71E7" w:rsidRDefault="000B77EF" w:rsidP="003D71E7">
            <w:pPr>
              <w:pStyle w:val="Tablebullet"/>
              <w:jc w:val="both"/>
              <w:rPr>
                <w:szCs w:val="17"/>
              </w:rPr>
            </w:pPr>
            <w:r w:rsidRPr="003D71E7">
              <w:rPr>
                <w:b/>
                <w:color w:val="000000" w:themeColor="text1"/>
                <w:szCs w:val="17"/>
              </w:rPr>
              <w:t>Fencing -</w:t>
            </w:r>
            <w:r w:rsidRPr="003D71E7">
              <w:rPr>
                <w:color w:val="000000" w:themeColor="text1"/>
                <w:szCs w:val="17"/>
              </w:rPr>
              <w:t xml:space="preserve"> Temporary fencing to contain livestock wandering free as a result</w:t>
            </w:r>
            <w:r w:rsidR="004F1F01" w:rsidRPr="003D71E7">
              <w:rPr>
                <w:color w:val="000000" w:themeColor="text1"/>
                <w:szCs w:val="17"/>
              </w:rPr>
              <w:t xml:space="preserve"> of a natural disaster.</w:t>
            </w:r>
          </w:p>
        </w:tc>
      </w:tr>
      <w:tr w:rsidR="004F0CC0" w:rsidRPr="003D71E7" w:rsidTr="00C83674">
        <w:tc>
          <w:tcPr>
            <w:tcW w:w="9140" w:type="dxa"/>
          </w:tcPr>
          <w:p w:rsidR="004F0CC0" w:rsidRPr="003D71E7" w:rsidRDefault="004F1F01" w:rsidP="003D71E7">
            <w:pPr>
              <w:pStyle w:val="Tablebullet"/>
              <w:jc w:val="both"/>
              <w:rPr>
                <w:szCs w:val="17"/>
              </w:rPr>
            </w:pPr>
            <w:r w:rsidRPr="003D71E7">
              <w:rPr>
                <w:b/>
                <w:color w:val="000000" w:themeColor="text1"/>
                <w:szCs w:val="17"/>
              </w:rPr>
              <w:t>Internal plant hire</w:t>
            </w:r>
            <w:r w:rsidRPr="003D71E7">
              <w:rPr>
                <w:color w:val="000000" w:themeColor="text1"/>
                <w:szCs w:val="17"/>
              </w:rPr>
              <w:t>.</w:t>
            </w:r>
          </w:p>
        </w:tc>
      </w:tr>
      <w:tr w:rsidR="00C654FF" w:rsidRPr="003D71E7" w:rsidTr="00D57380">
        <w:trPr>
          <w:cnfStyle w:val="000000010000" w:firstRow="0" w:lastRow="0" w:firstColumn="0" w:lastColumn="0" w:oddVBand="0" w:evenVBand="0" w:oddHBand="0" w:evenHBand="1" w:firstRowFirstColumn="0" w:firstRowLastColumn="0" w:lastRowFirstColumn="0" w:lastRowLastColumn="0"/>
        </w:trPr>
        <w:tc>
          <w:tcPr>
            <w:tcW w:w="9140" w:type="dxa"/>
          </w:tcPr>
          <w:p w:rsidR="00C654FF" w:rsidRPr="003D71E7" w:rsidRDefault="00C654FF" w:rsidP="00D57380">
            <w:pPr>
              <w:pStyle w:val="Tablebullet"/>
              <w:jc w:val="both"/>
              <w:rPr>
                <w:color w:val="000000" w:themeColor="text1"/>
                <w:szCs w:val="17"/>
              </w:rPr>
            </w:pPr>
            <w:r w:rsidRPr="003D71E7">
              <w:rPr>
                <w:b/>
                <w:color w:val="000000" w:themeColor="text1"/>
                <w:szCs w:val="17"/>
              </w:rPr>
              <w:t>Parks and Gardens</w:t>
            </w:r>
            <w:r w:rsidRPr="003D71E7">
              <w:rPr>
                <w:color w:val="000000" w:themeColor="text1"/>
                <w:szCs w:val="17"/>
              </w:rPr>
              <w:t xml:space="preserve"> – </w:t>
            </w:r>
            <w:r w:rsidR="003D71E7" w:rsidRPr="003D71E7">
              <w:rPr>
                <w:color w:val="000000" w:themeColor="text1"/>
                <w:szCs w:val="17"/>
              </w:rPr>
              <w:t>clean-up</w:t>
            </w:r>
            <w:r w:rsidRPr="003D71E7">
              <w:rPr>
                <w:color w:val="000000" w:themeColor="text1"/>
                <w:szCs w:val="17"/>
              </w:rPr>
              <w:t xml:space="preserve"> of debris</w:t>
            </w:r>
            <w:r w:rsidR="00FD3EAA" w:rsidRPr="003D71E7">
              <w:rPr>
                <w:color w:val="000000" w:themeColor="text1"/>
                <w:szCs w:val="17"/>
              </w:rPr>
              <w:t>.</w:t>
            </w:r>
          </w:p>
        </w:tc>
      </w:tr>
      <w:tr w:rsidR="00DA1537" w:rsidRPr="003D71E7" w:rsidTr="00D57380">
        <w:tc>
          <w:tcPr>
            <w:tcW w:w="9140" w:type="dxa"/>
          </w:tcPr>
          <w:p w:rsidR="00DA1537" w:rsidRPr="003D71E7" w:rsidRDefault="00DA1537" w:rsidP="00D57380">
            <w:pPr>
              <w:pStyle w:val="Tablebullet"/>
              <w:jc w:val="both"/>
              <w:rPr>
                <w:color w:val="000000" w:themeColor="text1"/>
                <w:szCs w:val="17"/>
              </w:rPr>
            </w:pPr>
            <w:r w:rsidRPr="003D71E7">
              <w:rPr>
                <w:b/>
                <w:color w:val="000000" w:themeColor="text1"/>
                <w:szCs w:val="17"/>
              </w:rPr>
              <w:t>Planning and building permit waivers</w:t>
            </w:r>
            <w:r w:rsidRPr="003D71E7">
              <w:rPr>
                <w:color w:val="000000" w:themeColor="text1"/>
                <w:szCs w:val="17"/>
              </w:rPr>
              <w:t xml:space="preserve"> to assist residential property owners to rebuild</w:t>
            </w:r>
            <w:r w:rsidR="00FD3EAA" w:rsidRPr="003D71E7">
              <w:rPr>
                <w:color w:val="000000" w:themeColor="text1"/>
                <w:szCs w:val="17"/>
              </w:rPr>
              <w:t>.</w:t>
            </w:r>
          </w:p>
        </w:tc>
      </w:tr>
      <w:tr w:rsidR="004F0CC0" w:rsidRPr="003D71E7" w:rsidTr="00C83674">
        <w:trPr>
          <w:cnfStyle w:val="000000010000" w:firstRow="0" w:lastRow="0" w:firstColumn="0" w:lastColumn="0" w:oddVBand="0" w:evenVBand="0" w:oddHBand="0" w:evenHBand="1" w:firstRowFirstColumn="0" w:firstRowLastColumn="0" w:lastRowFirstColumn="0" w:lastRowLastColumn="0"/>
        </w:trPr>
        <w:tc>
          <w:tcPr>
            <w:tcW w:w="9140" w:type="dxa"/>
          </w:tcPr>
          <w:p w:rsidR="004F0CC0" w:rsidRPr="003D71E7" w:rsidRDefault="000B77EF" w:rsidP="003D71E7">
            <w:pPr>
              <w:pStyle w:val="Tablebullet"/>
              <w:jc w:val="both"/>
              <w:rPr>
                <w:szCs w:val="17"/>
              </w:rPr>
            </w:pPr>
            <w:r w:rsidRPr="003D71E7">
              <w:rPr>
                <w:b/>
                <w:szCs w:val="17"/>
              </w:rPr>
              <w:t>Restoration</w:t>
            </w:r>
            <w:r w:rsidRPr="003D71E7">
              <w:rPr>
                <w:szCs w:val="17"/>
              </w:rPr>
              <w:t xml:space="preserve"> of community assets not damaged whilst used as a relief or recovery centre or MECC.</w:t>
            </w:r>
          </w:p>
        </w:tc>
      </w:tr>
      <w:tr w:rsidR="00C654FF" w:rsidRPr="003D71E7" w:rsidTr="00CE6730">
        <w:tc>
          <w:tcPr>
            <w:tcW w:w="9140" w:type="dxa"/>
          </w:tcPr>
          <w:p w:rsidR="00C654FF" w:rsidRPr="003D71E7" w:rsidRDefault="00C654FF" w:rsidP="00CE6730">
            <w:pPr>
              <w:pStyle w:val="Tablebullet"/>
              <w:jc w:val="both"/>
              <w:rPr>
                <w:szCs w:val="17"/>
              </w:rPr>
            </w:pPr>
            <w:r w:rsidRPr="003D71E7">
              <w:rPr>
                <w:b/>
                <w:color w:val="000000" w:themeColor="text1"/>
                <w:szCs w:val="17"/>
              </w:rPr>
              <w:t>Staffing Costs -</w:t>
            </w:r>
            <w:r w:rsidRPr="003D71E7">
              <w:rPr>
                <w:color w:val="000000" w:themeColor="text1"/>
                <w:szCs w:val="17"/>
              </w:rPr>
              <w:t xml:space="preserve"> Normal day labour salaries and wages outside of the NDRRA.</w:t>
            </w:r>
          </w:p>
        </w:tc>
      </w:tr>
      <w:tr w:rsidR="00C654FF" w:rsidRPr="003D71E7" w:rsidTr="00CE6730">
        <w:trPr>
          <w:cnfStyle w:val="000000010000" w:firstRow="0" w:lastRow="0" w:firstColumn="0" w:lastColumn="0" w:oddVBand="0" w:evenVBand="0" w:oddHBand="0" w:evenHBand="1" w:firstRowFirstColumn="0" w:firstRowLastColumn="0" w:lastRowFirstColumn="0" w:lastRowLastColumn="0"/>
        </w:trPr>
        <w:tc>
          <w:tcPr>
            <w:tcW w:w="9140" w:type="dxa"/>
          </w:tcPr>
          <w:p w:rsidR="00C654FF" w:rsidRPr="003D71E7" w:rsidRDefault="00C654FF" w:rsidP="00CE6730">
            <w:pPr>
              <w:pStyle w:val="Tablebullet"/>
              <w:jc w:val="both"/>
              <w:rPr>
                <w:color w:val="000000" w:themeColor="text1"/>
                <w:szCs w:val="17"/>
              </w:rPr>
            </w:pPr>
            <w:r w:rsidRPr="003D71E7">
              <w:rPr>
                <w:b/>
                <w:color w:val="000000" w:themeColor="text1"/>
                <w:szCs w:val="17"/>
              </w:rPr>
              <w:t>Staffing costs -</w:t>
            </w:r>
            <w:r w:rsidRPr="003D71E7">
              <w:rPr>
                <w:color w:val="000000" w:themeColor="text1"/>
                <w:szCs w:val="17"/>
              </w:rPr>
              <w:t xml:space="preserve"> Compassionate leave</w:t>
            </w:r>
            <w:r w:rsidR="00FD3EAA" w:rsidRPr="003D71E7">
              <w:rPr>
                <w:color w:val="000000" w:themeColor="text1"/>
                <w:szCs w:val="17"/>
              </w:rPr>
              <w:t>.</w:t>
            </w:r>
          </w:p>
        </w:tc>
      </w:tr>
      <w:tr w:rsidR="00C654FF" w:rsidRPr="003D71E7" w:rsidTr="00CE6730">
        <w:tc>
          <w:tcPr>
            <w:tcW w:w="9140" w:type="dxa"/>
          </w:tcPr>
          <w:p w:rsidR="00C654FF" w:rsidRPr="003D71E7" w:rsidRDefault="00C654FF" w:rsidP="00CE6730">
            <w:pPr>
              <w:pStyle w:val="Tablebullet"/>
              <w:jc w:val="both"/>
              <w:rPr>
                <w:color w:val="000000" w:themeColor="text1"/>
                <w:szCs w:val="17"/>
              </w:rPr>
            </w:pPr>
            <w:r w:rsidRPr="003D71E7">
              <w:rPr>
                <w:b/>
                <w:color w:val="000000" w:themeColor="text1"/>
                <w:szCs w:val="17"/>
              </w:rPr>
              <w:t>Staffing costs</w:t>
            </w:r>
            <w:r w:rsidRPr="003D71E7">
              <w:rPr>
                <w:color w:val="000000" w:themeColor="text1"/>
                <w:szCs w:val="17"/>
              </w:rPr>
              <w:t xml:space="preserve"> - Staff counselling</w:t>
            </w:r>
            <w:r w:rsidR="00FD3EAA" w:rsidRPr="003D71E7">
              <w:rPr>
                <w:color w:val="000000" w:themeColor="text1"/>
                <w:szCs w:val="17"/>
              </w:rPr>
              <w:t>.</w:t>
            </w:r>
          </w:p>
        </w:tc>
      </w:tr>
      <w:tr w:rsidR="000B77EF" w:rsidRPr="003D71E7" w:rsidTr="00C83674">
        <w:trPr>
          <w:cnfStyle w:val="000000010000" w:firstRow="0" w:lastRow="0" w:firstColumn="0" w:lastColumn="0" w:oddVBand="0" w:evenVBand="0" w:oddHBand="0" w:evenHBand="1" w:firstRowFirstColumn="0" w:firstRowLastColumn="0" w:lastRowFirstColumn="0" w:lastRowLastColumn="0"/>
        </w:trPr>
        <w:tc>
          <w:tcPr>
            <w:tcW w:w="9140" w:type="dxa"/>
          </w:tcPr>
          <w:p w:rsidR="000B77EF" w:rsidRPr="003D71E7" w:rsidRDefault="000B77EF" w:rsidP="00D60AD6">
            <w:pPr>
              <w:pStyle w:val="Tablebullet"/>
              <w:rPr>
                <w:szCs w:val="17"/>
              </w:rPr>
            </w:pPr>
            <w:r w:rsidRPr="003D71E7">
              <w:rPr>
                <w:b/>
                <w:szCs w:val="17"/>
              </w:rPr>
              <w:t>Tree stumps -</w:t>
            </w:r>
            <w:r w:rsidRPr="003D71E7">
              <w:rPr>
                <w:szCs w:val="17"/>
              </w:rPr>
              <w:t xml:space="preserve"> removal of a tree stump where it is unclear if a tree was </w:t>
            </w:r>
            <w:r w:rsidR="003D71E7" w:rsidRPr="003D71E7">
              <w:rPr>
                <w:szCs w:val="17"/>
              </w:rPr>
              <w:t>falling</w:t>
            </w:r>
            <w:r w:rsidRPr="003D71E7">
              <w:rPr>
                <w:szCs w:val="17"/>
              </w:rPr>
              <w:t xml:space="preserve"> on a road or road reserve or in the immediate vicinity of a residential property.</w:t>
            </w:r>
          </w:p>
        </w:tc>
      </w:tr>
    </w:tbl>
    <w:p w:rsidR="008D1BCB" w:rsidRPr="003D71E7" w:rsidRDefault="008D1BCB" w:rsidP="003D71E7"/>
    <w:p w:rsidR="005F73FC" w:rsidRPr="003D71E7" w:rsidRDefault="003F574D" w:rsidP="003D71E7">
      <w:pPr>
        <w:pStyle w:val="Heading2"/>
      </w:pPr>
      <w:r w:rsidRPr="003D71E7">
        <w:t>Examples of eligible counter disaster operations following bushfire events</w:t>
      </w:r>
    </w:p>
    <w:tbl>
      <w:tblPr>
        <w:tblStyle w:val="DTFtexttable"/>
        <w:tblW w:w="0" w:type="auto"/>
        <w:tblBorders>
          <w:insideH w:val="single" w:sz="6" w:space="0" w:color="C7D7E9" w:themeColor="accent3" w:themeTint="66"/>
        </w:tblBorders>
        <w:tblCellMar>
          <w:left w:w="86" w:type="dxa"/>
          <w:right w:w="86" w:type="dxa"/>
        </w:tblCellMar>
        <w:tblLook w:val="06A0" w:firstRow="1" w:lastRow="0" w:firstColumn="1" w:lastColumn="0" w:noHBand="1" w:noVBand="1"/>
      </w:tblPr>
      <w:tblGrid>
        <w:gridCol w:w="4593"/>
        <w:gridCol w:w="4547"/>
      </w:tblGrid>
      <w:tr w:rsidR="009506FA" w:rsidRPr="003D71E7" w:rsidTr="00A138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3" w:type="dxa"/>
          </w:tcPr>
          <w:p w:rsidR="00444698" w:rsidRPr="003D71E7" w:rsidRDefault="006F43FB" w:rsidP="003D71E7">
            <w:pPr>
              <w:jc w:val="both"/>
              <w:rPr>
                <w:rFonts w:cstheme="minorHAnsi"/>
                <w:b w:val="0"/>
                <w:szCs w:val="17"/>
              </w:rPr>
            </w:pPr>
            <w:r w:rsidRPr="003D71E7">
              <w:rPr>
                <w:rFonts w:cstheme="minorHAnsi"/>
                <w:sz w:val="20"/>
                <w:szCs w:val="17"/>
              </w:rPr>
              <w:t>D</w:t>
            </w:r>
            <w:r w:rsidR="00444698" w:rsidRPr="003D71E7">
              <w:rPr>
                <w:rFonts w:cstheme="minorHAnsi"/>
                <w:sz w:val="20"/>
                <w:szCs w:val="17"/>
              </w:rPr>
              <w:t>irect assistance to individuals or households</w:t>
            </w:r>
          </w:p>
        </w:tc>
        <w:tc>
          <w:tcPr>
            <w:tcW w:w="4547" w:type="dxa"/>
          </w:tcPr>
          <w:p w:rsidR="00444698" w:rsidRPr="003D71E7" w:rsidRDefault="00444698" w:rsidP="003D71E7">
            <w:pPr>
              <w:jc w:val="both"/>
              <w:cnfStyle w:val="100000000000" w:firstRow="1" w:lastRow="0" w:firstColumn="0" w:lastColumn="0" w:oddVBand="0" w:evenVBand="0" w:oddHBand="0" w:evenHBand="0" w:firstRowFirstColumn="0" w:firstRowLastColumn="0" w:lastRowFirstColumn="0" w:lastRowLastColumn="0"/>
              <w:rPr>
                <w:rFonts w:cstheme="minorHAnsi"/>
                <w:b w:val="0"/>
                <w:szCs w:val="17"/>
              </w:rPr>
            </w:pPr>
            <w:r w:rsidRPr="003D71E7">
              <w:rPr>
                <w:rFonts w:cstheme="minorHAnsi"/>
                <w:sz w:val="20"/>
                <w:szCs w:val="17"/>
              </w:rPr>
              <w:t>For the protection of the general public</w:t>
            </w:r>
          </w:p>
        </w:tc>
      </w:tr>
      <w:tr w:rsidR="00444698" w:rsidRPr="003D71E7" w:rsidTr="003D71E7">
        <w:trPr>
          <w:trHeight w:val="820"/>
        </w:trPr>
        <w:tc>
          <w:tcPr>
            <w:cnfStyle w:val="001000000000" w:firstRow="0" w:lastRow="0" w:firstColumn="1" w:lastColumn="0" w:oddVBand="0" w:evenVBand="0" w:oddHBand="0" w:evenHBand="0" w:firstRowFirstColumn="0" w:firstRowLastColumn="0" w:lastRowFirstColumn="0" w:lastRowLastColumn="0"/>
            <w:tcW w:w="0" w:type="dxa"/>
          </w:tcPr>
          <w:p w:rsidR="00444698" w:rsidRPr="003D71E7" w:rsidRDefault="00444698" w:rsidP="003D71E7">
            <w:pPr>
              <w:pStyle w:val="Tablebullet"/>
              <w:jc w:val="both"/>
              <w:rPr>
                <w:szCs w:val="17"/>
              </w:rPr>
            </w:pPr>
            <w:r w:rsidRPr="003D71E7">
              <w:rPr>
                <w:szCs w:val="17"/>
              </w:rPr>
              <w:t xml:space="preserve">Cleaning and refilling </w:t>
            </w:r>
            <w:r w:rsidRPr="003D71E7">
              <w:rPr>
                <w:b/>
                <w:szCs w:val="17"/>
              </w:rPr>
              <w:t>residential potable water</w:t>
            </w:r>
            <w:r w:rsidRPr="003D71E7">
              <w:rPr>
                <w:szCs w:val="17"/>
              </w:rPr>
              <w:t xml:space="preserve"> </w:t>
            </w:r>
            <w:r w:rsidRPr="003D71E7">
              <w:rPr>
                <w:b/>
                <w:szCs w:val="17"/>
              </w:rPr>
              <w:t>and septic tanks</w:t>
            </w:r>
            <w:r w:rsidRPr="003D71E7">
              <w:rPr>
                <w:szCs w:val="17"/>
              </w:rPr>
              <w:t xml:space="preserve"> arising from debris to ensure that residential properties are safe and habitable.</w:t>
            </w:r>
          </w:p>
        </w:tc>
        <w:tc>
          <w:tcPr>
            <w:tcW w:w="0" w:type="dxa"/>
            <w:tcBorders>
              <w:bottom w:val="nil"/>
            </w:tcBorders>
          </w:tcPr>
          <w:p w:rsidR="00444698" w:rsidRPr="003D71E7" w:rsidRDefault="00444698" w:rsidP="003D71E7">
            <w:pPr>
              <w:pStyle w:val="Tablebullet"/>
              <w:jc w:val="both"/>
              <w:cnfStyle w:val="000000000000" w:firstRow="0" w:lastRow="0" w:firstColumn="0" w:lastColumn="0" w:oddVBand="0" w:evenVBand="0" w:oddHBand="0" w:evenHBand="0" w:firstRowFirstColumn="0" w:firstRowLastColumn="0" w:lastRowFirstColumn="0" w:lastRowLastColumn="0"/>
              <w:rPr>
                <w:szCs w:val="17"/>
              </w:rPr>
            </w:pPr>
            <w:r w:rsidRPr="003D71E7">
              <w:rPr>
                <w:b/>
                <w:szCs w:val="17"/>
              </w:rPr>
              <w:t>Establishment of bushfire control lines</w:t>
            </w:r>
            <w:r w:rsidRPr="003D71E7">
              <w:rPr>
                <w:szCs w:val="17"/>
              </w:rPr>
              <w:t xml:space="preserve"> to ensure public health and safety in public areas due to threatening bushfires including the hiring of additional dozers.</w:t>
            </w:r>
            <w:r w:rsidR="00DD0038" w:rsidRPr="003D71E7">
              <w:rPr>
                <w:szCs w:val="17"/>
              </w:rPr>
              <w:t xml:space="preserve"> </w:t>
            </w:r>
          </w:p>
        </w:tc>
      </w:tr>
      <w:tr w:rsidR="00444698" w:rsidRPr="003D71E7" w:rsidTr="003D71E7">
        <w:tc>
          <w:tcPr>
            <w:cnfStyle w:val="001000000000" w:firstRow="0" w:lastRow="0" w:firstColumn="1" w:lastColumn="0" w:oddVBand="0" w:evenVBand="0" w:oddHBand="0" w:evenHBand="0" w:firstRowFirstColumn="0" w:firstRowLastColumn="0" w:lastRowFirstColumn="0" w:lastRowLastColumn="0"/>
            <w:tcW w:w="0" w:type="dxa"/>
          </w:tcPr>
          <w:p w:rsidR="00444698" w:rsidRPr="003D71E7" w:rsidRDefault="00444698" w:rsidP="003D71E7">
            <w:pPr>
              <w:pStyle w:val="Tablebullet"/>
              <w:jc w:val="both"/>
              <w:rPr>
                <w:szCs w:val="17"/>
              </w:rPr>
            </w:pPr>
            <w:r w:rsidRPr="003D71E7">
              <w:rPr>
                <w:b/>
                <w:szCs w:val="17"/>
              </w:rPr>
              <w:t>Establishment of bushfire control lines</w:t>
            </w:r>
            <w:r w:rsidRPr="003D71E7">
              <w:rPr>
                <w:szCs w:val="17"/>
              </w:rPr>
              <w:t xml:space="preserve"> </w:t>
            </w:r>
            <w:r w:rsidR="005D58F7" w:rsidRPr="003D71E7">
              <w:rPr>
                <w:szCs w:val="17"/>
              </w:rPr>
              <w:t xml:space="preserve">and other bushfire response activities </w:t>
            </w:r>
            <w:r w:rsidRPr="003D71E7">
              <w:rPr>
                <w:szCs w:val="17"/>
              </w:rPr>
              <w:t>to protect residential properties from threatening bushfires including the hiring of additional dozers.</w:t>
            </w:r>
          </w:p>
        </w:tc>
        <w:tc>
          <w:tcPr>
            <w:tcW w:w="0" w:type="dxa"/>
            <w:tcBorders>
              <w:top w:val="nil"/>
              <w:bottom w:val="nil"/>
            </w:tcBorders>
          </w:tcPr>
          <w:p w:rsidR="00444698" w:rsidRPr="003D71E7" w:rsidRDefault="00444698" w:rsidP="003D71E7">
            <w:pPr>
              <w:pStyle w:val="Tabletext"/>
              <w:jc w:val="both"/>
              <w:cnfStyle w:val="000000000000" w:firstRow="0" w:lastRow="0" w:firstColumn="0" w:lastColumn="0" w:oddVBand="0" w:evenVBand="0" w:oddHBand="0" w:evenHBand="0" w:firstRowFirstColumn="0" w:firstRowLastColumn="0" w:lastRowFirstColumn="0" w:lastRowLastColumn="0"/>
              <w:rPr>
                <w:szCs w:val="17"/>
              </w:rPr>
            </w:pPr>
          </w:p>
        </w:tc>
      </w:tr>
      <w:tr w:rsidR="000E5794" w:rsidRPr="003D71E7" w:rsidTr="00A1382B">
        <w:tc>
          <w:tcPr>
            <w:cnfStyle w:val="001000000000" w:firstRow="0" w:lastRow="0" w:firstColumn="1" w:lastColumn="0" w:oddVBand="0" w:evenVBand="0" w:oddHBand="0" w:evenHBand="0" w:firstRowFirstColumn="0" w:firstRowLastColumn="0" w:lastRowFirstColumn="0" w:lastRowLastColumn="0"/>
            <w:tcW w:w="4593" w:type="dxa"/>
          </w:tcPr>
          <w:p w:rsidR="000E5794" w:rsidRPr="003D71E7" w:rsidRDefault="000E5794">
            <w:pPr>
              <w:pStyle w:val="Tablebullet"/>
              <w:jc w:val="both"/>
              <w:rPr>
                <w:b/>
                <w:szCs w:val="17"/>
              </w:rPr>
            </w:pPr>
            <w:r w:rsidRPr="003D71E7">
              <w:rPr>
                <w:b/>
                <w:szCs w:val="17"/>
              </w:rPr>
              <w:t>Resupply of water</w:t>
            </w:r>
            <w:r w:rsidRPr="003D71E7">
              <w:rPr>
                <w:szCs w:val="17"/>
              </w:rPr>
              <w:t xml:space="preserve"> used for firefighting as long as the water was used for an eligible counter disaster activity.</w:t>
            </w:r>
          </w:p>
        </w:tc>
        <w:tc>
          <w:tcPr>
            <w:tcW w:w="4547" w:type="dxa"/>
            <w:tcBorders>
              <w:top w:val="nil"/>
              <w:bottom w:val="single" w:sz="12" w:space="0" w:color="0063A6" w:themeColor="accent1"/>
            </w:tcBorders>
          </w:tcPr>
          <w:p w:rsidR="000E5794" w:rsidRPr="003D71E7" w:rsidRDefault="000E5794">
            <w:pPr>
              <w:pStyle w:val="Tabletext"/>
              <w:jc w:val="both"/>
              <w:cnfStyle w:val="000000000000" w:firstRow="0" w:lastRow="0" w:firstColumn="0" w:lastColumn="0" w:oddVBand="0" w:evenVBand="0" w:oddHBand="0" w:evenHBand="0" w:firstRowFirstColumn="0" w:firstRowLastColumn="0" w:lastRowFirstColumn="0" w:lastRowLastColumn="0"/>
              <w:rPr>
                <w:szCs w:val="17"/>
              </w:rPr>
            </w:pPr>
          </w:p>
        </w:tc>
      </w:tr>
    </w:tbl>
    <w:p w:rsidR="005F73FC" w:rsidRPr="003D71E7" w:rsidRDefault="003F574D" w:rsidP="003D71E7">
      <w:pPr>
        <w:pStyle w:val="Heading2"/>
      </w:pPr>
      <w:r w:rsidRPr="003D71E7">
        <w:t>Example of eligible counter disaster operations following f</w:t>
      </w:r>
      <w:r w:rsidR="008920DD" w:rsidRPr="003D71E7">
        <w:t>lood events</w:t>
      </w:r>
    </w:p>
    <w:tbl>
      <w:tblPr>
        <w:tblStyle w:val="DTFtexttable"/>
        <w:tblW w:w="0" w:type="auto"/>
        <w:tblBorders>
          <w:insideH w:val="single" w:sz="6" w:space="0" w:color="C7D7E9" w:themeColor="accent3" w:themeTint="66"/>
        </w:tblBorders>
        <w:tblCellMar>
          <w:left w:w="86" w:type="dxa"/>
          <w:right w:w="86" w:type="dxa"/>
        </w:tblCellMar>
        <w:tblLook w:val="06A0" w:firstRow="1" w:lastRow="0" w:firstColumn="1" w:lastColumn="0" w:noHBand="1" w:noVBand="1"/>
      </w:tblPr>
      <w:tblGrid>
        <w:gridCol w:w="4570"/>
        <w:gridCol w:w="4570"/>
      </w:tblGrid>
      <w:tr w:rsidR="009506FA" w:rsidRPr="003D71E7" w:rsidTr="00A138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70" w:type="dxa"/>
          </w:tcPr>
          <w:p w:rsidR="009506FA" w:rsidRPr="003D71E7" w:rsidRDefault="006F43FB" w:rsidP="003D71E7">
            <w:pPr>
              <w:jc w:val="both"/>
              <w:rPr>
                <w:rFonts w:cstheme="minorHAnsi"/>
                <w:b w:val="0"/>
                <w:szCs w:val="17"/>
              </w:rPr>
            </w:pPr>
            <w:r w:rsidRPr="003D71E7">
              <w:rPr>
                <w:rFonts w:cstheme="minorHAnsi"/>
                <w:sz w:val="20"/>
                <w:szCs w:val="17"/>
              </w:rPr>
              <w:t>Direct</w:t>
            </w:r>
            <w:r w:rsidR="009506FA" w:rsidRPr="003D71E7">
              <w:rPr>
                <w:rFonts w:cstheme="minorHAnsi"/>
                <w:sz w:val="20"/>
                <w:szCs w:val="17"/>
              </w:rPr>
              <w:t xml:space="preserve"> assistance to individuals or households</w:t>
            </w:r>
          </w:p>
        </w:tc>
        <w:tc>
          <w:tcPr>
            <w:tcW w:w="4570" w:type="dxa"/>
          </w:tcPr>
          <w:p w:rsidR="009506FA" w:rsidRPr="003D71E7" w:rsidRDefault="009506FA" w:rsidP="003D71E7">
            <w:pPr>
              <w:jc w:val="both"/>
              <w:cnfStyle w:val="100000000000" w:firstRow="1" w:lastRow="0" w:firstColumn="0" w:lastColumn="0" w:oddVBand="0" w:evenVBand="0" w:oddHBand="0" w:evenHBand="0" w:firstRowFirstColumn="0" w:firstRowLastColumn="0" w:lastRowFirstColumn="0" w:lastRowLastColumn="0"/>
              <w:rPr>
                <w:rFonts w:cstheme="minorHAnsi"/>
                <w:b w:val="0"/>
                <w:szCs w:val="17"/>
              </w:rPr>
            </w:pPr>
            <w:r w:rsidRPr="003D71E7">
              <w:rPr>
                <w:rFonts w:cstheme="minorHAnsi"/>
                <w:sz w:val="20"/>
                <w:szCs w:val="17"/>
              </w:rPr>
              <w:t>For the protection of the general public</w:t>
            </w:r>
          </w:p>
        </w:tc>
      </w:tr>
      <w:tr w:rsidR="009506FA" w:rsidRPr="003D71E7" w:rsidTr="00A1382B">
        <w:tc>
          <w:tcPr>
            <w:cnfStyle w:val="001000000000" w:firstRow="0" w:lastRow="0" w:firstColumn="1" w:lastColumn="0" w:oddVBand="0" w:evenVBand="0" w:oddHBand="0" w:evenHBand="0" w:firstRowFirstColumn="0" w:firstRowLastColumn="0" w:lastRowFirstColumn="0" w:lastRowLastColumn="0"/>
            <w:tcW w:w="4570" w:type="dxa"/>
          </w:tcPr>
          <w:p w:rsidR="009506FA" w:rsidRPr="003D71E7" w:rsidRDefault="009506FA" w:rsidP="003D71E7">
            <w:pPr>
              <w:pStyle w:val="Tablebullet"/>
              <w:jc w:val="both"/>
              <w:rPr>
                <w:szCs w:val="17"/>
              </w:rPr>
            </w:pPr>
            <w:r w:rsidRPr="003D71E7">
              <w:rPr>
                <w:szCs w:val="17"/>
              </w:rPr>
              <w:t xml:space="preserve">Clearing of blocked </w:t>
            </w:r>
            <w:r w:rsidRPr="003D71E7">
              <w:rPr>
                <w:b/>
                <w:szCs w:val="17"/>
              </w:rPr>
              <w:t>drains and pipes</w:t>
            </w:r>
            <w:r w:rsidRPr="003D71E7">
              <w:rPr>
                <w:szCs w:val="17"/>
              </w:rPr>
              <w:t>.</w:t>
            </w:r>
          </w:p>
        </w:tc>
        <w:tc>
          <w:tcPr>
            <w:tcW w:w="4570" w:type="dxa"/>
          </w:tcPr>
          <w:p w:rsidR="009506FA" w:rsidRPr="003D71E7" w:rsidRDefault="007002E8" w:rsidP="003D71E7">
            <w:pPr>
              <w:pStyle w:val="Tablebullet"/>
              <w:jc w:val="both"/>
              <w:cnfStyle w:val="000000000000" w:firstRow="0" w:lastRow="0" w:firstColumn="0" w:lastColumn="0" w:oddVBand="0" w:evenVBand="0" w:oddHBand="0" w:evenHBand="0" w:firstRowFirstColumn="0" w:firstRowLastColumn="0" w:lastRowFirstColumn="0" w:lastRowLastColumn="0"/>
              <w:rPr>
                <w:szCs w:val="17"/>
              </w:rPr>
            </w:pPr>
            <w:r w:rsidRPr="003D71E7">
              <w:rPr>
                <w:szCs w:val="17"/>
              </w:rPr>
              <w:t xml:space="preserve">Clearing of blocked </w:t>
            </w:r>
            <w:r w:rsidRPr="003D71E7">
              <w:rPr>
                <w:b/>
                <w:szCs w:val="17"/>
              </w:rPr>
              <w:t>drains, culverts and bridges</w:t>
            </w:r>
            <w:r w:rsidRPr="003D71E7" w:rsidDel="007002E8">
              <w:rPr>
                <w:b/>
                <w:szCs w:val="17"/>
              </w:rPr>
              <w:t xml:space="preserve"> </w:t>
            </w:r>
          </w:p>
        </w:tc>
      </w:tr>
      <w:tr w:rsidR="009506FA" w:rsidRPr="003D71E7" w:rsidTr="003D71E7">
        <w:tc>
          <w:tcPr>
            <w:cnfStyle w:val="001000000000" w:firstRow="0" w:lastRow="0" w:firstColumn="1" w:lastColumn="0" w:oddVBand="0" w:evenVBand="0" w:oddHBand="0" w:evenHBand="0" w:firstRowFirstColumn="0" w:firstRowLastColumn="0" w:lastRowFirstColumn="0" w:lastRowLastColumn="0"/>
            <w:tcW w:w="0" w:type="dxa"/>
          </w:tcPr>
          <w:p w:rsidR="009506FA" w:rsidRPr="003D71E7" w:rsidRDefault="000E5794" w:rsidP="003D71E7">
            <w:pPr>
              <w:pStyle w:val="Tablebullet"/>
              <w:jc w:val="both"/>
              <w:rPr>
                <w:szCs w:val="17"/>
              </w:rPr>
            </w:pPr>
            <w:r w:rsidRPr="003D71E7">
              <w:rPr>
                <w:szCs w:val="17"/>
              </w:rPr>
              <w:t xml:space="preserve">Cleaning and refilling </w:t>
            </w:r>
            <w:r w:rsidRPr="003D71E7">
              <w:rPr>
                <w:b/>
                <w:szCs w:val="17"/>
              </w:rPr>
              <w:t>residential septic tanks</w:t>
            </w:r>
            <w:r w:rsidRPr="003D71E7">
              <w:rPr>
                <w:szCs w:val="17"/>
              </w:rPr>
              <w:t xml:space="preserve"> arising from debris to ensure that residential properties are safe and habitable.</w:t>
            </w:r>
          </w:p>
        </w:tc>
        <w:tc>
          <w:tcPr>
            <w:tcW w:w="0" w:type="dxa"/>
            <w:tcBorders>
              <w:bottom w:val="single" w:sz="6" w:space="0" w:color="C7D7E9" w:themeColor="accent3" w:themeTint="66"/>
            </w:tcBorders>
          </w:tcPr>
          <w:p w:rsidR="009506FA" w:rsidRPr="003D71E7" w:rsidRDefault="007002E8" w:rsidP="003D71E7">
            <w:pPr>
              <w:pStyle w:val="Tablebullet"/>
              <w:jc w:val="both"/>
              <w:cnfStyle w:val="000000000000" w:firstRow="0" w:lastRow="0" w:firstColumn="0" w:lastColumn="0" w:oddVBand="0" w:evenVBand="0" w:oddHBand="0" w:evenHBand="0" w:firstRowFirstColumn="0" w:firstRowLastColumn="0" w:lastRowFirstColumn="0" w:lastRowLastColumn="0"/>
              <w:rPr>
                <w:szCs w:val="17"/>
              </w:rPr>
            </w:pPr>
            <w:r w:rsidRPr="003D71E7">
              <w:rPr>
                <w:b/>
                <w:szCs w:val="17"/>
              </w:rPr>
              <w:t>Sandbagging</w:t>
            </w:r>
            <w:r w:rsidRPr="003D71E7">
              <w:rPr>
                <w:szCs w:val="17"/>
              </w:rPr>
              <w:t xml:space="preserve"> including the hiring of machines to fill sandbags necessary to ensure public health and safety in public areas related to inundation. </w:t>
            </w:r>
          </w:p>
        </w:tc>
      </w:tr>
      <w:tr w:rsidR="009506FA" w:rsidRPr="003D71E7" w:rsidTr="003D71E7">
        <w:tc>
          <w:tcPr>
            <w:cnfStyle w:val="001000000000" w:firstRow="0" w:lastRow="0" w:firstColumn="1" w:lastColumn="0" w:oddVBand="0" w:evenVBand="0" w:oddHBand="0" w:evenHBand="0" w:firstRowFirstColumn="0" w:firstRowLastColumn="0" w:lastRowFirstColumn="0" w:lastRowLastColumn="0"/>
            <w:tcW w:w="0" w:type="dxa"/>
          </w:tcPr>
          <w:p w:rsidR="009506FA" w:rsidRPr="003D71E7" w:rsidRDefault="000E5794" w:rsidP="003D71E7">
            <w:pPr>
              <w:pStyle w:val="Tablebullet"/>
              <w:jc w:val="both"/>
              <w:rPr>
                <w:szCs w:val="17"/>
              </w:rPr>
            </w:pPr>
            <w:r w:rsidRPr="003D71E7">
              <w:rPr>
                <w:b/>
                <w:szCs w:val="17"/>
              </w:rPr>
              <w:t>Sandbagging</w:t>
            </w:r>
            <w:r w:rsidRPr="003D71E7">
              <w:rPr>
                <w:szCs w:val="17"/>
              </w:rPr>
              <w:t xml:space="preserve"> (including the hiring of machines to fill sandbags) and the construction of temporary levees necessary to prevent inundation of residential properties.</w:t>
            </w:r>
          </w:p>
        </w:tc>
        <w:tc>
          <w:tcPr>
            <w:tcW w:w="0" w:type="dxa"/>
            <w:tcBorders>
              <w:top w:val="single" w:sz="6" w:space="0" w:color="C7D7E9" w:themeColor="accent3" w:themeTint="66"/>
              <w:bottom w:val="single" w:sz="6" w:space="0" w:color="C7D7E9" w:themeColor="accent3" w:themeTint="66"/>
            </w:tcBorders>
          </w:tcPr>
          <w:p w:rsidR="009506FA" w:rsidRPr="003D71E7" w:rsidRDefault="007002E8" w:rsidP="003D71E7">
            <w:pPr>
              <w:pStyle w:val="Tablebullet"/>
              <w:jc w:val="both"/>
              <w:cnfStyle w:val="000000000000" w:firstRow="0" w:lastRow="0" w:firstColumn="0" w:lastColumn="0" w:oddVBand="0" w:evenVBand="0" w:oddHBand="0" w:evenHBand="0" w:firstRowFirstColumn="0" w:firstRowLastColumn="0" w:lastRowFirstColumn="0" w:lastRowLastColumn="0"/>
              <w:rPr>
                <w:b/>
                <w:szCs w:val="17"/>
              </w:rPr>
            </w:pPr>
            <w:r w:rsidRPr="003D71E7">
              <w:rPr>
                <w:b/>
                <w:szCs w:val="17"/>
              </w:rPr>
              <w:t>Temporary flood crossings</w:t>
            </w:r>
            <w:r w:rsidRPr="003D71E7">
              <w:rPr>
                <w:szCs w:val="17"/>
              </w:rPr>
              <w:t xml:space="preserve"> required for either disaster relief operations to ensure public health and safety.</w:t>
            </w:r>
          </w:p>
        </w:tc>
      </w:tr>
      <w:tr w:rsidR="009506FA" w:rsidRPr="003D71E7" w:rsidTr="003D71E7">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18" w:space="0" w:color="0072CE" w:themeColor="accent4"/>
            </w:tcBorders>
          </w:tcPr>
          <w:p w:rsidR="009506FA" w:rsidRPr="003D71E7" w:rsidRDefault="000E5794" w:rsidP="003D71E7">
            <w:pPr>
              <w:pStyle w:val="Tablebullet"/>
              <w:jc w:val="both"/>
              <w:rPr>
                <w:szCs w:val="17"/>
              </w:rPr>
            </w:pPr>
            <w:r w:rsidRPr="003D71E7">
              <w:rPr>
                <w:b/>
                <w:szCs w:val="17"/>
              </w:rPr>
              <w:t>Temporary flood crossings</w:t>
            </w:r>
            <w:r w:rsidRPr="003D71E7">
              <w:rPr>
                <w:szCs w:val="17"/>
              </w:rPr>
              <w:t xml:space="preserve"> required for either disaster relief operations or to allow residents to return to their homes.</w:t>
            </w:r>
          </w:p>
        </w:tc>
        <w:tc>
          <w:tcPr>
            <w:tcW w:w="0" w:type="dxa"/>
            <w:tcBorders>
              <w:top w:val="nil"/>
              <w:bottom w:val="single" w:sz="18" w:space="0" w:color="0072CE" w:themeColor="accent4"/>
            </w:tcBorders>
          </w:tcPr>
          <w:p w:rsidR="009506FA" w:rsidRPr="003D71E7" w:rsidRDefault="007002E8" w:rsidP="003D71E7">
            <w:pPr>
              <w:pStyle w:val="Tablebullet"/>
              <w:cnfStyle w:val="000000000000" w:firstRow="0" w:lastRow="0" w:firstColumn="0" w:lastColumn="0" w:oddVBand="0" w:evenVBand="0" w:oddHBand="0" w:evenHBand="0" w:firstRowFirstColumn="0" w:firstRowLastColumn="0" w:lastRowFirstColumn="0" w:lastRowLastColumn="0"/>
              <w:rPr>
                <w:szCs w:val="17"/>
              </w:rPr>
            </w:pPr>
            <w:r w:rsidRPr="003D71E7">
              <w:rPr>
                <w:b/>
                <w:szCs w:val="17"/>
              </w:rPr>
              <w:t>Temporary levees</w:t>
            </w:r>
            <w:r w:rsidRPr="003D71E7">
              <w:rPr>
                <w:szCs w:val="17"/>
              </w:rPr>
              <w:t xml:space="preserve"> to prevent inundation around townships.</w:t>
            </w:r>
          </w:p>
        </w:tc>
      </w:tr>
    </w:tbl>
    <w:p w:rsidR="005F73FC" w:rsidRPr="003D71E7" w:rsidRDefault="005F73FC">
      <w:pPr>
        <w:pStyle w:val="Heading2"/>
      </w:pPr>
      <w:r w:rsidRPr="003D71E7">
        <w:t>Advice regarding eligibility</w:t>
      </w:r>
    </w:p>
    <w:p w:rsidR="004F0CC0" w:rsidRPr="00B2393F" w:rsidRDefault="005F73FC" w:rsidP="003D71E7">
      <w:pPr>
        <w:jc w:val="both"/>
      </w:pPr>
      <w:r w:rsidRPr="003D71E7">
        <w:t xml:space="preserve">The examples provided above are guidelines only. For any queries relating to the eligibility of relief and recovery expenditure, please contact </w:t>
      </w:r>
      <w:r w:rsidR="00646C0B" w:rsidRPr="003D71E7">
        <w:t>N</w:t>
      </w:r>
      <w:r w:rsidR="00646C0B">
        <w:t>DFA Team</w:t>
      </w:r>
      <w:r w:rsidRPr="00B2393F">
        <w:t xml:space="preserve"> on (03) 9651 2327 or email </w:t>
      </w:r>
      <w:hyperlink r:id="rId8" w:history="1">
        <w:r w:rsidR="004F0CC0" w:rsidRPr="00CA6605">
          <w:rPr>
            <w:rStyle w:val="Hyperlink"/>
          </w:rPr>
          <w:t>ndfa@dtf.vic.gov.au</w:t>
        </w:r>
      </w:hyperlink>
      <w:r w:rsidR="00AA11BD">
        <w:rPr>
          <w:color w:val="7F7F7F" w:themeColor="text1" w:themeTint="80"/>
        </w:rPr>
        <w:t>.</w:t>
      </w:r>
    </w:p>
    <w:sectPr w:rsidR="004F0CC0" w:rsidRPr="00B2393F" w:rsidSect="00A44D5A">
      <w:headerReference w:type="default" r:id="rId9"/>
      <w:footerReference w:type="even" r:id="rId10"/>
      <w:footerReference w:type="default" r:id="rId11"/>
      <w:pgSz w:w="11906" w:h="16838" w:code="9"/>
      <w:pgMar w:top="2160" w:right="1440" w:bottom="249" w:left="1440" w:header="709"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924" w:rsidRDefault="00C82924" w:rsidP="002D711A">
      <w:pPr>
        <w:spacing w:after="0" w:line="240" w:lineRule="auto"/>
      </w:pPr>
      <w:r>
        <w:separator/>
      </w:r>
    </w:p>
  </w:endnote>
  <w:endnote w:type="continuationSeparator" w:id="0">
    <w:p w:rsidR="00C82924" w:rsidRDefault="00C8292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686ABA2A" wp14:editId="6174C93A">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E3" w:rsidRDefault="004669E3" w:rsidP="004669E3">
    <w:pPr>
      <w:pStyle w:val="Spacer"/>
    </w:pPr>
  </w:p>
  <w:p w:rsidR="00813AD3" w:rsidRDefault="00813AD3" w:rsidP="0041689E">
    <w:pPr>
      <w:pStyle w:val="Footer"/>
      <w:rPr>
        <w:rFonts w:cstheme="minorHAnsi"/>
        <w:b/>
        <w:noProof w:val="0"/>
        <w:color w:val="0063A6" w:themeColor="accent1"/>
      </w:rPr>
    </w:pPr>
    <w:r>
      <w:rPr>
        <w:rFonts w:cstheme="minorHAnsi"/>
        <w:b/>
        <w:noProof w:val="0"/>
        <w:color w:val="0063A6" w:themeColor="accent1"/>
      </w:rPr>
      <w:t>Natural Disaster Financial Assistance for local councils</w:t>
    </w:r>
  </w:p>
  <w:p w:rsidR="0041689E" w:rsidRPr="00EC2B22" w:rsidRDefault="00B2393F" w:rsidP="0041689E">
    <w:pPr>
      <w:pStyle w:val="Footer"/>
      <w:rPr>
        <w:rFonts w:cstheme="minorHAnsi"/>
      </w:rPr>
    </w:pPr>
    <w:r w:rsidRPr="00EC2B22">
      <w:rPr>
        <w:rFonts w:cstheme="minorHAnsi"/>
        <w:b/>
        <w:noProof w:val="0"/>
        <w:color w:val="0063A6" w:themeColor="accent1"/>
      </w:rPr>
      <w:t xml:space="preserve">Counter </w:t>
    </w:r>
    <w:r w:rsidR="00813AD3">
      <w:rPr>
        <w:rFonts w:cstheme="minorHAnsi"/>
        <w:b/>
        <w:noProof w:val="0"/>
        <w:color w:val="0063A6" w:themeColor="accent1"/>
      </w:rPr>
      <w:t>disaster operations</w:t>
    </w:r>
    <w:r w:rsidRPr="00EC2B22">
      <w:rPr>
        <w:rFonts w:cstheme="minorHAnsi"/>
        <w:b/>
        <w:noProof w:val="0"/>
        <w:color w:val="0063A6" w:themeColor="accent1"/>
      </w:rPr>
      <w:t xml:space="preserve"> – </w:t>
    </w:r>
    <w:r w:rsidR="004F0CC0">
      <w:rPr>
        <w:rFonts w:cstheme="minorHAnsi"/>
        <w:b/>
        <w:noProof w:val="0"/>
        <w:color w:val="0063A6" w:themeColor="accent1"/>
      </w:rPr>
      <w:t xml:space="preserve">updated </w:t>
    </w:r>
    <w:r w:rsidR="00593A2A">
      <w:rPr>
        <w:rFonts w:cstheme="minorHAnsi"/>
        <w:b/>
        <w:noProof w:val="0"/>
        <w:color w:val="0063A6" w:themeColor="accent1"/>
      </w:rPr>
      <w:t xml:space="preserve">June </w:t>
    </w:r>
    <w:r w:rsidR="00E847BB">
      <w:rPr>
        <w:rFonts w:cstheme="minorHAnsi"/>
        <w:b/>
        <w:noProof w:val="0"/>
        <w:color w:val="0063A6" w:themeColor="accent1"/>
      </w:rPr>
      <w:t>201</w:t>
    </w:r>
    <w:r w:rsidR="004F0CC0">
      <w:rPr>
        <w:rFonts w:cstheme="minorHAnsi"/>
        <w:b/>
        <w:noProof w:val="0"/>
        <w:color w:val="0063A6" w:themeColor="accent1"/>
      </w:rPr>
      <w:t>8</w:t>
    </w:r>
    <w:r w:rsidR="0041689E" w:rsidRPr="00EC2B22">
      <w:rPr>
        <w:rFonts w:cstheme="minorHAnsi"/>
      </w:rPr>
      <w:tab/>
      <w:t xml:space="preserve">Page </w:t>
    </w:r>
    <w:r w:rsidR="0041689E" w:rsidRPr="00EC2B22">
      <w:rPr>
        <w:rStyle w:val="PageNumber"/>
        <w:rFonts w:cstheme="minorHAnsi"/>
      </w:rPr>
      <w:fldChar w:fldCharType="begin"/>
    </w:r>
    <w:r w:rsidR="0041689E" w:rsidRPr="00EC2B22">
      <w:rPr>
        <w:rStyle w:val="PageNumber"/>
        <w:rFonts w:cstheme="minorHAnsi"/>
      </w:rPr>
      <w:instrText xml:space="preserve"> Page </w:instrText>
    </w:r>
    <w:r w:rsidR="0041689E" w:rsidRPr="00EC2B22">
      <w:rPr>
        <w:rStyle w:val="PageNumber"/>
        <w:rFonts w:cstheme="minorHAnsi"/>
      </w:rPr>
      <w:fldChar w:fldCharType="separate"/>
    </w:r>
    <w:r w:rsidR="00FD3EAA">
      <w:rPr>
        <w:rStyle w:val="PageNumber"/>
        <w:rFonts w:cstheme="minorHAnsi"/>
      </w:rPr>
      <w:t>2</w:t>
    </w:r>
    <w:r w:rsidR="0041689E" w:rsidRPr="00EC2B22">
      <w:rPr>
        <w:rStyle w:val="PageNumbe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924" w:rsidRDefault="00C82924" w:rsidP="002D711A">
      <w:pPr>
        <w:spacing w:after="0" w:line="240" w:lineRule="auto"/>
      </w:pPr>
      <w:r>
        <w:separator/>
      </w:r>
    </w:p>
  </w:footnote>
  <w:footnote w:type="continuationSeparator" w:id="0">
    <w:p w:rsidR="00C82924" w:rsidRDefault="00C8292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04356D">
    <w:pPr>
      <w:pStyle w:val="Header"/>
    </w:pPr>
    <w:r>
      <w:rPr>
        <w:noProof/>
      </w:rPr>
      <w:drawing>
        <wp:anchor distT="0" distB="0" distL="114300" distR="114300" simplePos="0" relativeHeight="251670528" behindDoc="0" locked="0" layoutInCell="1" allowOverlap="1" wp14:anchorId="7FA4EF86" wp14:editId="7585E4A8">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2CA20056" wp14:editId="5DF3AE18">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4"/>
    <w:multiLevelType w:val="hybridMultilevel"/>
    <w:tmpl w:val="3CC4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078CF"/>
    <w:multiLevelType w:val="hybridMultilevel"/>
    <w:tmpl w:val="DCE4C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C67886"/>
    <w:multiLevelType w:val="hybridMultilevel"/>
    <w:tmpl w:val="1E22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843AD"/>
    <w:multiLevelType w:val="hybridMultilevel"/>
    <w:tmpl w:val="133C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B24FC"/>
    <w:multiLevelType w:val="hybridMultilevel"/>
    <w:tmpl w:val="8EAC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023A88"/>
    <w:multiLevelType w:val="multilevel"/>
    <w:tmpl w:val="58A88892"/>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lvlText w:val="%3."/>
      <w:lvlJc w:val="left"/>
      <w:pPr>
        <w:tabs>
          <w:tab w:val="num" w:pos="360"/>
        </w:tabs>
        <w:ind w:left="360" w:hanging="360"/>
      </w:pPr>
      <w:rPr>
        <w:rFonts w:hint="default"/>
      </w:rPr>
    </w:lvl>
    <w:lvl w:ilvl="3">
      <w:numFmt w:val="bullet"/>
      <w:lvlText w:val="-"/>
      <w:lvlJc w:val="left"/>
      <w:pPr>
        <w:tabs>
          <w:tab w:val="num" w:pos="720"/>
        </w:tabs>
        <w:ind w:left="720" w:hanging="360"/>
      </w:pPr>
      <w:rPr>
        <w:rFonts w:ascii="Arial" w:eastAsiaTheme="minorHAnsi" w:hAnsi="Arial"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6855DC"/>
    <w:multiLevelType w:val="multilevel"/>
    <w:tmpl w:val="5E36A1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0" w15:restartNumberingAfterBreak="0">
    <w:nsid w:val="3D966B60"/>
    <w:multiLevelType w:val="hybridMultilevel"/>
    <w:tmpl w:val="BC628E96"/>
    <w:lvl w:ilvl="0" w:tplc="1512B55A">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F113A1D"/>
    <w:multiLevelType w:val="hybridMultilevel"/>
    <w:tmpl w:val="3146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45936285"/>
    <w:multiLevelType w:val="hybridMultilevel"/>
    <w:tmpl w:val="B20C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0D4EE2"/>
    <w:multiLevelType w:val="hybridMultilevel"/>
    <w:tmpl w:val="D3D8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79756C"/>
    <w:multiLevelType w:val="hybridMultilevel"/>
    <w:tmpl w:val="1188D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9F4AC8"/>
    <w:multiLevelType w:val="hybridMultilevel"/>
    <w:tmpl w:val="6488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2"/>
  </w:num>
  <w:num w:numId="2">
    <w:abstractNumId w:val="12"/>
  </w:num>
  <w:num w:numId="3">
    <w:abstractNumId w:val="12"/>
  </w:num>
  <w:num w:numId="4">
    <w:abstractNumId w:val="19"/>
  </w:num>
  <w:num w:numId="5">
    <w:abstractNumId w:val="12"/>
  </w:num>
  <w:num w:numId="6">
    <w:abstractNumId w:val="12"/>
  </w:num>
  <w:num w:numId="7">
    <w:abstractNumId w:val="12"/>
  </w:num>
  <w:num w:numId="8">
    <w:abstractNumId w:val="12"/>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5"/>
  </w:num>
  <w:num w:numId="18">
    <w:abstractNumId w:val="5"/>
  </w:num>
  <w:num w:numId="19">
    <w:abstractNumId w:val="18"/>
  </w:num>
  <w:num w:numId="20">
    <w:abstractNumId w:val="6"/>
  </w:num>
  <w:num w:numId="21">
    <w:abstractNumId w:val="9"/>
  </w:num>
  <w:num w:numId="22">
    <w:abstractNumId w:val="14"/>
  </w:num>
  <w:num w:numId="23">
    <w:abstractNumId w:val="3"/>
  </w:num>
  <w:num w:numId="24">
    <w:abstractNumId w:val="4"/>
  </w:num>
  <w:num w:numId="25">
    <w:abstractNumId w:val="11"/>
  </w:num>
  <w:num w:numId="26">
    <w:abstractNumId w:val="0"/>
  </w:num>
  <w:num w:numId="27">
    <w:abstractNumId w:val="16"/>
  </w:num>
  <w:num w:numId="28">
    <w:abstractNumId w:val="17"/>
  </w:num>
  <w:num w:numId="29">
    <w:abstractNumId w:val="2"/>
  </w:num>
  <w:num w:numId="30">
    <w:abstractNumId w:val="13"/>
  </w:num>
  <w:num w:numId="31">
    <w:abstractNumId w:val="15"/>
  </w:num>
  <w:num w:numId="32">
    <w:abstractNumId w:val="8"/>
  </w:num>
  <w:num w:numId="33">
    <w:abstractNumId w:val="10"/>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3FC"/>
    <w:rsid w:val="00012F6F"/>
    <w:rsid w:val="00014213"/>
    <w:rsid w:val="00014B55"/>
    <w:rsid w:val="00020E3E"/>
    <w:rsid w:val="00023BF3"/>
    <w:rsid w:val="00026811"/>
    <w:rsid w:val="0004356D"/>
    <w:rsid w:val="00045296"/>
    <w:rsid w:val="00070415"/>
    <w:rsid w:val="00075E6C"/>
    <w:rsid w:val="00082343"/>
    <w:rsid w:val="00082862"/>
    <w:rsid w:val="000B29AD"/>
    <w:rsid w:val="000B45D1"/>
    <w:rsid w:val="000B77EF"/>
    <w:rsid w:val="000C1127"/>
    <w:rsid w:val="000C6372"/>
    <w:rsid w:val="000E392D"/>
    <w:rsid w:val="000E5794"/>
    <w:rsid w:val="000F4288"/>
    <w:rsid w:val="000F7165"/>
    <w:rsid w:val="00102379"/>
    <w:rsid w:val="001065D6"/>
    <w:rsid w:val="00121252"/>
    <w:rsid w:val="00124609"/>
    <w:rsid w:val="001254CE"/>
    <w:rsid w:val="001266F2"/>
    <w:rsid w:val="00134CEA"/>
    <w:rsid w:val="00135D76"/>
    <w:rsid w:val="0014104C"/>
    <w:rsid w:val="001422CC"/>
    <w:rsid w:val="00154D4D"/>
    <w:rsid w:val="001617B6"/>
    <w:rsid w:val="00165E66"/>
    <w:rsid w:val="00171885"/>
    <w:rsid w:val="00185258"/>
    <w:rsid w:val="001B3B3F"/>
    <w:rsid w:val="001C7BAE"/>
    <w:rsid w:val="001E31FA"/>
    <w:rsid w:val="001E64F6"/>
    <w:rsid w:val="001F104B"/>
    <w:rsid w:val="00222BEB"/>
    <w:rsid w:val="00225E60"/>
    <w:rsid w:val="00231F56"/>
    <w:rsid w:val="0023202C"/>
    <w:rsid w:val="00236203"/>
    <w:rsid w:val="002409CF"/>
    <w:rsid w:val="002417E5"/>
    <w:rsid w:val="00245043"/>
    <w:rsid w:val="00257760"/>
    <w:rsid w:val="002704F0"/>
    <w:rsid w:val="00292A48"/>
    <w:rsid w:val="00292D36"/>
    <w:rsid w:val="00297281"/>
    <w:rsid w:val="002B3F32"/>
    <w:rsid w:val="002C163C"/>
    <w:rsid w:val="002C54E0"/>
    <w:rsid w:val="002D711A"/>
    <w:rsid w:val="002D7336"/>
    <w:rsid w:val="002E3396"/>
    <w:rsid w:val="002E52E3"/>
    <w:rsid w:val="0031149C"/>
    <w:rsid w:val="0031514B"/>
    <w:rsid w:val="00337488"/>
    <w:rsid w:val="00351B31"/>
    <w:rsid w:val="00382C48"/>
    <w:rsid w:val="0038771C"/>
    <w:rsid w:val="0039405B"/>
    <w:rsid w:val="003A1943"/>
    <w:rsid w:val="003A1C92"/>
    <w:rsid w:val="003A541A"/>
    <w:rsid w:val="003A6923"/>
    <w:rsid w:val="003C2C67"/>
    <w:rsid w:val="003C5BA4"/>
    <w:rsid w:val="003D71E7"/>
    <w:rsid w:val="003E3E26"/>
    <w:rsid w:val="003F1295"/>
    <w:rsid w:val="003F19D1"/>
    <w:rsid w:val="003F574D"/>
    <w:rsid w:val="003F76FC"/>
    <w:rsid w:val="004002EB"/>
    <w:rsid w:val="0040369D"/>
    <w:rsid w:val="0040609B"/>
    <w:rsid w:val="00411783"/>
    <w:rsid w:val="0041689E"/>
    <w:rsid w:val="00417724"/>
    <w:rsid w:val="00422279"/>
    <w:rsid w:val="004236C8"/>
    <w:rsid w:val="00427681"/>
    <w:rsid w:val="00433DB7"/>
    <w:rsid w:val="00444698"/>
    <w:rsid w:val="0044602C"/>
    <w:rsid w:val="00453750"/>
    <w:rsid w:val="00456941"/>
    <w:rsid w:val="004669E3"/>
    <w:rsid w:val="004702EA"/>
    <w:rsid w:val="00482D02"/>
    <w:rsid w:val="004A7519"/>
    <w:rsid w:val="004C2C85"/>
    <w:rsid w:val="004D3518"/>
    <w:rsid w:val="004D62D6"/>
    <w:rsid w:val="004E6F83"/>
    <w:rsid w:val="004F0CC0"/>
    <w:rsid w:val="004F1F01"/>
    <w:rsid w:val="0050353B"/>
    <w:rsid w:val="0053416C"/>
    <w:rsid w:val="00541C2F"/>
    <w:rsid w:val="00563527"/>
    <w:rsid w:val="0058124E"/>
    <w:rsid w:val="00584301"/>
    <w:rsid w:val="005875A3"/>
    <w:rsid w:val="00593A2A"/>
    <w:rsid w:val="005A3416"/>
    <w:rsid w:val="005B27FE"/>
    <w:rsid w:val="005B7954"/>
    <w:rsid w:val="005C3E6D"/>
    <w:rsid w:val="005D58F7"/>
    <w:rsid w:val="005F61DF"/>
    <w:rsid w:val="005F73FC"/>
    <w:rsid w:val="006023F9"/>
    <w:rsid w:val="00610559"/>
    <w:rsid w:val="00612200"/>
    <w:rsid w:val="0062067E"/>
    <w:rsid w:val="006332F6"/>
    <w:rsid w:val="006361E7"/>
    <w:rsid w:val="00646A2B"/>
    <w:rsid w:val="00646C0B"/>
    <w:rsid w:val="00652625"/>
    <w:rsid w:val="006534B2"/>
    <w:rsid w:val="0065615D"/>
    <w:rsid w:val="00657011"/>
    <w:rsid w:val="006650B5"/>
    <w:rsid w:val="006651B1"/>
    <w:rsid w:val="00665778"/>
    <w:rsid w:val="006A5B34"/>
    <w:rsid w:val="006A5F5B"/>
    <w:rsid w:val="006B563C"/>
    <w:rsid w:val="006C77A9"/>
    <w:rsid w:val="006D46A3"/>
    <w:rsid w:val="006E0F53"/>
    <w:rsid w:val="006E1989"/>
    <w:rsid w:val="006F43FB"/>
    <w:rsid w:val="006F6693"/>
    <w:rsid w:val="007002E8"/>
    <w:rsid w:val="00707FE8"/>
    <w:rsid w:val="007104E0"/>
    <w:rsid w:val="00724962"/>
    <w:rsid w:val="00724A0F"/>
    <w:rsid w:val="007320B4"/>
    <w:rsid w:val="00732162"/>
    <w:rsid w:val="00736732"/>
    <w:rsid w:val="00743B21"/>
    <w:rsid w:val="007465EE"/>
    <w:rsid w:val="00750CBE"/>
    <w:rsid w:val="00766B5A"/>
    <w:rsid w:val="00770F71"/>
    <w:rsid w:val="007834F2"/>
    <w:rsid w:val="00791020"/>
    <w:rsid w:val="00793D24"/>
    <w:rsid w:val="007A5F82"/>
    <w:rsid w:val="007C372E"/>
    <w:rsid w:val="007E0552"/>
    <w:rsid w:val="007F1A4C"/>
    <w:rsid w:val="008022C3"/>
    <w:rsid w:val="008025CD"/>
    <w:rsid w:val="008041E6"/>
    <w:rsid w:val="008065D2"/>
    <w:rsid w:val="00813AD3"/>
    <w:rsid w:val="008158E0"/>
    <w:rsid w:val="0082194C"/>
    <w:rsid w:val="008220C4"/>
    <w:rsid w:val="008222FF"/>
    <w:rsid w:val="008241FF"/>
    <w:rsid w:val="00825305"/>
    <w:rsid w:val="0084103A"/>
    <w:rsid w:val="008411E9"/>
    <w:rsid w:val="00841F4C"/>
    <w:rsid w:val="0084200F"/>
    <w:rsid w:val="00843B2C"/>
    <w:rsid w:val="00884E4D"/>
    <w:rsid w:val="008920DD"/>
    <w:rsid w:val="008A4900"/>
    <w:rsid w:val="008C1075"/>
    <w:rsid w:val="008C1F6D"/>
    <w:rsid w:val="008D0281"/>
    <w:rsid w:val="008D0D27"/>
    <w:rsid w:val="008D1BCB"/>
    <w:rsid w:val="008E18DD"/>
    <w:rsid w:val="008E3C4E"/>
    <w:rsid w:val="008F6D45"/>
    <w:rsid w:val="009506FA"/>
    <w:rsid w:val="009575E7"/>
    <w:rsid w:val="00981F43"/>
    <w:rsid w:val="009834C0"/>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382B"/>
    <w:rsid w:val="00A1562B"/>
    <w:rsid w:val="00A170F4"/>
    <w:rsid w:val="00A21FFC"/>
    <w:rsid w:val="00A2559E"/>
    <w:rsid w:val="00A25FD9"/>
    <w:rsid w:val="00A44D5A"/>
    <w:rsid w:val="00A46A21"/>
    <w:rsid w:val="00A46BA8"/>
    <w:rsid w:val="00A47634"/>
    <w:rsid w:val="00A612FE"/>
    <w:rsid w:val="00AA11BD"/>
    <w:rsid w:val="00AA26B8"/>
    <w:rsid w:val="00AB3FE2"/>
    <w:rsid w:val="00AC17FC"/>
    <w:rsid w:val="00AD3322"/>
    <w:rsid w:val="00AD7E4E"/>
    <w:rsid w:val="00AE3B4C"/>
    <w:rsid w:val="00AE4ACA"/>
    <w:rsid w:val="00AF4D58"/>
    <w:rsid w:val="00AF6666"/>
    <w:rsid w:val="00B047AE"/>
    <w:rsid w:val="00B05592"/>
    <w:rsid w:val="00B10154"/>
    <w:rsid w:val="00B2393F"/>
    <w:rsid w:val="00B42565"/>
    <w:rsid w:val="00B7426A"/>
    <w:rsid w:val="00B74288"/>
    <w:rsid w:val="00B81B44"/>
    <w:rsid w:val="00B9053B"/>
    <w:rsid w:val="00BB16F4"/>
    <w:rsid w:val="00BB7731"/>
    <w:rsid w:val="00BC3422"/>
    <w:rsid w:val="00C015B9"/>
    <w:rsid w:val="00C022F9"/>
    <w:rsid w:val="00C032EA"/>
    <w:rsid w:val="00C06EB5"/>
    <w:rsid w:val="00C1145F"/>
    <w:rsid w:val="00C172CF"/>
    <w:rsid w:val="00C247C1"/>
    <w:rsid w:val="00C637E1"/>
    <w:rsid w:val="00C654FF"/>
    <w:rsid w:val="00C70D50"/>
    <w:rsid w:val="00C73408"/>
    <w:rsid w:val="00C82924"/>
    <w:rsid w:val="00C907D7"/>
    <w:rsid w:val="00C92338"/>
    <w:rsid w:val="00CA7C3A"/>
    <w:rsid w:val="00CB2ABF"/>
    <w:rsid w:val="00CC2DB2"/>
    <w:rsid w:val="00CD0307"/>
    <w:rsid w:val="00CD3D1B"/>
    <w:rsid w:val="00CF4A08"/>
    <w:rsid w:val="00CF7DCA"/>
    <w:rsid w:val="00D050D1"/>
    <w:rsid w:val="00D128E2"/>
    <w:rsid w:val="00D211E9"/>
    <w:rsid w:val="00D2312F"/>
    <w:rsid w:val="00D269C1"/>
    <w:rsid w:val="00D44953"/>
    <w:rsid w:val="00D542F3"/>
    <w:rsid w:val="00D5644B"/>
    <w:rsid w:val="00D56E25"/>
    <w:rsid w:val="00D60AD6"/>
    <w:rsid w:val="00D649E7"/>
    <w:rsid w:val="00D718D7"/>
    <w:rsid w:val="00D814B7"/>
    <w:rsid w:val="00D90688"/>
    <w:rsid w:val="00DA1537"/>
    <w:rsid w:val="00DA3AAD"/>
    <w:rsid w:val="00DB312B"/>
    <w:rsid w:val="00DC5654"/>
    <w:rsid w:val="00DC658F"/>
    <w:rsid w:val="00DD0038"/>
    <w:rsid w:val="00DE2C72"/>
    <w:rsid w:val="00DE60CC"/>
    <w:rsid w:val="00E15A74"/>
    <w:rsid w:val="00E26B32"/>
    <w:rsid w:val="00E407B6"/>
    <w:rsid w:val="00E41EF1"/>
    <w:rsid w:val="00E42942"/>
    <w:rsid w:val="00E468A6"/>
    <w:rsid w:val="00E50356"/>
    <w:rsid w:val="00E51E6E"/>
    <w:rsid w:val="00E71BDF"/>
    <w:rsid w:val="00E72C57"/>
    <w:rsid w:val="00E83CA7"/>
    <w:rsid w:val="00E847BB"/>
    <w:rsid w:val="00E90717"/>
    <w:rsid w:val="00E92376"/>
    <w:rsid w:val="00EA103F"/>
    <w:rsid w:val="00EC171D"/>
    <w:rsid w:val="00EC2B22"/>
    <w:rsid w:val="00EC6F37"/>
    <w:rsid w:val="00ED487E"/>
    <w:rsid w:val="00EE3220"/>
    <w:rsid w:val="00EE7A0D"/>
    <w:rsid w:val="00EF7163"/>
    <w:rsid w:val="00F17CE1"/>
    <w:rsid w:val="00F2115C"/>
    <w:rsid w:val="00F22ABA"/>
    <w:rsid w:val="00F2505D"/>
    <w:rsid w:val="00F2522A"/>
    <w:rsid w:val="00F36B12"/>
    <w:rsid w:val="00F60F9F"/>
    <w:rsid w:val="00F64F08"/>
    <w:rsid w:val="00F65BF9"/>
    <w:rsid w:val="00F734F5"/>
    <w:rsid w:val="00F87C10"/>
    <w:rsid w:val="00F90698"/>
    <w:rsid w:val="00F966B1"/>
    <w:rsid w:val="00F97D48"/>
    <w:rsid w:val="00FA0311"/>
    <w:rsid w:val="00FC42E5"/>
    <w:rsid w:val="00FD0B28"/>
    <w:rsid w:val="00FD3EAA"/>
    <w:rsid w:val="00FD640F"/>
    <w:rsid w:val="00FD6B4C"/>
    <w:rsid w:val="00FD7DC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330C4B6-60DE-4829-ADD2-B2ABC89B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0DD"/>
    <w:pPr>
      <w:spacing w:before="160" w:after="100"/>
    </w:pPr>
    <w:rPr>
      <w:spacing w:val="2"/>
    </w:rPr>
  </w:style>
  <w:style w:type="paragraph" w:styleId="Heading1">
    <w:name w:val="heading 1"/>
    <w:next w:val="Normal"/>
    <w:link w:val="Heading1Char"/>
    <w:qFormat/>
    <w:rsid w:val="008920DD"/>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920D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920D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920D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920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920D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920D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920D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920DD"/>
    <w:pPr>
      <w:tabs>
        <w:tab w:val="right" w:leader="dot" w:pos="9000"/>
      </w:tabs>
      <w:ind w:right="432"/>
    </w:pPr>
    <w:rPr>
      <w:sz w:val="24"/>
      <w:szCs w:val="24"/>
    </w:rPr>
  </w:style>
  <w:style w:type="paragraph" w:styleId="TOC2">
    <w:name w:val="toc 2"/>
    <w:next w:val="Normal"/>
    <w:uiPriority w:val="39"/>
    <w:rsid w:val="008920D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920D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920DD"/>
    <w:pPr>
      <w:spacing w:after="60" w:line="240" w:lineRule="auto"/>
    </w:pPr>
    <w:rPr>
      <w:sz w:val="16"/>
    </w:rPr>
  </w:style>
  <w:style w:type="paragraph" w:styleId="Index2">
    <w:name w:val="index 2"/>
    <w:basedOn w:val="Normal"/>
    <w:next w:val="Normal"/>
    <w:uiPriority w:val="99"/>
    <w:semiHidden/>
    <w:rsid w:val="008920DD"/>
    <w:pPr>
      <w:spacing w:after="0" w:line="240" w:lineRule="auto"/>
      <w:ind w:left="216"/>
    </w:pPr>
    <w:rPr>
      <w:sz w:val="16"/>
      <w:szCs w:val="16"/>
    </w:rPr>
  </w:style>
  <w:style w:type="character" w:styleId="Hyperlink">
    <w:name w:val="Hyperlink"/>
    <w:basedOn w:val="DefaultParagraphFont"/>
    <w:uiPriority w:val="99"/>
    <w:rsid w:val="008920DD"/>
    <w:rPr>
      <w:color w:val="53565A" w:themeColor="hyperlink"/>
      <w:u w:val="none"/>
    </w:rPr>
  </w:style>
  <w:style w:type="character" w:customStyle="1" w:styleId="Heading1Char">
    <w:name w:val="Heading 1 Char"/>
    <w:basedOn w:val="DefaultParagraphFont"/>
    <w:link w:val="Heading1"/>
    <w:rsid w:val="008920D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920D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920DD"/>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8920DD"/>
    <w:pPr>
      <w:numPr>
        <w:ilvl w:val="1"/>
      </w:numPr>
    </w:pPr>
  </w:style>
  <w:style w:type="paragraph" w:customStyle="1" w:styleId="Bulletindent">
    <w:name w:val="Bullet indent"/>
    <w:basedOn w:val="Bullet2"/>
    <w:uiPriority w:val="9"/>
    <w:qFormat/>
    <w:rsid w:val="008920DD"/>
    <w:pPr>
      <w:numPr>
        <w:ilvl w:val="2"/>
      </w:numPr>
    </w:pPr>
  </w:style>
  <w:style w:type="paragraph" w:customStyle="1" w:styleId="Heading1numbered">
    <w:name w:val="Heading 1 numbered"/>
    <w:basedOn w:val="Heading1"/>
    <w:next w:val="NormalIndent"/>
    <w:uiPriority w:val="8"/>
    <w:qFormat/>
    <w:rsid w:val="008920DD"/>
    <w:pPr>
      <w:numPr>
        <w:ilvl w:val="2"/>
        <w:numId w:val="4"/>
      </w:numPr>
    </w:pPr>
  </w:style>
  <w:style w:type="paragraph" w:customStyle="1" w:styleId="Heading2numbered">
    <w:name w:val="Heading 2 numbered"/>
    <w:basedOn w:val="Heading2"/>
    <w:next w:val="NormalIndent"/>
    <w:uiPriority w:val="8"/>
    <w:qFormat/>
    <w:rsid w:val="008920DD"/>
    <w:pPr>
      <w:numPr>
        <w:ilvl w:val="3"/>
        <w:numId w:val="4"/>
      </w:numPr>
    </w:pPr>
  </w:style>
  <w:style w:type="paragraph" w:customStyle="1" w:styleId="Heading3numbered">
    <w:name w:val="Heading 3 numbered"/>
    <w:basedOn w:val="Heading3"/>
    <w:next w:val="NormalIndent"/>
    <w:uiPriority w:val="8"/>
    <w:qFormat/>
    <w:rsid w:val="008920DD"/>
    <w:pPr>
      <w:numPr>
        <w:ilvl w:val="4"/>
        <w:numId w:val="4"/>
      </w:numPr>
    </w:pPr>
  </w:style>
  <w:style w:type="character" w:customStyle="1" w:styleId="Heading3Char">
    <w:name w:val="Heading 3 Char"/>
    <w:basedOn w:val="DefaultParagraphFont"/>
    <w:link w:val="Heading3"/>
    <w:rsid w:val="008920D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920DD"/>
    <w:pPr>
      <w:numPr>
        <w:ilvl w:val="5"/>
        <w:numId w:val="4"/>
      </w:numPr>
    </w:pPr>
  </w:style>
  <w:style w:type="character" w:customStyle="1" w:styleId="Heading4Char">
    <w:name w:val="Heading 4 Char"/>
    <w:basedOn w:val="DefaultParagraphFont"/>
    <w:link w:val="Heading4"/>
    <w:rsid w:val="008920D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920DD"/>
    <w:pPr>
      <w:spacing w:line="252" w:lineRule="auto"/>
      <w:ind w:left="792"/>
    </w:pPr>
  </w:style>
  <w:style w:type="paragraph" w:customStyle="1" w:styleId="NoteNormal">
    <w:name w:val="Note Normal"/>
    <w:basedOn w:val="Normal"/>
    <w:rsid w:val="008920D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920DD"/>
    <w:pPr>
      <w:spacing w:before="0" w:after="0" w:line="120" w:lineRule="atLeast"/>
    </w:pPr>
    <w:rPr>
      <w:rFonts w:eastAsia="Times New Roman" w:cs="Calibri"/>
      <w:spacing w:val="0"/>
      <w:sz w:val="10"/>
      <w:szCs w:val="22"/>
    </w:rPr>
  </w:style>
  <w:style w:type="paragraph" w:styleId="Subtitle">
    <w:name w:val="Subtitle"/>
    <w:link w:val="SubtitleChar"/>
    <w:uiPriority w:val="98"/>
    <w:rsid w:val="008920D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920D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920DD"/>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920DD"/>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920DD"/>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9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DD"/>
    <w:rPr>
      <w:rFonts w:ascii="Tahoma" w:hAnsi="Tahoma" w:cs="Tahoma"/>
      <w:spacing w:val="2"/>
      <w:sz w:val="16"/>
      <w:szCs w:val="16"/>
    </w:rPr>
  </w:style>
  <w:style w:type="paragraph" w:customStyle="1" w:styleId="Bulletindent2">
    <w:name w:val="Bullet indent 2"/>
    <w:basedOn w:val="Normal"/>
    <w:uiPriority w:val="9"/>
    <w:qFormat/>
    <w:rsid w:val="008920DD"/>
    <w:pPr>
      <w:numPr>
        <w:ilvl w:val="3"/>
        <w:numId w:val="1"/>
      </w:numPr>
      <w:spacing w:before="100"/>
      <w:contextualSpacing/>
    </w:pPr>
  </w:style>
  <w:style w:type="paragraph" w:styleId="IndexHeading">
    <w:name w:val="index heading"/>
    <w:basedOn w:val="Normal"/>
    <w:next w:val="Index1"/>
    <w:uiPriority w:val="99"/>
    <w:semiHidden/>
    <w:rsid w:val="008920DD"/>
    <w:rPr>
      <w:rFonts w:asciiTheme="majorHAnsi" w:eastAsiaTheme="majorEastAsia" w:hAnsiTheme="majorHAnsi" w:cstheme="majorBidi"/>
      <w:b/>
      <w:bCs/>
    </w:rPr>
  </w:style>
  <w:style w:type="paragraph" w:styleId="Header">
    <w:name w:val="header"/>
    <w:basedOn w:val="Normal"/>
    <w:link w:val="HeaderChar"/>
    <w:uiPriority w:val="99"/>
    <w:semiHidden/>
    <w:rsid w:val="008920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0DD"/>
    <w:rPr>
      <w:spacing w:val="2"/>
    </w:rPr>
  </w:style>
  <w:style w:type="paragraph" w:styleId="Footer">
    <w:name w:val="footer"/>
    <w:basedOn w:val="Normal"/>
    <w:link w:val="FooterChar"/>
    <w:uiPriority w:val="24"/>
    <w:rsid w:val="008920DD"/>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920DD"/>
    <w:rPr>
      <w:noProof/>
      <w:spacing w:val="2"/>
      <w:sz w:val="18"/>
      <w:szCs w:val="18"/>
    </w:rPr>
  </w:style>
  <w:style w:type="character" w:styleId="PageNumber">
    <w:name w:val="page number"/>
    <w:uiPriority w:val="49"/>
    <w:semiHidden/>
    <w:rsid w:val="008920DD"/>
    <w:rPr>
      <w:b w:val="0"/>
      <w:color w:val="000000" w:themeColor="text1"/>
    </w:rPr>
  </w:style>
  <w:style w:type="paragraph" w:styleId="TOCHeading">
    <w:name w:val="TOC Heading"/>
    <w:basedOn w:val="Heading1"/>
    <w:next w:val="Normal"/>
    <w:uiPriority w:val="39"/>
    <w:rsid w:val="008920DD"/>
    <w:pPr>
      <w:spacing w:before="480" w:after="720"/>
      <w:outlineLvl w:val="9"/>
    </w:pPr>
    <w:rPr>
      <w:spacing w:val="2"/>
    </w:rPr>
  </w:style>
  <w:style w:type="paragraph" w:customStyle="1" w:styleId="NormalTight">
    <w:name w:val="Normal Tight"/>
    <w:uiPriority w:val="99"/>
    <w:semiHidden/>
    <w:rsid w:val="008920D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920D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920D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920DD"/>
    <w:pPr>
      <w:spacing w:before="5800"/>
      <w:ind w:right="1382"/>
    </w:pPr>
  </w:style>
  <w:style w:type="paragraph" w:styleId="TOC4">
    <w:name w:val="toc 4"/>
    <w:basedOn w:val="TOC1"/>
    <w:next w:val="Normal"/>
    <w:uiPriority w:val="39"/>
    <w:rsid w:val="008920DD"/>
    <w:pPr>
      <w:ind w:left="450" w:hanging="450"/>
    </w:pPr>
    <w:rPr>
      <w:noProof/>
      <w:lang w:eastAsia="en-US"/>
    </w:rPr>
  </w:style>
  <w:style w:type="paragraph" w:styleId="TOC5">
    <w:name w:val="toc 5"/>
    <w:basedOn w:val="TOC2"/>
    <w:next w:val="Normal"/>
    <w:uiPriority w:val="39"/>
    <w:rsid w:val="008920DD"/>
    <w:pPr>
      <w:ind w:left="1080" w:hanging="634"/>
    </w:pPr>
    <w:rPr>
      <w:lang w:eastAsia="en-US"/>
    </w:rPr>
  </w:style>
  <w:style w:type="paragraph" w:styleId="TOC6">
    <w:name w:val="toc 6"/>
    <w:basedOn w:val="TOC3"/>
    <w:next w:val="Normal"/>
    <w:uiPriority w:val="39"/>
    <w:rsid w:val="008920DD"/>
    <w:pPr>
      <w:ind w:left="1800" w:hanging="720"/>
    </w:pPr>
    <w:rPr>
      <w:lang w:eastAsia="en-US"/>
    </w:rPr>
  </w:style>
  <w:style w:type="table" w:customStyle="1" w:styleId="DTFtexttable">
    <w:name w:val="DTF text table"/>
    <w:basedOn w:val="TableGrid"/>
    <w:uiPriority w:val="99"/>
    <w:rsid w:val="008920D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920D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920DD"/>
    <w:pPr>
      <w:spacing w:before="60" w:after="60" w:line="264" w:lineRule="auto"/>
    </w:pPr>
    <w:rPr>
      <w:sz w:val="17"/>
    </w:rPr>
  </w:style>
  <w:style w:type="paragraph" w:customStyle="1" w:styleId="Tabletextright">
    <w:name w:val="Table text right"/>
    <w:basedOn w:val="Tabletext"/>
    <w:uiPriority w:val="5"/>
    <w:qFormat/>
    <w:rsid w:val="008920DD"/>
    <w:pPr>
      <w:jc w:val="right"/>
    </w:pPr>
  </w:style>
  <w:style w:type="paragraph" w:customStyle="1" w:styleId="Listnumindent2">
    <w:name w:val="List num indent 2"/>
    <w:basedOn w:val="Normal"/>
    <w:uiPriority w:val="9"/>
    <w:qFormat/>
    <w:rsid w:val="008920DD"/>
    <w:pPr>
      <w:numPr>
        <w:ilvl w:val="7"/>
        <w:numId w:val="4"/>
      </w:numPr>
      <w:spacing w:before="100"/>
      <w:contextualSpacing/>
    </w:pPr>
  </w:style>
  <w:style w:type="paragraph" w:customStyle="1" w:styleId="Listnumindent">
    <w:name w:val="List num indent"/>
    <w:basedOn w:val="Normal"/>
    <w:uiPriority w:val="9"/>
    <w:qFormat/>
    <w:rsid w:val="008920DD"/>
    <w:pPr>
      <w:numPr>
        <w:ilvl w:val="6"/>
        <w:numId w:val="4"/>
      </w:numPr>
      <w:spacing w:before="100"/>
    </w:pPr>
  </w:style>
  <w:style w:type="paragraph" w:customStyle="1" w:styleId="Listnum">
    <w:name w:val="List num"/>
    <w:basedOn w:val="Normal"/>
    <w:uiPriority w:val="1"/>
    <w:qFormat/>
    <w:rsid w:val="008920DD"/>
    <w:pPr>
      <w:numPr>
        <w:numId w:val="4"/>
      </w:numPr>
    </w:pPr>
  </w:style>
  <w:style w:type="paragraph" w:customStyle="1" w:styleId="Listnum2">
    <w:name w:val="List num 2"/>
    <w:basedOn w:val="Normal"/>
    <w:uiPriority w:val="1"/>
    <w:qFormat/>
    <w:rsid w:val="008920DD"/>
    <w:pPr>
      <w:numPr>
        <w:ilvl w:val="1"/>
        <w:numId w:val="4"/>
      </w:numPr>
    </w:pPr>
  </w:style>
  <w:style w:type="paragraph" w:customStyle="1" w:styleId="Tabletextcentred">
    <w:name w:val="Table text centred"/>
    <w:basedOn w:val="Tabletext"/>
    <w:uiPriority w:val="5"/>
    <w:qFormat/>
    <w:rsid w:val="008920DD"/>
    <w:pPr>
      <w:jc w:val="center"/>
    </w:pPr>
  </w:style>
  <w:style w:type="paragraph" w:customStyle="1" w:styleId="Tableheader">
    <w:name w:val="Table header"/>
    <w:basedOn w:val="Tabletext"/>
    <w:uiPriority w:val="5"/>
    <w:qFormat/>
    <w:rsid w:val="008920D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920DD"/>
    <w:pPr>
      <w:numPr>
        <w:numId w:val="17"/>
      </w:numPr>
    </w:pPr>
  </w:style>
  <w:style w:type="paragraph" w:customStyle="1" w:styleId="Tabledash">
    <w:name w:val="Table dash"/>
    <w:basedOn w:val="Tablebullet"/>
    <w:uiPriority w:val="6"/>
    <w:rsid w:val="008920DD"/>
    <w:pPr>
      <w:numPr>
        <w:ilvl w:val="1"/>
      </w:numPr>
    </w:pPr>
  </w:style>
  <w:style w:type="paragraph" w:customStyle="1" w:styleId="Tabletextindent">
    <w:name w:val="Table text indent"/>
    <w:basedOn w:val="Tabletext"/>
    <w:uiPriority w:val="5"/>
    <w:qFormat/>
    <w:rsid w:val="008920DD"/>
    <w:pPr>
      <w:ind w:left="288"/>
    </w:pPr>
  </w:style>
  <w:style w:type="paragraph" w:customStyle="1" w:styleId="Numpara">
    <w:name w:val="Num para"/>
    <w:basedOn w:val="ListParagraph"/>
    <w:uiPriority w:val="2"/>
    <w:qFormat/>
    <w:rsid w:val="008920DD"/>
    <w:pPr>
      <w:numPr>
        <w:numId w:val="19"/>
      </w:numPr>
      <w:tabs>
        <w:tab w:val="left" w:pos="540"/>
      </w:tabs>
    </w:pPr>
  </w:style>
  <w:style w:type="paragraph" w:styleId="ListParagraph">
    <w:name w:val="List Paragraph"/>
    <w:basedOn w:val="Normal"/>
    <w:uiPriority w:val="34"/>
    <w:qFormat/>
    <w:rsid w:val="008920DD"/>
    <w:pPr>
      <w:ind w:left="720"/>
      <w:contextualSpacing/>
    </w:pPr>
  </w:style>
  <w:style w:type="paragraph" w:customStyle="1" w:styleId="Bullet3">
    <w:name w:val="Bullet 3"/>
    <w:basedOn w:val="Bullet2"/>
    <w:uiPriority w:val="11"/>
    <w:semiHidden/>
    <w:rsid w:val="005F73FC"/>
    <w:pPr>
      <w:numPr>
        <w:ilvl w:val="0"/>
        <w:numId w:val="0"/>
      </w:numPr>
      <w:tabs>
        <w:tab w:val="num" w:pos="1644"/>
      </w:tabs>
      <w:spacing w:before="0" w:after="0" w:line="260" w:lineRule="atLeast"/>
      <w:ind w:left="1644" w:hanging="283"/>
    </w:pPr>
    <w:rPr>
      <w:rFonts w:ascii="Calibri" w:hAnsi="Calibri"/>
      <w:spacing w:val="0"/>
      <w:sz w:val="22"/>
      <w:szCs w:val="22"/>
    </w:rPr>
  </w:style>
  <w:style w:type="paragraph" w:customStyle="1" w:styleId="Heading1NoNum">
    <w:name w:val="Heading 1 NoNum"/>
    <w:basedOn w:val="Heading1"/>
    <w:next w:val="Normal"/>
    <w:uiPriority w:val="4"/>
    <w:qFormat/>
    <w:rsid w:val="005F73F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Tablechartdiagramheading">
    <w:name w:val="Table/chart/diagram heading"/>
    <w:uiPriority w:val="4"/>
    <w:qFormat/>
    <w:rsid w:val="008920DD"/>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920DD"/>
    <w:pPr>
      <w:spacing w:before="0" w:after="0" w:line="240" w:lineRule="auto"/>
    </w:pPr>
    <w:rPr>
      <w:sz w:val="17"/>
    </w:rPr>
  </w:style>
  <w:style w:type="character" w:customStyle="1" w:styleId="FootnoteTextChar">
    <w:name w:val="Footnote Text Char"/>
    <w:basedOn w:val="DefaultParagraphFont"/>
    <w:link w:val="FootnoteText"/>
    <w:uiPriority w:val="99"/>
    <w:semiHidden/>
    <w:rsid w:val="008920DD"/>
    <w:rPr>
      <w:spacing w:val="2"/>
      <w:sz w:val="17"/>
    </w:rPr>
  </w:style>
  <w:style w:type="character" w:styleId="FootnoteReference">
    <w:name w:val="footnote reference"/>
    <w:basedOn w:val="DefaultParagraphFont"/>
    <w:uiPriority w:val="99"/>
    <w:semiHidden/>
    <w:rsid w:val="008920DD"/>
    <w:rPr>
      <w:vertAlign w:val="superscript"/>
    </w:rPr>
  </w:style>
  <w:style w:type="table" w:customStyle="1" w:styleId="DTFfinancialtableindent">
    <w:name w:val="DTF financial table indent"/>
    <w:basedOn w:val="DTFfinancialtable"/>
    <w:uiPriority w:val="99"/>
    <w:rsid w:val="008920DD"/>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920DD"/>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920DD"/>
    <w:pPr>
      <w:numPr>
        <w:ilvl w:val="8"/>
        <w:numId w:val="4"/>
      </w:numPr>
      <w:tabs>
        <w:tab w:val="clear" w:pos="540"/>
      </w:tabs>
    </w:pPr>
  </w:style>
  <w:style w:type="paragraph" w:customStyle="1" w:styleId="Tablenum1">
    <w:name w:val="Table num 1"/>
    <w:basedOn w:val="Normal"/>
    <w:uiPriority w:val="6"/>
    <w:rsid w:val="008920DD"/>
    <w:pPr>
      <w:numPr>
        <w:ilvl w:val="2"/>
        <w:numId w:val="17"/>
      </w:numPr>
    </w:pPr>
    <w:rPr>
      <w:sz w:val="17"/>
    </w:rPr>
  </w:style>
  <w:style w:type="paragraph" w:customStyle="1" w:styleId="Tablenum2">
    <w:name w:val="Table num 2"/>
    <w:basedOn w:val="Normal"/>
    <w:uiPriority w:val="6"/>
    <w:rsid w:val="008920DD"/>
    <w:pPr>
      <w:numPr>
        <w:ilvl w:val="3"/>
        <w:numId w:val="17"/>
      </w:numPr>
    </w:pPr>
    <w:rPr>
      <w:sz w:val="17"/>
    </w:rPr>
  </w:style>
  <w:style w:type="paragraph" w:customStyle="1" w:styleId="NoteNormalindent">
    <w:name w:val="Note Normal indent"/>
    <w:basedOn w:val="NoteNormal"/>
    <w:uiPriority w:val="8"/>
    <w:rsid w:val="008920DD"/>
    <w:pPr>
      <w:ind w:left="792"/>
    </w:pPr>
  </w:style>
  <w:style w:type="paragraph" w:styleId="Caption">
    <w:name w:val="caption"/>
    <w:basedOn w:val="Normal"/>
    <w:next w:val="Normal"/>
    <w:uiPriority w:val="35"/>
    <w:rsid w:val="008920DD"/>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3F574D"/>
    <w:rPr>
      <w:sz w:val="16"/>
      <w:szCs w:val="16"/>
    </w:rPr>
  </w:style>
  <w:style w:type="paragraph" w:styleId="CommentText">
    <w:name w:val="annotation text"/>
    <w:basedOn w:val="Normal"/>
    <w:link w:val="CommentTextChar"/>
    <w:uiPriority w:val="99"/>
    <w:semiHidden/>
    <w:rsid w:val="003F574D"/>
    <w:pPr>
      <w:spacing w:line="240" w:lineRule="auto"/>
    </w:pPr>
  </w:style>
  <w:style w:type="character" w:customStyle="1" w:styleId="CommentTextChar">
    <w:name w:val="Comment Text Char"/>
    <w:basedOn w:val="DefaultParagraphFont"/>
    <w:link w:val="CommentText"/>
    <w:uiPriority w:val="99"/>
    <w:semiHidden/>
    <w:rsid w:val="003F574D"/>
    <w:rPr>
      <w:spacing w:val="2"/>
    </w:rPr>
  </w:style>
  <w:style w:type="paragraph" w:styleId="CommentSubject">
    <w:name w:val="annotation subject"/>
    <w:basedOn w:val="CommentText"/>
    <w:next w:val="CommentText"/>
    <w:link w:val="CommentSubjectChar"/>
    <w:uiPriority w:val="99"/>
    <w:semiHidden/>
    <w:rsid w:val="003F574D"/>
    <w:rPr>
      <w:b/>
      <w:bCs/>
    </w:rPr>
  </w:style>
  <w:style w:type="character" w:customStyle="1" w:styleId="CommentSubjectChar">
    <w:name w:val="Comment Subject Char"/>
    <w:basedOn w:val="CommentTextChar"/>
    <w:link w:val="CommentSubject"/>
    <w:uiPriority w:val="99"/>
    <w:semiHidden/>
    <w:rsid w:val="003F574D"/>
    <w:rPr>
      <w:b/>
      <w:bCs/>
      <w:spacing w:val="2"/>
    </w:rPr>
  </w:style>
  <w:style w:type="paragraph" w:styleId="Revision">
    <w:name w:val="Revision"/>
    <w:hidden/>
    <w:uiPriority w:val="99"/>
    <w:semiHidden/>
    <w:rsid w:val="003F574D"/>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fa@dtf.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400E-34CB-475D-BB0D-F927492D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32</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11</cp:revision>
  <cp:lastPrinted>2018-10-07T21:30:00Z</cp:lastPrinted>
  <dcterms:created xsi:type="dcterms:W3CDTF">2018-06-07T00:22:00Z</dcterms:created>
  <dcterms:modified xsi:type="dcterms:W3CDTF">2018-10-23T20:22:00Z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ed80ef4a-28b9-4c93-a0fc-2855bce9ff41</vt:lpwstr>
  </property>
  <property fmtid="{D5CDD505-2E9C-101B-9397-08002B2CF9AE}" pid="3" name="PSPFClassification">
    <vt:lpwstr>Do Not Mark</vt:lpwstr>
  </property>
  <property fmtid="{D5CDD505-2E9C-101B-9397-08002B2CF9AE}" pid="4" name="Classification">
    <vt:lpwstr>Do Not Mark</vt:lpwstr>
  </property>
</Properties>
</file>