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F56" w:rsidRPr="00AB0282" w:rsidRDefault="00BC7F56" w:rsidP="00BC7F56">
      <w:pPr>
        <w:pStyle w:val="Subtitle"/>
        <w:rPr>
          <w:b/>
          <w:sz w:val="36"/>
          <w:szCs w:val="36"/>
        </w:rPr>
      </w:pPr>
      <w:bookmarkStart w:id="0" w:name="_Toc442780672"/>
      <w:r w:rsidRPr="00AB0282">
        <w:rPr>
          <w:b/>
          <w:sz w:val="36"/>
          <w:szCs w:val="36"/>
        </w:rPr>
        <w:t xml:space="preserve">Centralised </w:t>
      </w:r>
      <w:r w:rsidR="00B372AA">
        <w:rPr>
          <w:b/>
          <w:sz w:val="36"/>
          <w:szCs w:val="36"/>
        </w:rPr>
        <w:t>B</w:t>
      </w:r>
      <w:r w:rsidR="00450638">
        <w:rPr>
          <w:b/>
          <w:sz w:val="36"/>
          <w:szCs w:val="36"/>
        </w:rPr>
        <w:t xml:space="preserve">anking, </w:t>
      </w:r>
      <w:r w:rsidR="00B372AA">
        <w:rPr>
          <w:b/>
          <w:sz w:val="36"/>
          <w:szCs w:val="36"/>
        </w:rPr>
        <w:t>T</w:t>
      </w:r>
      <w:r w:rsidRPr="00AB0282">
        <w:rPr>
          <w:b/>
          <w:sz w:val="36"/>
          <w:szCs w:val="36"/>
        </w:rPr>
        <w:t>reasury</w:t>
      </w:r>
      <w:r w:rsidR="00450638">
        <w:rPr>
          <w:b/>
          <w:sz w:val="36"/>
          <w:szCs w:val="36"/>
        </w:rPr>
        <w:t xml:space="preserve"> and</w:t>
      </w:r>
      <w:r w:rsidR="0079456E" w:rsidRPr="00AB0282">
        <w:rPr>
          <w:b/>
          <w:sz w:val="36"/>
          <w:szCs w:val="36"/>
        </w:rPr>
        <w:t xml:space="preserve"> </w:t>
      </w:r>
      <w:r w:rsidR="00B372AA">
        <w:rPr>
          <w:b/>
          <w:sz w:val="36"/>
          <w:szCs w:val="36"/>
        </w:rPr>
        <w:t>I</w:t>
      </w:r>
      <w:r w:rsidRPr="00AB0282">
        <w:rPr>
          <w:b/>
          <w:sz w:val="36"/>
          <w:szCs w:val="36"/>
        </w:rPr>
        <w:t xml:space="preserve">nvestment </w:t>
      </w:r>
      <w:r w:rsidR="00B372AA">
        <w:rPr>
          <w:b/>
          <w:sz w:val="36"/>
          <w:szCs w:val="36"/>
        </w:rPr>
        <w:t>P</w:t>
      </w:r>
      <w:bookmarkStart w:id="1" w:name="_GoBack"/>
      <w:bookmarkEnd w:id="1"/>
      <w:r w:rsidRPr="00AB0282">
        <w:rPr>
          <w:b/>
          <w:sz w:val="36"/>
          <w:szCs w:val="36"/>
        </w:rPr>
        <w:t>olicy</w:t>
      </w:r>
    </w:p>
    <w:p w:rsidR="00BC7F56" w:rsidRPr="00AB0282" w:rsidRDefault="00BC7F56" w:rsidP="004B3961">
      <w:pPr>
        <w:pStyle w:val="Heading2"/>
      </w:pPr>
      <w:bookmarkStart w:id="2" w:name="_Hlk1556289"/>
      <w:r w:rsidRPr="00AB0282">
        <w:t>Backgro</w:t>
      </w:r>
      <w:bookmarkEnd w:id="2"/>
      <w:r w:rsidRPr="00AB0282">
        <w:t>und</w:t>
      </w:r>
    </w:p>
    <w:p w:rsidR="0079456E" w:rsidRDefault="00BC7F56" w:rsidP="00BC7F56">
      <w:r>
        <w:t>The objectives of this policy are to ensure that</w:t>
      </w:r>
      <w:r w:rsidR="0079456E">
        <w:t>:</w:t>
      </w:r>
    </w:p>
    <w:p w:rsidR="00BC7F56" w:rsidRDefault="00BC7F56" w:rsidP="0079456E">
      <w:pPr>
        <w:pStyle w:val="ListParagraph"/>
        <w:numPr>
          <w:ilvl w:val="0"/>
          <w:numId w:val="29"/>
        </w:numPr>
        <w:ind w:left="284" w:hanging="284"/>
      </w:pPr>
      <w:r>
        <w:t>treasury risks are effectively identified, assessed, monitored and managed by public sector agencies, and that the strategies adopted by agencies are consistent with the overall objectives of the Government</w:t>
      </w:r>
      <w:r w:rsidR="0079456E">
        <w:t xml:space="preserve">; </w:t>
      </w:r>
    </w:p>
    <w:p w:rsidR="0046101C" w:rsidRDefault="0079456E" w:rsidP="00AB0282">
      <w:pPr>
        <w:pStyle w:val="ListParagraph"/>
        <w:numPr>
          <w:ilvl w:val="0"/>
          <w:numId w:val="29"/>
        </w:numPr>
        <w:ind w:left="284" w:hanging="284"/>
      </w:pPr>
      <w:r>
        <w:t xml:space="preserve">surplus funds are </w:t>
      </w:r>
      <w:r w:rsidR="00DA3606">
        <w:t xml:space="preserve">retained and </w:t>
      </w:r>
      <w:r>
        <w:t>deposited within the Central Banking System</w:t>
      </w:r>
      <w:r w:rsidR="001A71C9">
        <w:t xml:space="preserve"> (CBS)</w:t>
      </w:r>
      <w:r w:rsidR="00236E23">
        <w:t>, which reduces the Government’s borrowing requirement</w:t>
      </w:r>
      <w:r w:rsidR="0046101C">
        <w:t>; and</w:t>
      </w:r>
    </w:p>
    <w:p w:rsidR="00DA3606" w:rsidRDefault="00DA3606" w:rsidP="00DA3606">
      <w:pPr>
        <w:pStyle w:val="ListParagraph"/>
        <w:numPr>
          <w:ilvl w:val="0"/>
          <w:numId w:val="29"/>
        </w:numPr>
        <w:ind w:left="284" w:hanging="284"/>
      </w:pPr>
      <w:r>
        <w:t xml:space="preserve">long-term portfolio investments are managed </w:t>
      </w:r>
      <w:r w:rsidR="00236E23">
        <w:t xml:space="preserve">efficiently </w:t>
      </w:r>
      <w:r>
        <w:t xml:space="preserve">by </w:t>
      </w:r>
      <w:r w:rsidR="001A71C9">
        <w:t>the Victorian Funds Management Corporation (</w:t>
      </w:r>
      <w:r>
        <w:t>VFMC</w:t>
      </w:r>
      <w:r w:rsidR="001A71C9">
        <w:t>)</w:t>
      </w:r>
      <w:r>
        <w:t>.</w:t>
      </w:r>
    </w:p>
    <w:p w:rsidR="0079456E" w:rsidRDefault="00BC7F56" w:rsidP="00BC7F56">
      <w:r>
        <w:t>As part of the State’s prudent approach to financial risk management, the Government has established</w:t>
      </w:r>
      <w:r w:rsidR="0079456E">
        <w:t>:</w:t>
      </w:r>
    </w:p>
    <w:p w:rsidR="0079456E" w:rsidRDefault="00B30EE2" w:rsidP="0079456E">
      <w:pPr>
        <w:pStyle w:val="ListParagraph"/>
        <w:numPr>
          <w:ilvl w:val="0"/>
          <w:numId w:val="30"/>
        </w:numPr>
        <w:ind w:left="284" w:hanging="284"/>
      </w:pPr>
      <w:r>
        <w:t>a CBS</w:t>
      </w:r>
      <w:r w:rsidR="00E33A08" w:rsidRPr="00E33A08">
        <w:t xml:space="preserve"> </w:t>
      </w:r>
      <w:r w:rsidR="00E33A08">
        <w:t>administer</w:t>
      </w:r>
      <w:r w:rsidR="001A71C9">
        <w:t>ed by Westpac</w:t>
      </w:r>
      <w:r w:rsidR="0079456E">
        <w:t xml:space="preserve"> in its role as the State’s banker under a banking service contract</w:t>
      </w:r>
      <w:r w:rsidR="00DA3606">
        <w:t>;</w:t>
      </w:r>
    </w:p>
    <w:p w:rsidR="00AB0282" w:rsidRDefault="00BC7F56" w:rsidP="00BC7F56">
      <w:pPr>
        <w:pStyle w:val="ListParagraph"/>
        <w:numPr>
          <w:ilvl w:val="0"/>
          <w:numId w:val="30"/>
        </w:numPr>
        <w:ind w:left="284" w:hanging="284"/>
      </w:pPr>
      <w:r>
        <w:t xml:space="preserve">the Treasury Corporation of Victoria (TCV) as </w:t>
      </w:r>
      <w:r w:rsidR="008E5008">
        <w:t>the</w:t>
      </w:r>
      <w:r w:rsidR="0079456E">
        <w:t xml:space="preserve"> </w:t>
      </w:r>
      <w:r>
        <w:t xml:space="preserve">centralised </w:t>
      </w:r>
      <w:r w:rsidR="00AB0282">
        <w:t xml:space="preserve">borrowing/finance </w:t>
      </w:r>
      <w:r>
        <w:t>agenc</w:t>
      </w:r>
      <w:r w:rsidR="0079456E">
        <w:t>y</w:t>
      </w:r>
      <w:r>
        <w:t xml:space="preserve"> to manage the borrowing</w:t>
      </w:r>
      <w:r w:rsidR="0079456E">
        <w:t xml:space="preserve"> </w:t>
      </w:r>
      <w:r>
        <w:t xml:space="preserve">and </w:t>
      </w:r>
      <w:r w:rsidR="00AB0282">
        <w:t xml:space="preserve">related </w:t>
      </w:r>
      <w:r>
        <w:t>financial market activities of public sector entities</w:t>
      </w:r>
      <w:r w:rsidR="00DA3606">
        <w:t>; and</w:t>
      </w:r>
    </w:p>
    <w:p w:rsidR="0079456E" w:rsidRDefault="0079456E" w:rsidP="00BC7F56">
      <w:pPr>
        <w:pStyle w:val="ListParagraph"/>
        <w:numPr>
          <w:ilvl w:val="0"/>
          <w:numId w:val="30"/>
        </w:numPr>
        <w:ind w:left="284" w:hanging="284"/>
      </w:pPr>
      <w:r>
        <w:t xml:space="preserve">the VFMC as </w:t>
      </w:r>
      <w:r w:rsidR="008E5008">
        <w:t>the</w:t>
      </w:r>
      <w:r w:rsidR="00AB0282">
        <w:t xml:space="preserve"> </w:t>
      </w:r>
      <w:r>
        <w:t xml:space="preserve">centralised </w:t>
      </w:r>
      <w:r w:rsidR="00AB0282">
        <w:t xml:space="preserve">investment </w:t>
      </w:r>
      <w:r>
        <w:t>agenc</w:t>
      </w:r>
      <w:r w:rsidR="00AB0282">
        <w:t>y</w:t>
      </w:r>
      <w:r>
        <w:t xml:space="preserve"> to manage the </w:t>
      </w:r>
      <w:r w:rsidR="00AB0282">
        <w:t>long-term portfolio</w:t>
      </w:r>
      <w:r>
        <w:t xml:space="preserve"> invest</w:t>
      </w:r>
      <w:r w:rsidR="00236E23">
        <w:t>ments</w:t>
      </w:r>
      <w:r>
        <w:t xml:space="preserve"> of public sector </w:t>
      </w:r>
      <w:r w:rsidR="00236E23">
        <w:t>agencies</w:t>
      </w:r>
      <w:r w:rsidR="00AB0282">
        <w:t>.</w:t>
      </w:r>
    </w:p>
    <w:p w:rsidR="00BC7F56" w:rsidRDefault="00146AF7" w:rsidP="004B3961">
      <w:pPr>
        <w:pStyle w:val="Heading2"/>
      </w:pPr>
      <w:r>
        <w:t xml:space="preserve">Centralisation </w:t>
      </w:r>
      <w:r w:rsidR="00BC7F56">
        <w:t>Policy</w:t>
      </w:r>
    </w:p>
    <w:p w:rsidR="00E60F6A" w:rsidRDefault="00E60F6A" w:rsidP="00F2211C">
      <w:r>
        <w:t xml:space="preserve">The </w:t>
      </w:r>
      <w:r w:rsidR="000E08AA">
        <w:t xml:space="preserve">CBS </w:t>
      </w:r>
      <w:r>
        <w:t>policy is mandator</w:t>
      </w:r>
      <w:r w:rsidR="000E08AA">
        <w:t>y</w:t>
      </w:r>
      <w:r>
        <w:t xml:space="preserve"> for all </w:t>
      </w:r>
      <w:r w:rsidR="000E08AA">
        <w:t xml:space="preserve">general government sector (GG) agencies. It is non-mandatory for public non-financial corporations (PNFCs) </w:t>
      </w:r>
      <w:r w:rsidR="000A781A">
        <w:t xml:space="preserve">and public financial corporations (PFCs) </w:t>
      </w:r>
      <w:r w:rsidR="000E08AA">
        <w:t xml:space="preserve">though the Treasurer has formally requested PNFC boards to consider depositing surplus funds in the CBS. </w:t>
      </w:r>
    </w:p>
    <w:p w:rsidR="00F2211C" w:rsidRDefault="00F2211C" w:rsidP="00F2211C">
      <w:r>
        <w:t xml:space="preserve">The policy is given legal effect through the Standing Directions </w:t>
      </w:r>
      <w:r w:rsidR="001A71C9">
        <w:t>2018</w:t>
      </w:r>
      <w:r>
        <w:t xml:space="preserve"> under the </w:t>
      </w:r>
      <w:r w:rsidRPr="00595203">
        <w:rPr>
          <w:i/>
        </w:rPr>
        <w:t>Financial Management Act 1994</w:t>
      </w:r>
      <w:r w:rsidR="000A781A">
        <w:rPr>
          <w:i/>
        </w:rPr>
        <w:t>.</w:t>
      </w:r>
    </w:p>
    <w:p w:rsidR="00DA3606" w:rsidRDefault="000A781A" w:rsidP="00BC7F56">
      <w:r>
        <w:t>The Standing Directions require</w:t>
      </w:r>
      <w:r w:rsidR="00DA3606">
        <w:t xml:space="preserve">: </w:t>
      </w:r>
    </w:p>
    <w:p w:rsidR="002F21AD" w:rsidRDefault="00BC7F56" w:rsidP="00DA3606">
      <w:pPr>
        <w:pStyle w:val="ListParagraph"/>
        <w:numPr>
          <w:ilvl w:val="0"/>
          <w:numId w:val="32"/>
        </w:numPr>
        <w:ind w:left="284" w:hanging="284"/>
      </w:pPr>
      <w:r>
        <w:t>agencies to</w:t>
      </w:r>
      <w:r w:rsidR="00595203">
        <w:t xml:space="preserve"> place all surplus funds on deposit with the CBS through a Westpac deposit account</w:t>
      </w:r>
      <w:r w:rsidR="000A781A">
        <w:t>. As noted above, this is mandatory for GG agencies and voluntary for PNFCs and PFCs</w:t>
      </w:r>
      <w:r w:rsidR="00F2211C">
        <w:t>;</w:t>
      </w:r>
      <w:r w:rsidR="00595203">
        <w:t xml:space="preserve">  </w:t>
      </w:r>
    </w:p>
    <w:p w:rsidR="002F21AD" w:rsidRDefault="000A781A" w:rsidP="00DA3606">
      <w:pPr>
        <w:pStyle w:val="ListParagraph"/>
        <w:numPr>
          <w:ilvl w:val="0"/>
          <w:numId w:val="32"/>
        </w:numPr>
        <w:ind w:left="284" w:hanging="284"/>
      </w:pPr>
      <w:r>
        <w:t>a</w:t>
      </w:r>
      <w:r w:rsidR="00BC7F56">
        <w:t xml:space="preserve">ll borrowings and financial </w:t>
      </w:r>
      <w:r w:rsidR="002F21AD">
        <w:t xml:space="preserve">(hedging) </w:t>
      </w:r>
      <w:r w:rsidR="00BC7F56">
        <w:t xml:space="preserve">arrangements </w:t>
      </w:r>
      <w:r w:rsidR="00346946">
        <w:t>of $1 million or more</w:t>
      </w:r>
      <w:r w:rsidR="00DA3606">
        <w:t xml:space="preserve"> to be undertaken </w:t>
      </w:r>
      <w:r w:rsidR="00BC7F56">
        <w:t>with TCV</w:t>
      </w:r>
      <w:r w:rsidR="00F2211C">
        <w:t>; and</w:t>
      </w:r>
    </w:p>
    <w:p w:rsidR="001A71C9" w:rsidRDefault="00A10452" w:rsidP="007E0408">
      <w:pPr>
        <w:pStyle w:val="ListParagraph"/>
        <w:numPr>
          <w:ilvl w:val="0"/>
          <w:numId w:val="32"/>
        </w:numPr>
        <w:ind w:left="284" w:hanging="284"/>
      </w:pPr>
      <w:r>
        <w:t xml:space="preserve">an exemption </w:t>
      </w:r>
      <w:r w:rsidR="00160AB0">
        <w:t>for</w:t>
      </w:r>
      <w:r w:rsidR="00CA3E4F">
        <w:t xml:space="preserve"> </w:t>
      </w:r>
      <w:r w:rsidR="00160AB0">
        <w:t>GG agencies to allow</w:t>
      </w:r>
      <w:r w:rsidR="00DA3606">
        <w:t xml:space="preserve">-term portfolio </w:t>
      </w:r>
      <w:r w:rsidR="00CA3E4F">
        <w:t>investments</w:t>
      </w:r>
      <w:r w:rsidR="00160AB0">
        <w:t>, which</w:t>
      </w:r>
      <w:r>
        <w:t xml:space="preserve"> </w:t>
      </w:r>
      <w:r w:rsidR="00160AB0">
        <w:t xml:space="preserve">in practice are likely to be </w:t>
      </w:r>
      <w:r>
        <w:t>managed by VFMC.</w:t>
      </w:r>
      <w:r w:rsidR="00B848AA">
        <w:t xml:space="preserve"> </w:t>
      </w:r>
    </w:p>
    <w:p w:rsidR="007E0408" w:rsidRDefault="001A71C9" w:rsidP="001A71C9">
      <w:r>
        <w:t xml:space="preserve">If a </w:t>
      </w:r>
      <w:r w:rsidR="00B848AA">
        <w:t xml:space="preserve">GG </w:t>
      </w:r>
      <w:r w:rsidR="000A781A">
        <w:t>agenc</w:t>
      </w:r>
      <w:r>
        <w:t xml:space="preserve">y has an exemption </w:t>
      </w:r>
      <w:r w:rsidR="00160AB0">
        <w:t xml:space="preserve">from the CBS </w:t>
      </w:r>
      <w:r>
        <w:t xml:space="preserve">from the Treasurer under Standing Direction 1.5(b), then all monies must be invested with VFMC, TCV or as otherwise directed by the Treasurer. In practice, long-term portfolio investments will be managed by VFMC, unless the Treasurer has directed otherwise. </w:t>
      </w:r>
      <w:r w:rsidR="00E26903">
        <w:t>Agencies</w:t>
      </w:r>
      <w:r w:rsidR="00B848AA">
        <w:t xml:space="preserve"> will need to apply for approval (exemption under Direction </w:t>
      </w:r>
      <w:r w:rsidR="00E26903">
        <w:t>3</w:t>
      </w:r>
      <w:r w:rsidR="00B848AA">
        <w:t>.7.2.1) f</w:t>
      </w:r>
      <w:r w:rsidR="000A781A">
        <w:t>rom their portfolio minister and the Treasurer</w:t>
      </w:r>
      <w:r w:rsidR="00B848AA">
        <w:t xml:space="preserve"> </w:t>
      </w:r>
      <w:r w:rsidR="000A781A">
        <w:t xml:space="preserve">for </w:t>
      </w:r>
      <w:r w:rsidR="00B848AA">
        <w:t xml:space="preserve">VFMC to manage their funds. The primary case for exemption will rest on </w:t>
      </w:r>
      <w:r w:rsidR="000A781A">
        <w:t xml:space="preserve">establishing a business case to support the investment of funds in a </w:t>
      </w:r>
      <w:r w:rsidR="00B848AA">
        <w:t>long-term portfolio</w:t>
      </w:r>
      <w:r w:rsidR="000A781A">
        <w:t>.</w:t>
      </w:r>
      <w:r w:rsidR="00B848AA">
        <w:t xml:space="preserve">  </w:t>
      </w:r>
      <w:r w:rsidR="00B164D6">
        <w:t xml:space="preserve">Current VFMC investments may remain during the initial phase of the CBS implementation. However, </w:t>
      </w:r>
      <w:r w:rsidR="007E0408">
        <w:t>investme</w:t>
      </w:r>
      <w:r w:rsidR="00B164D6">
        <w:t xml:space="preserve">nts may not be </w:t>
      </w:r>
      <w:r w:rsidR="00C124FD">
        <w:t>increased,</w:t>
      </w:r>
      <w:r w:rsidR="00B164D6">
        <w:t xml:space="preserve"> and new investments may not be placed unless </w:t>
      </w:r>
      <w:r w:rsidR="007E0408">
        <w:t xml:space="preserve">the </w:t>
      </w:r>
      <w:r w:rsidR="00E26903">
        <w:t xml:space="preserve">GG </w:t>
      </w:r>
      <w:r w:rsidR="007E0408">
        <w:t>agency has an exemption.</w:t>
      </w:r>
    </w:p>
    <w:p w:rsidR="00E26903" w:rsidRDefault="00E26903" w:rsidP="007E0408"/>
    <w:p w:rsidR="00BC7F56" w:rsidRDefault="007E0408" w:rsidP="007E0408">
      <w:r>
        <w:lastRenderedPageBreak/>
        <w:t xml:space="preserve">The </w:t>
      </w:r>
      <w:r w:rsidR="00686CE0">
        <w:t>Standing Directions provide for</w:t>
      </w:r>
      <w:r w:rsidR="00DA3606">
        <w:t xml:space="preserve"> the f</w:t>
      </w:r>
      <w:r w:rsidR="00BC7F56">
        <w:t>ollowing exceptions</w:t>
      </w:r>
      <w:r w:rsidR="00DA3606">
        <w:t xml:space="preserve"> and exemptions</w:t>
      </w:r>
      <w:r w:rsidR="00BC7F56">
        <w:t>:</w:t>
      </w:r>
    </w:p>
    <w:p w:rsidR="00522E65" w:rsidRPr="003C5521" w:rsidRDefault="00522E65" w:rsidP="00522E65">
      <w:pPr>
        <w:rPr>
          <w:b/>
        </w:rPr>
      </w:pPr>
      <w:r w:rsidRPr="003C5521">
        <w:rPr>
          <w:b/>
        </w:rPr>
        <w:t xml:space="preserve">Exceptions outlined in Direction 3.7.2.1  </w:t>
      </w:r>
    </w:p>
    <w:p w:rsidR="00522E65" w:rsidRDefault="00522E65" w:rsidP="00522E65">
      <w:pPr>
        <w:pStyle w:val="ListBullet"/>
      </w:pPr>
      <w:r>
        <w:t>agencies may retain notes and coins, and funds in a transactional bank account, to meet daily cash flow requirements, albeit these should be minimised;</w:t>
      </w:r>
    </w:p>
    <w:p w:rsidR="00522E65" w:rsidRDefault="00522E65" w:rsidP="00522E65">
      <w:pPr>
        <w:pStyle w:val="ListBullet"/>
      </w:pPr>
      <w:r>
        <w:t xml:space="preserve">agencies may undertake foreign currency hedging transactions of less than $1 million with an intermediary, </w:t>
      </w:r>
      <w:r w:rsidR="007E420D">
        <w:t>other</w:t>
      </w:r>
      <w:r>
        <w:t xml:space="preserve"> than TCV;</w:t>
      </w:r>
    </w:p>
    <w:p w:rsidR="00522E65" w:rsidRDefault="00522E65" w:rsidP="00522E65">
      <w:pPr>
        <w:pStyle w:val="ListBullet"/>
      </w:pPr>
      <w:r>
        <w:t xml:space="preserve">an exemption applies to money held on trust </w:t>
      </w:r>
      <w:r w:rsidR="007E420D">
        <w:t>by</w:t>
      </w:r>
      <w:r>
        <w:t xml:space="preserve"> an agency for, and repayable to</w:t>
      </w:r>
      <w:r w:rsidR="007E420D">
        <w:t>,</w:t>
      </w:r>
      <w:r>
        <w:t xml:space="preserve"> a known beneficiary (other than the State or an agency) pursuant to a statutory function; and</w:t>
      </w:r>
    </w:p>
    <w:p w:rsidR="00522E65" w:rsidRDefault="00522E65" w:rsidP="00522E65">
      <w:pPr>
        <w:pStyle w:val="ListBullet"/>
      </w:pPr>
      <w:r>
        <w:t xml:space="preserve">where, following consultation with the </w:t>
      </w:r>
      <w:r w:rsidR="007E420D">
        <w:t>a</w:t>
      </w:r>
      <w:r>
        <w:t xml:space="preserve">gency’s portfolio </w:t>
      </w:r>
      <w:r w:rsidR="007E420D">
        <w:t>m</w:t>
      </w:r>
      <w:r>
        <w:t xml:space="preserve">inister, the Treasurer has in writing approved </w:t>
      </w:r>
      <w:r w:rsidR="007E420D">
        <w:t>an exemption</w:t>
      </w:r>
      <w:r>
        <w:t xml:space="preserve">. </w:t>
      </w:r>
    </w:p>
    <w:p w:rsidR="009C110C" w:rsidRPr="003C5521" w:rsidRDefault="00146AF7" w:rsidP="00BC7F56">
      <w:pPr>
        <w:rPr>
          <w:b/>
        </w:rPr>
      </w:pPr>
      <w:r w:rsidRPr="003C5521">
        <w:rPr>
          <w:b/>
        </w:rPr>
        <w:t xml:space="preserve">Complete </w:t>
      </w:r>
      <w:r w:rsidR="009C110C" w:rsidRPr="003C5521">
        <w:rPr>
          <w:b/>
        </w:rPr>
        <w:t>Exemptions outlined in Direction 1.2.1</w:t>
      </w:r>
    </w:p>
    <w:p w:rsidR="009C110C" w:rsidRDefault="009C110C" w:rsidP="009C110C">
      <w:pPr>
        <w:pStyle w:val="ListParagraph"/>
        <w:numPr>
          <w:ilvl w:val="0"/>
          <w:numId w:val="34"/>
        </w:numPr>
        <w:ind w:left="284" w:hanging="284"/>
      </w:pPr>
      <w:r>
        <w:t xml:space="preserve">school councils, </w:t>
      </w:r>
      <w:r w:rsidR="00B848AA">
        <w:t xml:space="preserve">incorporated </w:t>
      </w:r>
      <w:r>
        <w:t xml:space="preserve">committees of management, volunteer fire </w:t>
      </w:r>
      <w:r w:rsidR="00B848AA">
        <w:t>units/</w:t>
      </w:r>
      <w:r>
        <w:t xml:space="preserve">brigades </w:t>
      </w:r>
      <w:r w:rsidR="00B848AA">
        <w:t>of Vi</w:t>
      </w:r>
      <w:r w:rsidR="000E08AA">
        <w:t>c</w:t>
      </w:r>
      <w:r w:rsidR="00B848AA">
        <w:t>SES and the CFA</w:t>
      </w:r>
      <w:r w:rsidR="00A10452">
        <w:t xml:space="preserve">, and </w:t>
      </w:r>
      <w:r w:rsidR="00A10452" w:rsidRPr="00A10452">
        <w:t>Class B cemetery trusts</w:t>
      </w:r>
      <w:r w:rsidR="00522E65">
        <w:t>.</w:t>
      </w:r>
      <w:r>
        <w:t xml:space="preserve"> </w:t>
      </w:r>
    </w:p>
    <w:p w:rsidR="00146AF7" w:rsidRPr="003C5521" w:rsidRDefault="00146AF7" w:rsidP="00146AF7">
      <w:pPr>
        <w:rPr>
          <w:b/>
        </w:rPr>
      </w:pPr>
      <w:r w:rsidRPr="003C5521">
        <w:rPr>
          <w:b/>
        </w:rPr>
        <w:t>Exemptions outlined in Direction 1.2.2 from Direction 3.7.2.1</w:t>
      </w:r>
    </w:p>
    <w:p w:rsidR="00146AF7" w:rsidRDefault="00146AF7" w:rsidP="00146AF7">
      <w:pPr>
        <w:pStyle w:val="ListParagraph"/>
        <w:numPr>
          <w:ilvl w:val="0"/>
          <w:numId w:val="34"/>
        </w:numPr>
        <w:ind w:left="284" w:hanging="284"/>
      </w:pPr>
      <w:r>
        <w:t>PNFCs and public financial corporations (PFCs); and</w:t>
      </w:r>
    </w:p>
    <w:p w:rsidR="00146AF7" w:rsidRDefault="00146AF7" w:rsidP="00146AF7">
      <w:pPr>
        <w:pStyle w:val="ListParagraph"/>
        <w:numPr>
          <w:ilvl w:val="0"/>
          <w:numId w:val="34"/>
        </w:numPr>
        <w:ind w:left="284" w:hanging="284"/>
      </w:pPr>
      <w:r>
        <w:t>Universities established under a Victorian State Act.</w:t>
      </w:r>
    </w:p>
    <w:p w:rsidR="00236E23" w:rsidRPr="007640A9" w:rsidRDefault="00236E23" w:rsidP="00236E23">
      <w:pPr>
        <w:pStyle w:val="ListBullet"/>
        <w:numPr>
          <w:ilvl w:val="0"/>
          <w:numId w:val="0"/>
        </w:numPr>
        <w:rPr>
          <w:b/>
        </w:rPr>
      </w:pPr>
      <w:r w:rsidRPr="007640A9">
        <w:rPr>
          <w:b/>
        </w:rPr>
        <w:t xml:space="preserve">Exemptions </w:t>
      </w:r>
      <w:r w:rsidR="000E08AA" w:rsidRPr="007640A9">
        <w:rPr>
          <w:b/>
        </w:rPr>
        <w:t xml:space="preserve">outlined </w:t>
      </w:r>
      <w:r w:rsidRPr="007640A9">
        <w:rPr>
          <w:b/>
        </w:rPr>
        <w:t>in Direction 1.5</w:t>
      </w:r>
    </w:p>
    <w:p w:rsidR="00EE17A6" w:rsidRDefault="00F2211C" w:rsidP="00EE17A6">
      <w:pPr>
        <w:pStyle w:val="ListParagraph"/>
        <w:numPr>
          <w:ilvl w:val="0"/>
          <w:numId w:val="35"/>
        </w:numPr>
        <w:ind w:left="284" w:hanging="284"/>
      </w:pPr>
      <w:r>
        <w:t>An agency may request its Responsible Minister</w:t>
      </w:r>
      <w:r w:rsidR="004A50E4">
        <w:t xml:space="preserve"> to apply to the Treasurer</w:t>
      </w:r>
      <w:r>
        <w:t xml:space="preserve"> </w:t>
      </w:r>
      <w:r w:rsidR="004A50E4">
        <w:t>to apply for a</w:t>
      </w:r>
      <w:r w:rsidR="00EE17A6">
        <w:t xml:space="preserve">n exemption </w:t>
      </w:r>
      <w:r w:rsidR="004A50E4">
        <w:t>under Directions 3.7.2.1, 3.7.2.3 and 3.7.2.4</w:t>
      </w:r>
      <w:r w:rsidR="00965591">
        <w:t>. An application</w:t>
      </w:r>
      <w:r w:rsidR="00965591" w:rsidRPr="00965591">
        <w:t xml:space="preserve"> </w:t>
      </w:r>
      <w:r w:rsidR="00965591">
        <w:t>must be in writing and include the reasons for the exemption</w:t>
      </w:r>
      <w:r w:rsidR="00EE17A6">
        <w:t>; and</w:t>
      </w:r>
    </w:p>
    <w:p w:rsidR="00F2211C" w:rsidRDefault="00EE17A6" w:rsidP="00EE17A6">
      <w:pPr>
        <w:pStyle w:val="ListParagraph"/>
        <w:numPr>
          <w:ilvl w:val="0"/>
          <w:numId w:val="35"/>
        </w:numPr>
        <w:ind w:left="284" w:hanging="284"/>
      </w:pPr>
      <w:r>
        <w:t>The Assistant Treasurer</w:t>
      </w:r>
      <w:r w:rsidR="00FD5A48">
        <w:t xml:space="preserve"> may exempt a person, agency or class of agencies from Direction 3.7.2.1 with respect to an asset or cl</w:t>
      </w:r>
      <w:r w:rsidR="004A50E4">
        <w:t>as</w:t>
      </w:r>
      <w:r w:rsidR="00FD5A48">
        <w:t>s of assets</w:t>
      </w:r>
      <w:r>
        <w:t>.</w:t>
      </w:r>
    </w:p>
    <w:p w:rsidR="00F2211C" w:rsidRPr="00AB0282" w:rsidRDefault="00FD5A48" w:rsidP="00F2211C">
      <w:pPr>
        <w:pStyle w:val="Heading2"/>
      </w:pPr>
      <w:r>
        <w:t xml:space="preserve">Agency </w:t>
      </w:r>
      <w:r w:rsidR="00F2211C">
        <w:t>Treasury and Investment Policies</w:t>
      </w:r>
    </w:p>
    <w:p w:rsidR="00F2211C" w:rsidRDefault="00F2211C" w:rsidP="00F2211C">
      <w:r>
        <w:t>The State has a conservative philosophy for the management of treasury risks and accordingly, agencies must establish treasury (borrowing and/or investment) policies appropriate to the borrowing and investment risks of their business.</w:t>
      </w:r>
    </w:p>
    <w:p w:rsidR="00BC7F56" w:rsidRDefault="00686CE0" w:rsidP="00BC7F56">
      <w:r>
        <w:t>Agencies</w:t>
      </w:r>
      <w:r w:rsidR="00BC7F56">
        <w:t xml:space="preserve"> must maintain a Treasury Policy if it has borrowings and cash and interest-earning investments</w:t>
      </w:r>
      <w:r>
        <w:t>.</w:t>
      </w:r>
    </w:p>
    <w:p w:rsidR="00F2211C" w:rsidRDefault="00BC7F56" w:rsidP="00BC7F56">
      <w:r>
        <w:t>A</w:t>
      </w:r>
      <w:r w:rsidR="00686CE0">
        <w:t>gencies</w:t>
      </w:r>
      <w:r>
        <w:t xml:space="preserve"> must maintain an Investment Policy if it invests with VFMC or seeks to maintain any investments other than transactional cash funds.</w:t>
      </w:r>
    </w:p>
    <w:p w:rsidR="00BC7F56" w:rsidRDefault="00F2211C" w:rsidP="00BC7F56">
      <w:r>
        <w:t>Sample policies are to be included in the Standing Direction Guid</w:t>
      </w:r>
      <w:r w:rsidR="004A50E4">
        <w:t>ance</w:t>
      </w:r>
      <w:r w:rsidR="00686CE0">
        <w:t>. Advice can be sought from DTF on tailoring policies consistent with the requirements of an agency.</w:t>
      </w:r>
    </w:p>
    <w:p w:rsidR="00BC7F56" w:rsidRDefault="00BC7F56" w:rsidP="00BC7F56">
      <w:r>
        <w:t>For further information</w:t>
      </w:r>
      <w:r w:rsidR="00686CE0">
        <w:t>,</w:t>
      </w:r>
      <w:r>
        <w:t xml:space="preserve"> see </w:t>
      </w:r>
      <w:r w:rsidR="003D6783">
        <w:t xml:space="preserve">the Standing Directions </w:t>
      </w:r>
      <w:r w:rsidR="00686CE0">
        <w:t xml:space="preserve">2018 </w:t>
      </w:r>
      <w:r w:rsidR="003D6783">
        <w:t xml:space="preserve">page on the DTF website. </w:t>
      </w:r>
    </w:p>
    <w:p w:rsidR="004B3961" w:rsidRDefault="004B3961" w:rsidP="004B3961">
      <w:pPr>
        <w:pStyle w:val="NoteNormal"/>
        <w:spacing w:before="0" w:after="0"/>
      </w:pPr>
    </w:p>
    <w:tbl>
      <w:tblPr>
        <w:tblStyle w:val="DTFtexttable"/>
        <w:tblW w:w="5000" w:type="pct"/>
        <w:tblLook w:val="0620" w:firstRow="1" w:lastRow="0" w:firstColumn="0" w:lastColumn="0" w:noHBand="1" w:noVBand="1"/>
      </w:tblPr>
      <w:tblGrid>
        <w:gridCol w:w="3566"/>
        <w:gridCol w:w="2927"/>
        <w:gridCol w:w="2647"/>
      </w:tblGrid>
      <w:tr w:rsidR="004B3961" w:rsidTr="004B3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:rsidR="004B3961" w:rsidRDefault="004B3961" w:rsidP="004B3961">
            <w:pPr>
              <w:pStyle w:val="Tableheader"/>
              <w:spacing w:after="40"/>
            </w:pPr>
            <w:r>
              <w:t>Contacts for further information:</w:t>
            </w:r>
          </w:p>
        </w:tc>
      </w:tr>
      <w:tr w:rsidR="004B3961" w:rsidTr="004B3961">
        <w:tc>
          <w:tcPr>
            <w:tcW w:w="1951" w:type="pct"/>
          </w:tcPr>
          <w:p w:rsidR="00146AF7" w:rsidRDefault="004B3961" w:rsidP="004B3961">
            <w:pPr>
              <w:pStyle w:val="Tabletext"/>
            </w:pPr>
            <w:r>
              <w:t>Director, Financial Assets and Liabilities</w:t>
            </w:r>
            <w:r>
              <w:br/>
              <w:t>Department of Treasury and Finance</w:t>
            </w:r>
            <w:r>
              <w:br/>
              <w:t>Level</w:t>
            </w:r>
            <w:r w:rsidR="00725B54">
              <w:t xml:space="preserve"> </w:t>
            </w:r>
            <w:r>
              <w:t>5, 1 Treasury Place</w:t>
            </w:r>
            <w:r>
              <w:br/>
              <w:t>EAST MELBOURNE  VIC  3002</w:t>
            </w:r>
            <w:r>
              <w:br/>
              <w:t>Tel: 03 9651</w:t>
            </w:r>
            <w:r>
              <w:noBreakHyphen/>
              <w:t>5305</w:t>
            </w:r>
          </w:p>
          <w:p w:rsidR="004B3961" w:rsidRPr="00146AF7" w:rsidRDefault="00146AF7" w:rsidP="00146AF7">
            <w:pPr>
              <w:tabs>
                <w:tab w:val="left" w:pos="2415"/>
              </w:tabs>
            </w:pPr>
            <w:r>
              <w:tab/>
            </w:r>
          </w:p>
        </w:tc>
        <w:tc>
          <w:tcPr>
            <w:tcW w:w="1601" w:type="pct"/>
          </w:tcPr>
          <w:p w:rsidR="004B3961" w:rsidRDefault="004B3961" w:rsidP="004B3961">
            <w:pPr>
              <w:pStyle w:val="Tabletext"/>
            </w:pPr>
            <w:r>
              <w:t>Treasury Client Services</w:t>
            </w:r>
            <w:r>
              <w:br/>
              <w:t>Treasury Corporation of Victoria</w:t>
            </w:r>
            <w:r>
              <w:br/>
              <w:t>Level 12, 1 Collins Street</w:t>
            </w:r>
            <w:r>
              <w:br/>
              <w:t>MELBOURNE  VIC  3000</w:t>
            </w:r>
            <w:r>
              <w:br/>
              <w:t>Tel: 03 9911</w:t>
            </w:r>
            <w:r>
              <w:noBreakHyphen/>
              <w:t>3636</w:t>
            </w:r>
          </w:p>
        </w:tc>
        <w:tc>
          <w:tcPr>
            <w:tcW w:w="1448" w:type="pct"/>
          </w:tcPr>
          <w:p w:rsidR="004B3961" w:rsidRDefault="004B3961" w:rsidP="00725B54">
            <w:pPr>
              <w:pStyle w:val="Tabletext"/>
            </w:pPr>
            <w:r>
              <w:t xml:space="preserve">Head of Client Services </w:t>
            </w:r>
            <w:r>
              <w:br/>
              <w:t>Victorian Funds Management Corporation</w:t>
            </w:r>
            <w:r>
              <w:br/>
              <w:t>Level 13, 101 Collins Street</w:t>
            </w:r>
            <w:r>
              <w:br/>
              <w:t>MELBOURNE  VIC  3000</w:t>
            </w:r>
            <w:r>
              <w:br/>
              <w:t>Tel: 03 9207</w:t>
            </w:r>
            <w:r>
              <w:noBreakHyphen/>
              <w:t>2900</w:t>
            </w:r>
          </w:p>
        </w:tc>
      </w:tr>
      <w:bookmarkEnd w:id="0"/>
    </w:tbl>
    <w:p w:rsidR="004B3961" w:rsidRDefault="004B3961" w:rsidP="00146AF7">
      <w:pPr>
        <w:pStyle w:val="NoteNormal"/>
        <w:spacing w:before="0" w:after="0"/>
      </w:pPr>
    </w:p>
    <w:sectPr w:rsidR="004B3961" w:rsidSect="004B3961">
      <w:headerReference w:type="default" r:id="rId8"/>
      <w:footerReference w:type="default" r:id="rId9"/>
      <w:pgSz w:w="11906" w:h="16838" w:code="9"/>
      <w:pgMar w:top="2160" w:right="1440" w:bottom="99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11A" w:rsidRDefault="0075511A" w:rsidP="002D711A">
      <w:pPr>
        <w:spacing w:after="0" w:line="240" w:lineRule="auto"/>
      </w:pPr>
      <w:r>
        <w:separator/>
      </w:r>
    </w:p>
  </w:endnote>
  <w:endnote w:type="continuationSeparator" w:id="0">
    <w:p w:rsidR="0075511A" w:rsidRDefault="0075511A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A08" w:rsidRPr="00C022F9" w:rsidRDefault="00E33A08" w:rsidP="0041689E">
    <w:pPr>
      <w:pStyle w:val="Footer"/>
    </w:pPr>
    <w:r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>
      <w:rPr>
        <w:rStyle w:val="PageNumber"/>
      </w:rPr>
      <w:t>2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11A" w:rsidRDefault="0075511A" w:rsidP="002D711A">
      <w:pPr>
        <w:spacing w:after="0" w:line="240" w:lineRule="auto"/>
      </w:pPr>
      <w:r>
        <w:separator/>
      </w:r>
    </w:p>
  </w:footnote>
  <w:footnote w:type="continuationSeparator" w:id="0">
    <w:p w:rsidR="0075511A" w:rsidRDefault="0075511A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A08" w:rsidRPr="0041689E" w:rsidRDefault="00E33A08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71737F2" wp14:editId="30CA2C9C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571E3383" wp14:editId="3CAB166F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2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6E56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0BC9"/>
    <w:multiLevelType w:val="hybridMultilevel"/>
    <w:tmpl w:val="7B469C7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5B769F"/>
    <w:multiLevelType w:val="hybridMultilevel"/>
    <w:tmpl w:val="E9E6A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3B46"/>
    <w:multiLevelType w:val="hybridMultilevel"/>
    <w:tmpl w:val="789C897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7" w15:restartNumberingAfterBreak="0">
    <w:nsid w:val="4C867D6C"/>
    <w:multiLevelType w:val="hybridMultilevel"/>
    <w:tmpl w:val="F6F46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333C"/>
    <w:multiLevelType w:val="hybridMultilevel"/>
    <w:tmpl w:val="85684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F5E50"/>
    <w:multiLevelType w:val="hybridMultilevel"/>
    <w:tmpl w:val="D278C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04B19"/>
    <w:multiLevelType w:val="hybridMultilevel"/>
    <w:tmpl w:val="A4DC1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3"/>
  </w:num>
  <w:num w:numId="18">
    <w:abstractNumId w:val="3"/>
  </w:num>
  <w:num w:numId="19">
    <w:abstractNumId w:val="11"/>
  </w:num>
  <w:num w:numId="20">
    <w:abstractNumId w:val="10"/>
  </w:num>
  <w:num w:numId="21">
    <w:abstractNumId w:val="1"/>
  </w:num>
  <w:num w:numId="22">
    <w:abstractNumId w:val="1"/>
  </w:num>
  <w:num w:numId="23">
    <w:abstractNumId w:val="1"/>
  </w:num>
  <w:num w:numId="24">
    <w:abstractNumId w:val="11"/>
  </w:num>
  <w:num w:numId="25">
    <w:abstractNumId w:val="13"/>
  </w:num>
  <w:num w:numId="26">
    <w:abstractNumId w:val="3"/>
  </w:num>
  <w:num w:numId="27">
    <w:abstractNumId w:val="3"/>
  </w:num>
  <w:num w:numId="28">
    <w:abstractNumId w:val="0"/>
  </w:num>
  <w:num w:numId="29">
    <w:abstractNumId w:val="5"/>
  </w:num>
  <w:num w:numId="30">
    <w:abstractNumId w:val="4"/>
  </w:num>
  <w:num w:numId="31">
    <w:abstractNumId w:val="12"/>
  </w:num>
  <w:num w:numId="32">
    <w:abstractNumId w:val="7"/>
  </w:num>
  <w:num w:numId="33">
    <w:abstractNumId w:val="2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F56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5E6C"/>
    <w:rsid w:val="000A781A"/>
    <w:rsid w:val="000B29AD"/>
    <w:rsid w:val="000B59D6"/>
    <w:rsid w:val="000C6372"/>
    <w:rsid w:val="000D593F"/>
    <w:rsid w:val="000E08AA"/>
    <w:rsid w:val="000E204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46AF7"/>
    <w:rsid w:val="00160AB0"/>
    <w:rsid w:val="001617B6"/>
    <w:rsid w:val="00165E66"/>
    <w:rsid w:val="001A3DD1"/>
    <w:rsid w:val="001A71C9"/>
    <w:rsid w:val="001C1260"/>
    <w:rsid w:val="001C7BAE"/>
    <w:rsid w:val="001D717E"/>
    <w:rsid w:val="001E31FA"/>
    <w:rsid w:val="001E64F6"/>
    <w:rsid w:val="00200BB3"/>
    <w:rsid w:val="00202321"/>
    <w:rsid w:val="00222BEB"/>
    <w:rsid w:val="00225E60"/>
    <w:rsid w:val="00227C39"/>
    <w:rsid w:val="0023202C"/>
    <w:rsid w:val="00236203"/>
    <w:rsid w:val="00236E23"/>
    <w:rsid w:val="00245043"/>
    <w:rsid w:val="00257760"/>
    <w:rsid w:val="00290D3C"/>
    <w:rsid w:val="00292D36"/>
    <w:rsid w:val="00297281"/>
    <w:rsid w:val="002A274A"/>
    <w:rsid w:val="002B6971"/>
    <w:rsid w:val="002C54E0"/>
    <w:rsid w:val="002D711A"/>
    <w:rsid w:val="002D7336"/>
    <w:rsid w:val="002E3396"/>
    <w:rsid w:val="002F21AD"/>
    <w:rsid w:val="0031149C"/>
    <w:rsid w:val="003159DD"/>
    <w:rsid w:val="00346946"/>
    <w:rsid w:val="0038771C"/>
    <w:rsid w:val="00392A8F"/>
    <w:rsid w:val="0039405B"/>
    <w:rsid w:val="003A1C92"/>
    <w:rsid w:val="003A541A"/>
    <w:rsid w:val="003A6923"/>
    <w:rsid w:val="003C2C67"/>
    <w:rsid w:val="003C2EA2"/>
    <w:rsid w:val="003C5521"/>
    <w:rsid w:val="003C5BA4"/>
    <w:rsid w:val="003D116E"/>
    <w:rsid w:val="003D6783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41BD9"/>
    <w:rsid w:val="00450638"/>
    <w:rsid w:val="00453750"/>
    <w:rsid w:val="00456941"/>
    <w:rsid w:val="0046101C"/>
    <w:rsid w:val="004669E3"/>
    <w:rsid w:val="004702EA"/>
    <w:rsid w:val="00482D02"/>
    <w:rsid w:val="00485B1D"/>
    <w:rsid w:val="004A50E4"/>
    <w:rsid w:val="004A7519"/>
    <w:rsid w:val="004B3961"/>
    <w:rsid w:val="004B41CA"/>
    <w:rsid w:val="004D3518"/>
    <w:rsid w:val="004D62D6"/>
    <w:rsid w:val="00522E65"/>
    <w:rsid w:val="0053416C"/>
    <w:rsid w:val="00541C2F"/>
    <w:rsid w:val="00563527"/>
    <w:rsid w:val="0058124E"/>
    <w:rsid w:val="00584301"/>
    <w:rsid w:val="005875A3"/>
    <w:rsid w:val="00595203"/>
    <w:rsid w:val="005A3416"/>
    <w:rsid w:val="005B27FE"/>
    <w:rsid w:val="005C3E6D"/>
    <w:rsid w:val="005E6C63"/>
    <w:rsid w:val="005F331D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86CE0"/>
    <w:rsid w:val="00691C09"/>
    <w:rsid w:val="006A5B34"/>
    <w:rsid w:val="006A5F5B"/>
    <w:rsid w:val="006C42D8"/>
    <w:rsid w:val="006C77A9"/>
    <w:rsid w:val="006F6693"/>
    <w:rsid w:val="00707FE8"/>
    <w:rsid w:val="007147E1"/>
    <w:rsid w:val="00724962"/>
    <w:rsid w:val="00724A0F"/>
    <w:rsid w:val="00725B54"/>
    <w:rsid w:val="0073072C"/>
    <w:rsid w:val="007320B4"/>
    <w:rsid w:val="00732162"/>
    <w:rsid w:val="00736732"/>
    <w:rsid w:val="00750CBE"/>
    <w:rsid w:val="0075511A"/>
    <w:rsid w:val="007640A9"/>
    <w:rsid w:val="00766B5A"/>
    <w:rsid w:val="007834F2"/>
    <w:rsid w:val="00791020"/>
    <w:rsid w:val="0079456E"/>
    <w:rsid w:val="007A5F82"/>
    <w:rsid w:val="007B75A4"/>
    <w:rsid w:val="007E0408"/>
    <w:rsid w:val="007E420D"/>
    <w:rsid w:val="007F1A4C"/>
    <w:rsid w:val="007F37D2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A4900"/>
    <w:rsid w:val="008D0281"/>
    <w:rsid w:val="008E3C4E"/>
    <w:rsid w:val="008E5008"/>
    <w:rsid w:val="008E5D8F"/>
    <w:rsid w:val="008F6D45"/>
    <w:rsid w:val="00965591"/>
    <w:rsid w:val="00972C3C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110C"/>
    <w:rsid w:val="009C3D88"/>
    <w:rsid w:val="009D33BC"/>
    <w:rsid w:val="009E3858"/>
    <w:rsid w:val="009E70DD"/>
    <w:rsid w:val="009F2ED9"/>
    <w:rsid w:val="009F3231"/>
    <w:rsid w:val="009F5C58"/>
    <w:rsid w:val="00A023A0"/>
    <w:rsid w:val="00A10452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0282"/>
    <w:rsid w:val="00AB3FE2"/>
    <w:rsid w:val="00AD3322"/>
    <w:rsid w:val="00AD7E4E"/>
    <w:rsid w:val="00AF34DE"/>
    <w:rsid w:val="00AF4D58"/>
    <w:rsid w:val="00AF6666"/>
    <w:rsid w:val="00B10154"/>
    <w:rsid w:val="00B164D6"/>
    <w:rsid w:val="00B30EE2"/>
    <w:rsid w:val="00B372AA"/>
    <w:rsid w:val="00B81B44"/>
    <w:rsid w:val="00B848AA"/>
    <w:rsid w:val="00B9053B"/>
    <w:rsid w:val="00BC3422"/>
    <w:rsid w:val="00BC7F56"/>
    <w:rsid w:val="00C015B9"/>
    <w:rsid w:val="00C022F9"/>
    <w:rsid w:val="00C032EA"/>
    <w:rsid w:val="00C06EB5"/>
    <w:rsid w:val="00C1145F"/>
    <w:rsid w:val="00C124FD"/>
    <w:rsid w:val="00C46D79"/>
    <w:rsid w:val="00C637E1"/>
    <w:rsid w:val="00C70D50"/>
    <w:rsid w:val="00C8243E"/>
    <w:rsid w:val="00C907D7"/>
    <w:rsid w:val="00C92338"/>
    <w:rsid w:val="00CA3E4F"/>
    <w:rsid w:val="00CA7C3A"/>
    <w:rsid w:val="00CC2DB2"/>
    <w:rsid w:val="00CD0307"/>
    <w:rsid w:val="00CD3D1B"/>
    <w:rsid w:val="00CE62B3"/>
    <w:rsid w:val="00CF4492"/>
    <w:rsid w:val="00CF7DCA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73E0A"/>
    <w:rsid w:val="00D814B7"/>
    <w:rsid w:val="00D83744"/>
    <w:rsid w:val="00D90688"/>
    <w:rsid w:val="00DA3606"/>
    <w:rsid w:val="00DA3AAD"/>
    <w:rsid w:val="00DB312B"/>
    <w:rsid w:val="00DC5654"/>
    <w:rsid w:val="00DC658F"/>
    <w:rsid w:val="00DE60CC"/>
    <w:rsid w:val="00E11D9A"/>
    <w:rsid w:val="00E26903"/>
    <w:rsid w:val="00E26B32"/>
    <w:rsid w:val="00E31444"/>
    <w:rsid w:val="00E33A08"/>
    <w:rsid w:val="00E407B6"/>
    <w:rsid w:val="00E41EF1"/>
    <w:rsid w:val="00E42942"/>
    <w:rsid w:val="00E468A6"/>
    <w:rsid w:val="00E60F6A"/>
    <w:rsid w:val="00E71BDF"/>
    <w:rsid w:val="00E83CA7"/>
    <w:rsid w:val="00EA0281"/>
    <w:rsid w:val="00EC171D"/>
    <w:rsid w:val="00EC5004"/>
    <w:rsid w:val="00EC6AE6"/>
    <w:rsid w:val="00ED487E"/>
    <w:rsid w:val="00EE17A6"/>
    <w:rsid w:val="00EE7A0D"/>
    <w:rsid w:val="00EF0D21"/>
    <w:rsid w:val="00F17CE1"/>
    <w:rsid w:val="00F2115C"/>
    <w:rsid w:val="00F2211C"/>
    <w:rsid w:val="00F22ABA"/>
    <w:rsid w:val="00F36B12"/>
    <w:rsid w:val="00F417C3"/>
    <w:rsid w:val="00F60F9F"/>
    <w:rsid w:val="00F64F08"/>
    <w:rsid w:val="00F734F5"/>
    <w:rsid w:val="00F77B7F"/>
    <w:rsid w:val="00F77DD4"/>
    <w:rsid w:val="00F83C0A"/>
    <w:rsid w:val="00F966B1"/>
    <w:rsid w:val="00F97D48"/>
    <w:rsid w:val="00FA0311"/>
    <w:rsid w:val="00FC42E5"/>
    <w:rsid w:val="00FD5A48"/>
    <w:rsid w:val="00FD640F"/>
    <w:rsid w:val="00FD6B4C"/>
    <w:rsid w:val="00FD6BE9"/>
    <w:rsid w:val="00FE2247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8EE7A"/>
  <w15:docId w15:val="{364F451D-8031-48F2-B4E0-5A2F02A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before="160" w:after="1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4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DD1"/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4B3961"/>
    <w:pPr>
      <w:keepNext/>
      <w:keepLines/>
      <w:spacing w:before="280" w:after="18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8E5D8F"/>
    <w:rPr>
      <w:color w:val="009CDE" w:themeColor="accent5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4B3961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styleId="ListBullet">
    <w:name w:val="List Bullet"/>
    <w:basedOn w:val="Normal"/>
    <w:uiPriority w:val="99"/>
    <w:semiHidden/>
    <w:rsid w:val="00BC7F56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4C65-2A12-4C0C-8936-427049D1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488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Marsal</dc:creator>
  <cp:lastModifiedBy>David F Perry (DTF)</cp:lastModifiedBy>
  <cp:revision>35</cp:revision>
  <cp:lastPrinted>2019-02-20T06:09:00Z</cp:lastPrinted>
  <dcterms:created xsi:type="dcterms:W3CDTF">2019-02-19T05:50:00Z</dcterms:created>
  <dcterms:modified xsi:type="dcterms:W3CDTF">2019-02-21T05:53:00Z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  <property fmtid="{D5CDD505-2E9C-101B-9397-08002B2CF9AE}" pid="4" name="Classification">
    <vt:lpwstr>Do Not Mark</vt:lpwstr>
  </property>
</Properties>
</file>