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587" w:rsidRPr="00E53587" w:rsidRDefault="00E53587" w:rsidP="00E53587">
      <w:pPr>
        <w:keepNext/>
        <w:keepLines/>
        <w:numPr>
          <w:ilvl w:val="2"/>
          <w:numId w:val="0"/>
        </w:numPr>
        <w:tabs>
          <w:tab w:val="left" w:pos="850"/>
          <w:tab w:val="right" w:pos="7710"/>
          <w:tab w:val="right" w:pos="12474"/>
        </w:tabs>
        <w:spacing w:before="180" w:after="60" w:line="240" w:lineRule="auto"/>
        <w:ind w:left="851" w:hanging="851"/>
        <w:outlineLvl w:val="2"/>
        <w:rPr>
          <w:rFonts w:ascii="Calibri" w:eastAsia="SimHei" w:hAnsi="Calibri" w:cs="Times New Roman"/>
          <w:b/>
          <w:bCs/>
          <w:spacing w:val="-2"/>
          <w:szCs w:val="26"/>
        </w:rPr>
      </w:pPr>
      <w:bookmarkStart w:id="0" w:name="_Toc8728802"/>
      <w:bookmarkStart w:id="1" w:name="_GoBack"/>
      <w:bookmarkEnd w:id="1"/>
      <w:r w:rsidRPr="00E53587">
        <w:rPr>
          <w:rFonts w:ascii="Calibri" w:eastAsia="SimHei" w:hAnsi="Calibri" w:cs="Times New Roman"/>
          <w:b/>
          <w:bCs/>
          <w:spacing w:val="-2"/>
          <w:szCs w:val="26"/>
        </w:rPr>
        <w:t>Controlled entities</w:t>
      </w:r>
      <w:bookmarkEnd w:id="0"/>
    </w:p>
    <w:p w:rsidR="00CB45C6" w:rsidRPr="00CB45C6" w:rsidRDefault="00CB45C6" w:rsidP="00CB45C6">
      <w:pPr>
        <w:keepLines/>
        <w:spacing w:before="120" w:after="0" w:line="240" w:lineRule="auto"/>
        <w:rPr>
          <w:rFonts w:ascii="Garamond" w:eastAsia="Garamond" w:hAnsi="Garamond" w:cs="Times New Roman"/>
        </w:rPr>
      </w:pPr>
      <w:r w:rsidRPr="00CB45C6">
        <w:rPr>
          <w:rFonts w:ascii="Garamond" w:eastAsia="Garamond" w:hAnsi="Garamond" w:cs="Times New Roman"/>
        </w:rPr>
        <w:t xml:space="preserve">Note 9.8 Controlled entities in Chapter 4 </w:t>
      </w:r>
      <w:r w:rsidRPr="00CB45C6">
        <w:rPr>
          <w:rFonts w:ascii="Garamond" w:eastAsia="Garamond" w:hAnsi="Garamond" w:cs="Times New Roman"/>
          <w:i/>
        </w:rPr>
        <w:t>Annual Financial Report</w:t>
      </w:r>
      <w:r w:rsidRPr="00CB45C6">
        <w:rPr>
          <w:rFonts w:ascii="Garamond" w:eastAsia="Garamond" w:hAnsi="Garamond" w:cs="Times New Roman"/>
        </w:rPr>
        <w:t xml:space="preserve"> of the </w:t>
      </w:r>
      <w:r w:rsidRPr="00CB45C6">
        <w:rPr>
          <w:rFonts w:ascii="Garamond" w:eastAsia="Garamond" w:hAnsi="Garamond" w:cs="Times New Roman"/>
          <w:i/>
        </w:rPr>
        <w:t>2017</w:t>
      </w:r>
      <w:r w:rsidRPr="00CB45C6">
        <w:rPr>
          <w:rFonts w:ascii="Garamond" w:eastAsia="Garamond" w:hAnsi="Garamond" w:cs="Times New Roman"/>
          <w:i/>
        </w:rPr>
        <w:noBreakHyphen/>
        <w:t>18 Financial Report</w:t>
      </w:r>
      <w:r w:rsidRPr="00CB45C6">
        <w:rPr>
          <w:rFonts w:ascii="Garamond" w:eastAsia="Garamond" w:hAnsi="Garamond" w:cs="Times New Roman"/>
        </w:rPr>
        <w:t xml:space="preserve"> for the State of Victoria lists significant controlled entities, which were consolidated in that financial report. </w:t>
      </w:r>
    </w:p>
    <w:p w:rsidR="00086234" w:rsidRDefault="00086234" w:rsidP="00086234">
      <w:pPr>
        <w:spacing w:after="120"/>
      </w:pPr>
      <w:r>
        <w:t>The following are changes in general government sector entities since 1 July 2018, which have also been incorporated in this financial report:</w:t>
      </w:r>
    </w:p>
    <w:tbl>
      <w:tblPr>
        <w:tblStyle w:val="DTFTable"/>
        <w:tblW w:w="0" w:type="auto"/>
        <w:tblLayout w:type="fixed"/>
        <w:tblCellMar>
          <w:left w:w="113" w:type="dxa"/>
          <w:right w:w="198" w:type="dxa"/>
        </w:tblCellMar>
        <w:tblLook w:val="0680" w:firstRow="0" w:lastRow="0" w:firstColumn="1" w:lastColumn="0" w:noHBand="1" w:noVBand="1"/>
      </w:tblPr>
      <w:tblGrid>
        <w:gridCol w:w="3963"/>
        <w:gridCol w:w="3964"/>
      </w:tblGrid>
      <w:tr w:rsidR="00086234" w:rsidRPr="00541A41" w:rsidTr="0082455F">
        <w:trPr>
          <w:trHeight w:val="17"/>
        </w:trPr>
        <w:tc>
          <w:tcPr>
            <w:cnfStyle w:val="001000000000" w:firstRow="0" w:lastRow="0" w:firstColumn="1" w:lastColumn="0" w:oddVBand="0" w:evenVBand="0" w:oddHBand="0" w:evenHBand="0" w:firstRowFirstColumn="0" w:firstRowLastColumn="0" w:lastRowFirstColumn="0" w:lastRowLastColumn="0"/>
            <w:tcW w:w="7927" w:type="dxa"/>
            <w:gridSpan w:val="2"/>
          </w:tcPr>
          <w:p w:rsidR="00086234" w:rsidRPr="00541A41" w:rsidRDefault="00086234" w:rsidP="0082455F">
            <w:pPr>
              <w:pStyle w:val="ControlledEntitiesSector"/>
              <w:spacing w:after="0"/>
              <w:rPr>
                <w:b w:val="0"/>
              </w:rPr>
            </w:pPr>
            <w:r w:rsidRPr="00541A41">
              <w:rPr>
                <w:b w:val="0"/>
              </w:rPr>
              <w:t xml:space="preserve">General government </w:t>
            </w:r>
            <w:r w:rsidRPr="00541A41">
              <w:rPr>
                <w:b w:val="0"/>
                <w:vertAlign w:val="superscript"/>
              </w:rPr>
              <w:t>(a)</w:t>
            </w:r>
          </w:p>
        </w:tc>
      </w:tr>
      <w:tr w:rsidR="00086234" w:rsidRPr="0029647E" w:rsidTr="0082455F">
        <w:trPr>
          <w:trHeight w:val="252"/>
        </w:trPr>
        <w:tc>
          <w:tcPr>
            <w:cnfStyle w:val="001000000000" w:firstRow="0" w:lastRow="0" w:firstColumn="1" w:lastColumn="0" w:oddVBand="0" w:evenVBand="0" w:oddHBand="0" w:evenHBand="0" w:firstRowFirstColumn="0" w:firstRowLastColumn="0" w:lastRowFirstColumn="0" w:lastRowLastColumn="0"/>
            <w:tcW w:w="7927" w:type="dxa"/>
            <w:gridSpan w:val="2"/>
          </w:tcPr>
          <w:p w:rsidR="00086234" w:rsidRPr="00462CB8" w:rsidRDefault="00086234" w:rsidP="0082455F">
            <w:pPr>
              <w:pStyle w:val="ControlledEntitiesDepartment"/>
              <w:spacing w:before="20"/>
            </w:pPr>
            <w:r>
              <w:t>Department of Environment, Land, Water and Planning</w:t>
            </w:r>
          </w:p>
        </w:tc>
      </w:tr>
      <w:tr w:rsidR="00086234" w:rsidRPr="0029647E" w:rsidTr="0082455F">
        <w:trPr>
          <w:trHeight w:val="252"/>
        </w:trPr>
        <w:tc>
          <w:tcPr>
            <w:cnfStyle w:val="001000000000" w:firstRow="0" w:lastRow="0" w:firstColumn="1" w:lastColumn="0" w:oddVBand="0" w:evenVBand="0" w:oddHBand="0" w:evenHBand="0" w:firstRowFirstColumn="0" w:firstRowLastColumn="0" w:lastRowFirstColumn="0" w:lastRowLastColumn="0"/>
            <w:tcW w:w="7927" w:type="dxa"/>
            <w:gridSpan w:val="2"/>
          </w:tcPr>
          <w:p w:rsidR="00086234" w:rsidRDefault="00086234" w:rsidP="0082455F">
            <w:r>
              <w:t xml:space="preserve">Caulfield Racecourse Reserve Trust </w:t>
            </w:r>
            <w:r>
              <w:rPr>
                <w:vertAlign w:val="superscript"/>
              </w:rPr>
              <w:t>(b</w:t>
            </w:r>
            <w:r w:rsidRPr="00C03B5D">
              <w:rPr>
                <w:vertAlign w:val="superscript"/>
              </w:rPr>
              <w:t>)</w:t>
            </w:r>
          </w:p>
        </w:tc>
      </w:tr>
      <w:tr w:rsidR="00086234" w:rsidRPr="0029647E" w:rsidTr="0082455F">
        <w:trPr>
          <w:trHeight w:val="252"/>
        </w:trPr>
        <w:tc>
          <w:tcPr>
            <w:cnfStyle w:val="001000000000" w:firstRow="0" w:lastRow="0" w:firstColumn="1" w:lastColumn="0" w:oddVBand="0" w:evenVBand="0" w:oddHBand="0" w:evenHBand="0" w:firstRowFirstColumn="0" w:firstRowLastColumn="0" w:lastRowFirstColumn="0" w:lastRowLastColumn="0"/>
            <w:tcW w:w="7927" w:type="dxa"/>
            <w:gridSpan w:val="2"/>
          </w:tcPr>
          <w:p w:rsidR="00086234" w:rsidRPr="00672007" w:rsidRDefault="00086234" w:rsidP="0082455F">
            <w:pPr>
              <w:pStyle w:val="ControlledEntitiesDepartment"/>
              <w:spacing w:before="20"/>
            </w:pPr>
            <w:r w:rsidRPr="00462CB8">
              <w:t>Department of Health and Human Services</w:t>
            </w:r>
          </w:p>
        </w:tc>
      </w:tr>
      <w:tr w:rsidR="00086234" w:rsidRPr="0029647E" w:rsidTr="0082455F">
        <w:trPr>
          <w:trHeight w:val="113"/>
        </w:trPr>
        <w:tc>
          <w:tcPr>
            <w:cnfStyle w:val="001000000000" w:firstRow="0" w:lastRow="0" w:firstColumn="1" w:lastColumn="0" w:oddVBand="0" w:evenVBand="0" w:oddHBand="0" w:evenHBand="0" w:firstRowFirstColumn="0" w:firstRowLastColumn="0" w:lastRowFirstColumn="0" w:lastRowLastColumn="0"/>
            <w:tcW w:w="7927" w:type="dxa"/>
            <w:gridSpan w:val="2"/>
          </w:tcPr>
          <w:p w:rsidR="00086234" w:rsidRPr="00672007" w:rsidRDefault="00086234" w:rsidP="0082455F">
            <w:pPr>
              <w:spacing w:after="0"/>
            </w:pPr>
            <w:r>
              <w:t xml:space="preserve">Family Violence Prevention Agency </w:t>
            </w:r>
            <w:r>
              <w:rPr>
                <w:vertAlign w:val="superscript"/>
              </w:rPr>
              <w:t>(c</w:t>
            </w:r>
            <w:r w:rsidRPr="00C03B5D">
              <w:rPr>
                <w:vertAlign w:val="superscript"/>
              </w:rPr>
              <w:t>)</w:t>
            </w:r>
          </w:p>
        </w:tc>
      </w:tr>
      <w:tr w:rsidR="00086234" w:rsidRPr="0029647E" w:rsidTr="0082455F">
        <w:trPr>
          <w:trHeight w:val="252"/>
        </w:trPr>
        <w:tc>
          <w:tcPr>
            <w:cnfStyle w:val="001000000000" w:firstRow="0" w:lastRow="0" w:firstColumn="1" w:lastColumn="0" w:oddVBand="0" w:evenVBand="0" w:oddHBand="0" w:evenHBand="0" w:firstRowFirstColumn="0" w:firstRowLastColumn="0" w:lastRowFirstColumn="0" w:lastRowLastColumn="0"/>
            <w:tcW w:w="7927" w:type="dxa"/>
            <w:gridSpan w:val="2"/>
          </w:tcPr>
          <w:p w:rsidR="00086234" w:rsidRPr="00672007" w:rsidRDefault="00086234" w:rsidP="0082455F">
            <w:pPr>
              <w:pStyle w:val="ControlledEntitiesDepartment"/>
              <w:spacing w:before="20"/>
            </w:pPr>
            <w:r w:rsidRPr="00462CB8">
              <w:t>Department of Jobs, Precincts and Regions</w:t>
            </w:r>
          </w:p>
        </w:tc>
      </w:tr>
      <w:tr w:rsidR="00086234" w:rsidRPr="0029647E" w:rsidTr="0082455F">
        <w:trPr>
          <w:trHeight w:val="523"/>
        </w:trPr>
        <w:tc>
          <w:tcPr>
            <w:cnfStyle w:val="001000000000" w:firstRow="0" w:lastRow="0" w:firstColumn="1" w:lastColumn="0" w:oddVBand="0" w:evenVBand="0" w:oddHBand="0" w:evenHBand="0" w:firstRowFirstColumn="0" w:firstRowLastColumn="0" w:lastRowFirstColumn="0" w:lastRowLastColumn="0"/>
            <w:tcW w:w="3963" w:type="dxa"/>
          </w:tcPr>
          <w:p w:rsidR="00086234" w:rsidRDefault="00086234" w:rsidP="0082455F">
            <w:pPr>
              <w:spacing w:after="0"/>
              <w:rPr>
                <w:lang w:eastAsia="en-AU"/>
              </w:rPr>
            </w:pPr>
            <w:r>
              <w:rPr>
                <w:lang w:eastAsia="en-AU"/>
              </w:rPr>
              <w:t>Australian Centre for the Moving Image</w:t>
            </w:r>
          </w:p>
          <w:p w:rsidR="00086234" w:rsidRDefault="00086234" w:rsidP="0082455F">
            <w:pPr>
              <w:spacing w:after="0"/>
            </w:pPr>
            <w:r>
              <w:t>Dockland Studios Melbourne Pty Ltd</w:t>
            </w:r>
          </w:p>
          <w:p w:rsidR="00086234" w:rsidRPr="00626806" w:rsidRDefault="00086234" w:rsidP="0082455F">
            <w:pPr>
              <w:spacing w:after="0"/>
              <w:rPr>
                <w:lang w:eastAsia="en-AU"/>
              </w:rPr>
            </w:pPr>
            <w:r>
              <w:rPr>
                <w:lang w:eastAsia="en-AU"/>
              </w:rPr>
              <w:t>Film Victoria</w:t>
            </w:r>
          </w:p>
          <w:p w:rsidR="00086234" w:rsidRDefault="00086234" w:rsidP="0082455F">
            <w:pPr>
              <w:spacing w:after="0"/>
              <w:rPr>
                <w:lang w:eastAsia="en-AU"/>
              </w:rPr>
            </w:pPr>
            <w:r>
              <w:rPr>
                <w:lang w:eastAsia="en-AU"/>
              </w:rPr>
              <w:t xml:space="preserve">Game Management Authority </w:t>
            </w:r>
          </w:p>
          <w:p w:rsidR="00086234" w:rsidRDefault="00086234" w:rsidP="0082455F">
            <w:pPr>
              <w:spacing w:after="0"/>
              <w:rPr>
                <w:lang w:eastAsia="en-AU"/>
              </w:rPr>
            </w:pPr>
            <w:r>
              <w:rPr>
                <w:lang w:eastAsia="en-AU"/>
              </w:rPr>
              <w:t>Library Board of Victoria</w:t>
            </w:r>
          </w:p>
          <w:p w:rsidR="00086234" w:rsidRDefault="00086234" w:rsidP="0082455F">
            <w:pPr>
              <w:spacing w:after="0"/>
              <w:rPr>
                <w:lang w:eastAsia="en-AU"/>
              </w:rPr>
            </w:pPr>
            <w:r>
              <w:rPr>
                <w:lang w:eastAsia="en-AU"/>
              </w:rPr>
              <w:t xml:space="preserve">Melbourne Cricket Ground Trust </w:t>
            </w:r>
          </w:p>
          <w:p w:rsidR="00086234" w:rsidRDefault="00086234" w:rsidP="0082455F">
            <w:pPr>
              <w:spacing w:after="0"/>
              <w:rPr>
                <w:lang w:eastAsia="en-AU"/>
              </w:rPr>
            </w:pPr>
            <w:r>
              <w:rPr>
                <w:lang w:eastAsia="en-AU"/>
              </w:rPr>
              <w:t>Melbourne Recital Centre</w:t>
            </w:r>
          </w:p>
          <w:p w:rsidR="00086234" w:rsidRPr="00672007" w:rsidRDefault="00086234" w:rsidP="0082455F">
            <w:pPr>
              <w:spacing w:after="0"/>
            </w:pPr>
            <w:r>
              <w:rPr>
                <w:lang w:eastAsia="en-AU"/>
              </w:rPr>
              <w:t>Museums Board of Victoria</w:t>
            </w:r>
          </w:p>
        </w:tc>
        <w:tc>
          <w:tcPr>
            <w:tcW w:w="3964" w:type="dxa"/>
          </w:tcPr>
          <w:p w:rsidR="00086234" w:rsidRDefault="00086234" w:rsidP="0082455F">
            <w:pPr>
              <w:spacing w:after="0"/>
              <w:ind w:left="170" w:hanging="170"/>
              <w:jc w:val="left"/>
              <w:cnfStyle w:val="000000000000" w:firstRow="0" w:lastRow="0" w:firstColumn="0" w:lastColumn="0" w:oddVBand="0" w:evenVBand="0" w:oddHBand="0" w:evenHBand="0" w:firstRowFirstColumn="0" w:firstRowLastColumn="0" w:lastRowFirstColumn="0" w:lastRowLastColumn="0"/>
              <w:rPr>
                <w:lang w:eastAsia="en-AU"/>
              </w:rPr>
            </w:pPr>
            <w:r w:rsidRPr="003C5998">
              <w:rPr>
                <w:lang w:eastAsia="en-AU"/>
              </w:rPr>
              <w:t>National Gallery of Victoria, Council of Trustees</w:t>
            </w:r>
          </w:p>
          <w:p w:rsidR="00086234" w:rsidRDefault="00086234" w:rsidP="0082455F">
            <w:pPr>
              <w:spacing w:after="0"/>
              <w:ind w:left="170" w:hanging="170"/>
              <w:jc w:val="left"/>
              <w:cnfStyle w:val="000000000000" w:firstRow="0" w:lastRow="0" w:firstColumn="0" w:lastColumn="0" w:oddVBand="0" w:evenVBand="0" w:oddHBand="0" w:evenHBand="0" w:firstRowFirstColumn="0" w:firstRowLastColumn="0" w:lastRowFirstColumn="0" w:lastRowLastColumn="0"/>
              <w:rPr>
                <w:lang w:eastAsia="en-AU"/>
              </w:rPr>
            </w:pPr>
            <w:r>
              <w:rPr>
                <w:lang w:eastAsia="en-AU"/>
              </w:rPr>
              <w:t>Rural Assistance Commissioner</w:t>
            </w:r>
          </w:p>
          <w:p w:rsidR="00086234" w:rsidRDefault="00086234" w:rsidP="0082455F">
            <w:pPr>
              <w:spacing w:after="0"/>
              <w:ind w:left="170" w:hanging="170"/>
              <w:jc w:val="left"/>
              <w:cnfStyle w:val="000000000000" w:firstRow="0" w:lastRow="0" w:firstColumn="0" w:lastColumn="0" w:oddVBand="0" w:evenVBand="0" w:oddHBand="0" w:evenHBand="0" w:firstRowFirstColumn="0" w:firstRowLastColumn="0" w:lastRowFirstColumn="0" w:lastRowLastColumn="0"/>
            </w:pPr>
            <w:r>
              <w:rPr>
                <w:lang w:eastAsia="en-AU"/>
              </w:rPr>
              <w:t>Veterinary Practitioners Registration Board of</w:t>
            </w:r>
            <w:r>
              <w:rPr>
                <w:lang w:eastAsia="en-AU"/>
              </w:rPr>
              <w:br/>
            </w:r>
            <w:r w:rsidRPr="00626806">
              <w:t>Victoria</w:t>
            </w:r>
          </w:p>
          <w:p w:rsidR="00086234" w:rsidRDefault="00086234" w:rsidP="0082455F">
            <w:pPr>
              <w:spacing w:after="0"/>
              <w:ind w:left="170" w:hanging="170"/>
              <w:jc w:val="left"/>
              <w:cnfStyle w:val="000000000000" w:firstRow="0" w:lastRow="0" w:firstColumn="0" w:lastColumn="0" w:oddVBand="0" w:evenVBand="0" w:oddHBand="0" w:evenHBand="0" w:firstRowFirstColumn="0" w:firstRowLastColumn="0" w:lastRowFirstColumn="0" w:lastRowLastColumn="0"/>
              <w:rPr>
                <w:lang w:eastAsia="en-AU"/>
              </w:rPr>
            </w:pPr>
            <w:r>
              <w:rPr>
                <w:lang w:eastAsia="en-AU"/>
              </w:rPr>
              <w:t>Victorian Institute of Sport Limited</w:t>
            </w:r>
            <w:r w:rsidRPr="00626806">
              <w:t xml:space="preserve"> </w:t>
            </w:r>
          </w:p>
          <w:p w:rsidR="00086234" w:rsidRDefault="00086234" w:rsidP="0082455F">
            <w:pPr>
              <w:spacing w:after="0"/>
              <w:ind w:left="170" w:hanging="170"/>
              <w:jc w:val="left"/>
              <w:cnfStyle w:val="000000000000" w:firstRow="0" w:lastRow="0" w:firstColumn="0" w:lastColumn="0" w:oddVBand="0" w:evenVBand="0" w:oddHBand="0" w:evenHBand="0" w:firstRowFirstColumn="0" w:firstRowLastColumn="0" w:lastRowFirstColumn="0" w:lastRowLastColumn="0"/>
              <w:rPr>
                <w:lang w:eastAsia="en-AU"/>
              </w:rPr>
            </w:pPr>
            <w:r>
              <w:rPr>
                <w:lang w:eastAsia="en-AU"/>
              </w:rPr>
              <w:t>Victorian Institute of Sport Trust</w:t>
            </w:r>
          </w:p>
          <w:p w:rsidR="00086234" w:rsidRPr="00672007" w:rsidRDefault="00086234" w:rsidP="0082455F">
            <w:pPr>
              <w:spacing w:after="0"/>
              <w:ind w:left="170" w:hanging="170"/>
              <w:jc w:val="left"/>
              <w:cnfStyle w:val="000000000000" w:firstRow="0" w:lastRow="0" w:firstColumn="0" w:lastColumn="0" w:oddVBand="0" w:evenVBand="0" w:oddHBand="0" w:evenHBand="0" w:firstRowFirstColumn="0" w:firstRowLastColumn="0" w:lastRowFirstColumn="0" w:lastRowLastColumn="0"/>
            </w:pPr>
            <w:r>
              <w:rPr>
                <w:lang w:eastAsia="en-AU"/>
              </w:rPr>
              <w:t>Visit Victoria</w:t>
            </w:r>
          </w:p>
        </w:tc>
      </w:tr>
      <w:tr w:rsidR="00086234" w:rsidRPr="0029647E" w:rsidTr="0082455F">
        <w:trPr>
          <w:trHeight w:val="73"/>
        </w:trPr>
        <w:tc>
          <w:tcPr>
            <w:cnfStyle w:val="001000000000" w:firstRow="0" w:lastRow="0" w:firstColumn="1" w:lastColumn="0" w:oddVBand="0" w:evenVBand="0" w:oddHBand="0" w:evenHBand="0" w:firstRowFirstColumn="0" w:firstRowLastColumn="0" w:lastRowFirstColumn="0" w:lastRowLastColumn="0"/>
            <w:tcW w:w="7927" w:type="dxa"/>
            <w:gridSpan w:val="2"/>
          </w:tcPr>
          <w:p w:rsidR="00086234" w:rsidRPr="0070623C" w:rsidRDefault="00086234" w:rsidP="0082455F">
            <w:pPr>
              <w:pStyle w:val="ControlledEntitiesDepartment"/>
              <w:spacing w:before="20"/>
              <w:rPr>
                <w:highlight w:val="yellow"/>
              </w:rPr>
            </w:pPr>
            <w:r>
              <w:t xml:space="preserve">Department of </w:t>
            </w:r>
            <w:r w:rsidRPr="00462CB8">
              <w:t>Premier and Cabinet</w:t>
            </w:r>
          </w:p>
        </w:tc>
      </w:tr>
      <w:tr w:rsidR="00086234" w:rsidRPr="0029647E" w:rsidTr="0082455F">
        <w:trPr>
          <w:trHeight w:val="152"/>
        </w:trPr>
        <w:tc>
          <w:tcPr>
            <w:cnfStyle w:val="001000000000" w:firstRow="0" w:lastRow="0" w:firstColumn="1" w:lastColumn="0" w:oddVBand="0" w:evenVBand="0" w:oddHBand="0" w:evenHBand="0" w:firstRowFirstColumn="0" w:firstRowLastColumn="0" w:lastRowFirstColumn="0" w:lastRowLastColumn="0"/>
            <w:tcW w:w="3963" w:type="dxa"/>
          </w:tcPr>
          <w:p w:rsidR="00086234" w:rsidRPr="003C5998" w:rsidRDefault="00086234" w:rsidP="0082455F">
            <w:pPr>
              <w:spacing w:after="0"/>
              <w:rPr>
                <w:vertAlign w:val="superscript"/>
              </w:rPr>
            </w:pPr>
            <w:r>
              <w:t xml:space="preserve">Labour Hire Licensing Authority </w:t>
            </w:r>
            <w:r>
              <w:rPr>
                <w:vertAlign w:val="superscript"/>
              </w:rPr>
              <w:t>(d)</w:t>
            </w:r>
          </w:p>
        </w:tc>
        <w:tc>
          <w:tcPr>
            <w:tcW w:w="3964" w:type="dxa"/>
          </w:tcPr>
          <w:p w:rsidR="00086234" w:rsidRPr="00672007" w:rsidRDefault="00086234" w:rsidP="0082455F">
            <w:pPr>
              <w:spacing w:after="0"/>
              <w:jc w:val="left"/>
              <w:cnfStyle w:val="000000000000" w:firstRow="0" w:lastRow="0" w:firstColumn="0" w:lastColumn="0" w:oddVBand="0" w:evenVBand="0" w:oddHBand="0" w:evenHBand="0" w:firstRowFirstColumn="0" w:firstRowLastColumn="0" w:lastRowFirstColumn="0" w:lastRowLastColumn="0"/>
            </w:pPr>
          </w:p>
        </w:tc>
      </w:tr>
      <w:tr w:rsidR="00086234" w:rsidRPr="0029647E" w:rsidTr="0082455F">
        <w:tc>
          <w:tcPr>
            <w:cnfStyle w:val="001000000000" w:firstRow="0" w:lastRow="0" w:firstColumn="1" w:lastColumn="0" w:oddVBand="0" w:evenVBand="0" w:oddHBand="0" w:evenHBand="0" w:firstRowFirstColumn="0" w:firstRowLastColumn="0" w:lastRowFirstColumn="0" w:lastRowLastColumn="0"/>
            <w:tcW w:w="7927" w:type="dxa"/>
            <w:gridSpan w:val="2"/>
          </w:tcPr>
          <w:p w:rsidR="00086234" w:rsidRPr="0006303A" w:rsidRDefault="00086234" w:rsidP="0082455F">
            <w:pPr>
              <w:pStyle w:val="ControlledEntitiesDepartment"/>
              <w:spacing w:before="20"/>
            </w:pPr>
            <w:r w:rsidRPr="0006303A">
              <w:t xml:space="preserve">Department of </w:t>
            </w:r>
            <w:r>
              <w:t xml:space="preserve">Transport </w:t>
            </w:r>
            <w:r w:rsidRPr="008B5EE4">
              <w:rPr>
                <w:vertAlign w:val="superscript"/>
              </w:rPr>
              <w:t>(</w:t>
            </w:r>
            <w:r>
              <w:rPr>
                <w:vertAlign w:val="superscript"/>
              </w:rPr>
              <w:t>e</w:t>
            </w:r>
            <w:r w:rsidRPr="008B5EE4">
              <w:rPr>
                <w:vertAlign w:val="superscript"/>
              </w:rPr>
              <w:t>)</w:t>
            </w:r>
          </w:p>
        </w:tc>
      </w:tr>
      <w:tr w:rsidR="00086234" w:rsidRPr="0029647E" w:rsidTr="0082455F">
        <w:tc>
          <w:tcPr>
            <w:cnfStyle w:val="001000000000" w:firstRow="0" w:lastRow="0" w:firstColumn="1" w:lastColumn="0" w:oddVBand="0" w:evenVBand="0" w:oddHBand="0" w:evenHBand="0" w:firstRowFirstColumn="0" w:firstRowLastColumn="0" w:lastRowFirstColumn="0" w:lastRowLastColumn="0"/>
            <w:tcW w:w="3963" w:type="dxa"/>
          </w:tcPr>
          <w:p w:rsidR="00086234" w:rsidRDefault="00086234" w:rsidP="0082455F">
            <w:pPr>
              <w:spacing w:after="0"/>
              <w:rPr>
                <w:vertAlign w:val="superscript"/>
              </w:rPr>
            </w:pPr>
            <w:r w:rsidRPr="0070623C">
              <w:t xml:space="preserve">Commercial Passenger Vehicles Victoria </w:t>
            </w:r>
            <w:r w:rsidRPr="0070623C">
              <w:rPr>
                <w:vertAlign w:val="superscript"/>
              </w:rPr>
              <w:t>(</w:t>
            </w:r>
            <w:r>
              <w:rPr>
                <w:vertAlign w:val="superscript"/>
              </w:rPr>
              <w:t>f</w:t>
            </w:r>
            <w:r w:rsidRPr="0070623C">
              <w:rPr>
                <w:vertAlign w:val="superscript"/>
              </w:rPr>
              <w:t>)</w:t>
            </w:r>
          </w:p>
          <w:p w:rsidR="00086234" w:rsidRPr="00632148" w:rsidRDefault="00086234" w:rsidP="0082455F">
            <w:pPr>
              <w:spacing w:after="0"/>
              <w:rPr>
                <w:vertAlign w:val="superscript"/>
              </w:rPr>
            </w:pPr>
            <w:r>
              <w:t>Linking Melbourne Authority</w:t>
            </w:r>
          </w:p>
        </w:tc>
        <w:tc>
          <w:tcPr>
            <w:tcW w:w="3964" w:type="dxa"/>
          </w:tcPr>
          <w:p w:rsidR="00086234" w:rsidRPr="0006303A" w:rsidRDefault="00086234" w:rsidP="0082455F">
            <w:pPr>
              <w:spacing w:after="0"/>
              <w:jc w:val="left"/>
              <w:cnfStyle w:val="000000000000" w:firstRow="0" w:lastRow="0" w:firstColumn="0" w:lastColumn="0" w:oddVBand="0" w:evenVBand="0" w:oddHBand="0" w:evenHBand="0" w:firstRowFirstColumn="0" w:firstRowLastColumn="0" w:lastRowFirstColumn="0" w:lastRowLastColumn="0"/>
              <w:rPr>
                <w:highlight w:val="yellow"/>
                <w:lang w:eastAsia="en-AU"/>
              </w:rPr>
            </w:pPr>
            <w:r>
              <w:t>Victorian Fisheries Authority</w:t>
            </w:r>
          </w:p>
        </w:tc>
      </w:tr>
    </w:tbl>
    <w:p w:rsidR="00086234" w:rsidRDefault="00086234" w:rsidP="00086234"/>
    <w:p w:rsidR="00086234" w:rsidRDefault="00086234" w:rsidP="00086234"/>
    <w:p w:rsidR="00086234" w:rsidRDefault="00086234" w:rsidP="00086234">
      <w:r>
        <w:rPr>
          <w:b/>
          <w:i/>
        </w:rPr>
        <w:br w:type="page"/>
      </w:r>
    </w:p>
    <w:tbl>
      <w:tblPr>
        <w:tblStyle w:val="DTFTable"/>
        <w:tblW w:w="0" w:type="auto"/>
        <w:tblLayout w:type="fixed"/>
        <w:tblCellMar>
          <w:left w:w="113" w:type="dxa"/>
          <w:right w:w="198" w:type="dxa"/>
        </w:tblCellMar>
        <w:tblLook w:val="0680" w:firstRow="0" w:lastRow="0" w:firstColumn="1" w:lastColumn="0" w:noHBand="1" w:noVBand="1"/>
      </w:tblPr>
      <w:tblGrid>
        <w:gridCol w:w="3963"/>
        <w:gridCol w:w="3964"/>
      </w:tblGrid>
      <w:tr w:rsidR="00086234" w:rsidRPr="00541A41" w:rsidTr="0082455F">
        <w:trPr>
          <w:trHeight w:val="17"/>
        </w:trPr>
        <w:tc>
          <w:tcPr>
            <w:cnfStyle w:val="001000000000" w:firstRow="0" w:lastRow="0" w:firstColumn="1" w:lastColumn="0" w:oddVBand="0" w:evenVBand="0" w:oddHBand="0" w:evenHBand="0" w:firstRowFirstColumn="0" w:firstRowLastColumn="0" w:lastRowFirstColumn="0" w:lastRowLastColumn="0"/>
            <w:tcW w:w="7927" w:type="dxa"/>
            <w:gridSpan w:val="2"/>
          </w:tcPr>
          <w:p w:rsidR="00086234" w:rsidRPr="00541A41" w:rsidRDefault="00086234" w:rsidP="0082455F">
            <w:pPr>
              <w:pStyle w:val="ControlledEntitiesSector"/>
              <w:spacing w:after="0"/>
              <w:rPr>
                <w:b w:val="0"/>
              </w:rPr>
            </w:pPr>
            <w:r w:rsidRPr="00541A41">
              <w:rPr>
                <w:b w:val="0"/>
              </w:rPr>
              <w:lastRenderedPageBreak/>
              <w:t xml:space="preserve">Public non-financial corporations </w:t>
            </w:r>
            <w:r w:rsidRPr="00541A41">
              <w:rPr>
                <w:b w:val="0"/>
                <w:vertAlign w:val="superscript"/>
              </w:rPr>
              <w:t>(a)</w:t>
            </w:r>
          </w:p>
        </w:tc>
      </w:tr>
      <w:tr w:rsidR="00086234" w:rsidRPr="0029647E" w:rsidTr="0082455F">
        <w:tc>
          <w:tcPr>
            <w:cnfStyle w:val="001000000000" w:firstRow="0" w:lastRow="0" w:firstColumn="1" w:lastColumn="0" w:oddVBand="0" w:evenVBand="0" w:oddHBand="0" w:evenHBand="0" w:firstRowFirstColumn="0" w:firstRowLastColumn="0" w:lastRowFirstColumn="0" w:lastRowLastColumn="0"/>
            <w:tcW w:w="7927" w:type="dxa"/>
            <w:gridSpan w:val="2"/>
          </w:tcPr>
          <w:p w:rsidR="00086234" w:rsidRPr="00052524" w:rsidRDefault="00086234" w:rsidP="0082455F">
            <w:pPr>
              <w:pStyle w:val="ControlledEntitiesDepartment"/>
              <w:spacing w:before="20"/>
            </w:pPr>
            <w:r w:rsidRPr="00462CB8">
              <w:t>Department of Jobs, Precincts and Regions</w:t>
            </w:r>
          </w:p>
        </w:tc>
      </w:tr>
      <w:tr w:rsidR="00086234" w:rsidRPr="0029647E" w:rsidTr="0082455F">
        <w:tc>
          <w:tcPr>
            <w:cnfStyle w:val="001000000000" w:firstRow="0" w:lastRow="0" w:firstColumn="1" w:lastColumn="0" w:oddVBand="0" w:evenVBand="0" w:oddHBand="0" w:evenHBand="0" w:firstRowFirstColumn="0" w:firstRowLastColumn="0" w:lastRowFirstColumn="0" w:lastRowLastColumn="0"/>
            <w:tcW w:w="3963" w:type="dxa"/>
          </w:tcPr>
          <w:p w:rsidR="00086234" w:rsidRDefault="00086234" w:rsidP="0082455F">
            <w:pPr>
              <w:spacing w:after="0"/>
              <w:ind w:left="0" w:firstLine="0"/>
            </w:pPr>
            <w:r>
              <w:t>Agriculture Victoria Services Pty Ltd</w:t>
            </w:r>
          </w:p>
          <w:p w:rsidR="00086234" w:rsidRDefault="00086234" w:rsidP="0082455F">
            <w:pPr>
              <w:spacing w:after="0"/>
              <w:ind w:left="0" w:firstLine="0"/>
            </w:pPr>
            <w:r>
              <w:t>Australian Grand Prix Corporation</w:t>
            </w:r>
          </w:p>
          <w:p w:rsidR="00086234" w:rsidRDefault="00086234" w:rsidP="0082455F">
            <w:pPr>
              <w:spacing w:after="0"/>
              <w:ind w:left="0" w:firstLine="0"/>
            </w:pPr>
            <w:r>
              <w:t>Dairy Food Safety Victoria</w:t>
            </w:r>
          </w:p>
          <w:p w:rsidR="00086234" w:rsidRDefault="00086234" w:rsidP="0082455F">
            <w:pPr>
              <w:spacing w:after="0"/>
              <w:ind w:left="0" w:firstLine="0"/>
            </w:pPr>
            <w:r>
              <w:t>Development Victoria</w:t>
            </w:r>
          </w:p>
          <w:p w:rsidR="00086234" w:rsidRDefault="00086234" w:rsidP="0082455F">
            <w:pPr>
              <w:spacing w:after="0"/>
              <w:ind w:left="0" w:firstLine="0"/>
            </w:pPr>
            <w:r>
              <w:t>Emerald Tourist Railway Board</w:t>
            </w:r>
          </w:p>
          <w:p w:rsidR="00086234" w:rsidRDefault="00086234" w:rsidP="0082455F">
            <w:pPr>
              <w:spacing w:after="0"/>
              <w:ind w:left="0" w:firstLine="0"/>
            </w:pPr>
            <w:r>
              <w:t>Fed Square Pty Ltd</w:t>
            </w:r>
          </w:p>
          <w:p w:rsidR="00086234" w:rsidRDefault="00086234" w:rsidP="0082455F">
            <w:pPr>
              <w:spacing w:after="0"/>
              <w:ind w:left="0" w:firstLine="0"/>
            </w:pPr>
            <w:r>
              <w:t>Geelong Performing Arts Centre Trust</w:t>
            </w:r>
          </w:p>
          <w:p w:rsidR="00086234" w:rsidRDefault="00086234" w:rsidP="0082455F">
            <w:pPr>
              <w:spacing w:after="0"/>
            </w:pPr>
            <w:r>
              <w:t>Greater Sunraysia Pest Free Area Industry Development Committee</w:t>
            </w:r>
          </w:p>
          <w:p w:rsidR="00086234" w:rsidRDefault="00086234" w:rsidP="0082455F">
            <w:pPr>
              <w:spacing w:after="0"/>
              <w:ind w:left="0" w:firstLine="0"/>
            </w:pPr>
            <w:r>
              <w:t xml:space="preserve">Greyhound Racing Victoria </w:t>
            </w:r>
          </w:p>
          <w:p w:rsidR="00086234" w:rsidRDefault="00086234" w:rsidP="0082455F">
            <w:pPr>
              <w:spacing w:after="0"/>
              <w:ind w:left="0" w:firstLine="0"/>
            </w:pPr>
            <w:r>
              <w:t xml:space="preserve">Harness Racing Victoria </w:t>
            </w:r>
          </w:p>
          <w:p w:rsidR="00086234" w:rsidRPr="0029647E" w:rsidRDefault="00086234" w:rsidP="0082455F">
            <w:pPr>
              <w:spacing w:after="0"/>
              <w:ind w:left="0" w:firstLine="0"/>
            </w:pPr>
            <w:r>
              <w:t xml:space="preserve">Kardinia Park Stadium </w:t>
            </w:r>
            <w:r w:rsidRPr="00821057">
              <w:t>Trust</w:t>
            </w:r>
          </w:p>
        </w:tc>
        <w:tc>
          <w:tcPr>
            <w:tcW w:w="3964" w:type="dxa"/>
          </w:tcPr>
          <w:p w:rsidR="00086234" w:rsidRPr="00821057" w:rsidRDefault="00086234" w:rsidP="0082455F">
            <w:pPr>
              <w:spacing w:after="0"/>
              <w:jc w:val="left"/>
              <w:cnfStyle w:val="000000000000" w:firstRow="0" w:lastRow="0" w:firstColumn="0" w:lastColumn="0" w:oddVBand="0" w:evenVBand="0" w:oddHBand="0" w:evenHBand="0" w:firstRowFirstColumn="0" w:firstRowLastColumn="0" w:lastRowFirstColumn="0" w:lastRowLastColumn="0"/>
            </w:pPr>
            <w:r w:rsidRPr="00821057">
              <w:t xml:space="preserve">Launch Victoria </w:t>
            </w:r>
          </w:p>
          <w:p w:rsidR="00086234" w:rsidRPr="00555E00" w:rsidRDefault="00086234" w:rsidP="0082455F">
            <w:pPr>
              <w:spacing w:after="0"/>
              <w:jc w:val="left"/>
              <w:cnfStyle w:val="000000000000" w:firstRow="0" w:lastRow="0" w:firstColumn="0" w:lastColumn="0" w:oddVBand="0" w:evenVBand="0" w:oddHBand="0" w:evenHBand="0" w:firstRowFirstColumn="0" w:firstRowLastColumn="0" w:lastRowFirstColumn="0" w:lastRowLastColumn="0"/>
              <w:rPr>
                <w:strike/>
              </w:rPr>
            </w:pPr>
            <w:r>
              <w:t xml:space="preserve">Melbourne and Olympic Parks Trust </w:t>
            </w:r>
          </w:p>
          <w:p w:rsidR="00086234" w:rsidRDefault="00086234" w:rsidP="0082455F">
            <w:pPr>
              <w:spacing w:after="0"/>
              <w:jc w:val="left"/>
              <w:cnfStyle w:val="000000000000" w:firstRow="0" w:lastRow="0" w:firstColumn="0" w:lastColumn="0" w:oddVBand="0" w:evenVBand="0" w:oddHBand="0" w:evenHBand="0" w:firstRowFirstColumn="0" w:firstRowLastColumn="0" w:lastRowFirstColumn="0" w:lastRowLastColumn="0"/>
            </w:pPr>
            <w:r>
              <w:t xml:space="preserve">Melbourne Convention and Exhibition Trust </w:t>
            </w:r>
          </w:p>
          <w:p w:rsidR="00086234" w:rsidRDefault="00086234" w:rsidP="0082455F">
            <w:pPr>
              <w:spacing w:after="0"/>
              <w:jc w:val="left"/>
              <w:cnfStyle w:val="000000000000" w:firstRow="0" w:lastRow="0" w:firstColumn="0" w:lastColumn="0" w:oddVBand="0" w:evenVBand="0" w:oddHBand="0" w:evenHBand="0" w:firstRowFirstColumn="0" w:firstRowLastColumn="0" w:lastRowFirstColumn="0" w:lastRowLastColumn="0"/>
            </w:pPr>
            <w:r>
              <w:t>Melbourne Market Authority</w:t>
            </w:r>
          </w:p>
          <w:p w:rsidR="00086234" w:rsidRDefault="00086234" w:rsidP="0082455F">
            <w:pPr>
              <w:spacing w:after="0"/>
              <w:ind w:left="170" w:hanging="170"/>
              <w:jc w:val="left"/>
              <w:cnfStyle w:val="000000000000" w:firstRow="0" w:lastRow="0" w:firstColumn="0" w:lastColumn="0" w:oddVBand="0" w:evenVBand="0" w:oddHBand="0" w:evenHBand="0" w:firstRowFirstColumn="0" w:firstRowLastColumn="0" w:lastRowFirstColumn="0" w:lastRowLastColumn="0"/>
            </w:pPr>
            <w:r>
              <w:t xml:space="preserve">Murray Valley Wine Grape Industry Development Committee </w:t>
            </w:r>
          </w:p>
          <w:p w:rsidR="00086234" w:rsidRDefault="00086234" w:rsidP="0082455F">
            <w:pPr>
              <w:spacing w:after="0"/>
              <w:jc w:val="left"/>
              <w:cnfStyle w:val="000000000000" w:firstRow="0" w:lastRow="0" w:firstColumn="0" w:lastColumn="0" w:oddVBand="0" w:evenVBand="0" w:oddHBand="0" w:evenHBand="0" w:firstRowFirstColumn="0" w:firstRowLastColumn="0" w:lastRowFirstColumn="0" w:lastRowLastColumn="0"/>
            </w:pPr>
            <w:proofErr w:type="spellStart"/>
            <w:r>
              <w:t>Primesafe</w:t>
            </w:r>
            <w:proofErr w:type="spellEnd"/>
          </w:p>
          <w:p w:rsidR="00086234" w:rsidRDefault="00086234" w:rsidP="0082455F">
            <w:pPr>
              <w:spacing w:after="0"/>
              <w:jc w:val="left"/>
              <w:cnfStyle w:val="000000000000" w:firstRow="0" w:lastRow="0" w:firstColumn="0" w:lastColumn="0" w:oddVBand="0" w:evenVBand="0" w:oddHBand="0" w:evenHBand="0" w:firstRowFirstColumn="0" w:firstRowLastColumn="0" w:lastRowFirstColumn="0" w:lastRowLastColumn="0"/>
            </w:pPr>
            <w:r>
              <w:t>State Sport Centres Trust</w:t>
            </w:r>
          </w:p>
          <w:p w:rsidR="00086234" w:rsidRDefault="00086234" w:rsidP="0082455F">
            <w:pPr>
              <w:spacing w:after="0"/>
              <w:jc w:val="left"/>
              <w:cnfStyle w:val="000000000000" w:firstRow="0" w:lastRow="0" w:firstColumn="0" w:lastColumn="0" w:oddVBand="0" w:evenVBand="0" w:oddHBand="0" w:evenHBand="0" w:firstRowFirstColumn="0" w:firstRowLastColumn="0" w:lastRowFirstColumn="0" w:lastRowLastColumn="0"/>
            </w:pPr>
            <w:proofErr w:type="spellStart"/>
            <w:r>
              <w:t>VicForests</w:t>
            </w:r>
            <w:proofErr w:type="spellEnd"/>
          </w:p>
          <w:p w:rsidR="00086234" w:rsidRDefault="00086234" w:rsidP="0082455F">
            <w:pPr>
              <w:spacing w:after="0"/>
              <w:jc w:val="left"/>
              <w:cnfStyle w:val="000000000000" w:firstRow="0" w:lastRow="0" w:firstColumn="0" w:lastColumn="0" w:oddVBand="0" w:evenVBand="0" w:oddHBand="0" w:evenHBand="0" w:firstRowFirstColumn="0" w:firstRowLastColumn="0" w:lastRowFirstColumn="0" w:lastRowLastColumn="0"/>
            </w:pPr>
            <w:r>
              <w:t xml:space="preserve">Victorian Arts Centre Trust </w:t>
            </w:r>
          </w:p>
          <w:p w:rsidR="00086234" w:rsidRPr="0070623C" w:rsidRDefault="00086234" w:rsidP="0082455F">
            <w:pPr>
              <w:spacing w:after="0"/>
              <w:ind w:left="170" w:hanging="170"/>
              <w:jc w:val="left"/>
              <w:cnfStyle w:val="000000000000" w:firstRow="0" w:lastRow="0" w:firstColumn="0" w:lastColumn="0" w:oddVBand="0" w:evenVBand="0" w:oddHBand="0" w:evenHBand="0" w:firstRowFirstColumn="0" w:firstRowLastColumn="0" w:lastRowFirstColumn="0" w:lastRowLastColumn="0"/>
              <w:rPr>
                <w:highlight w:val="yellow"/>
              </w:rPr>
            </w:pPr>
            <w:r>
              <w:t>Victorian Strawberry Industry Development Committee</w:t>
            </w:r>
          </w:p>
        </w:tc>
      </w:tr>
      <w:tr w:rsidR="00086234" w:rsidRPr="0029647E" w:rsidTr="0082455F">
        <w:tc>
          <w:tcPr>
            <w:cnfStyle w:val="001000000000" w:firstRow="0" w:lastRow="0" w:firstColumn="1" w:lastColumn="0" w:oddVBand="0" w:evenVBand="0" w:oddHBand="0" w:evenHBand="0" w:firstRowFirstColumn="0" w:firstRowLastColumn="0" w:lastRowFirstColumn="0" w:lastRowLastColumn="0"/>
            <w:tcW w:w="7927" w:type="dxa"/>
            <w:gridSpan w:val="2"/>
          </w:tcPr>
          <w:p w:rsidR="00086234" w:rsidRPr="0006303A" w:rsidRDefault="00086234" w:rsidP="0082455F">
            <w:pPr>
              <w:pStyle w:val="ControlledEntitiesDepartment"/>
              <w:spacing w:before="20"/>
              <w:rPr>
                <w:highlight w:val="yellow"/>
              </w:rPr>
            </w:pPr>
            <w:r w:rsidRPr="00D803D4">
              <w:t>Department of Premier and Cabinet</w:t>
            </w:r>
          </w:p>
        </w:tc>
      </w:tr>
      <w:tr w:rsidR="00086234" w:rsidRPr="0029647E" w:rsidTr="0082455F">
        <w:tc>
          <w:tcPr>
            <w:cnfStyle w:val="001000000000" w:firstRow="0" w:lastRow="0" w:firstColumn="1" w:lastColumn="0" w:oddVBand="0" w:evenVBand="0" w:oddHBand="0" w:evenHBand="0" w:firstRowFirstColumn="0" w:firstRowLastColumn="0" w:lastRowFirstColumn="0" w:lastRowLastColumn="0"/>
            <w:tcW w:w="3963" w:type="dxa"/>
          </w:tcPr>
          <w:p w:rsidR="00086234" w:rsidRDefault="00086234" w:rsidP="0082455F">
            <w:pPr>
              <w:spacing w:after="0"/>
            </w:pPr>
            <w:r w:rsidRPr="00D803D4">
              <w:t>Queen Victoria Women’s Centre Trust</w:t>
            </w:r>
          </w:p>
        </w:tc>
        <w:tc>
          <w:tcPr>
            <w:tcW w:w="3964" w:type="dxa"/>
          </w:tcPr>
          <w:p w:rsidR="00086234" w:rsidRPr="0006303A" w:rsidRDefault="00086234" w:rsidP="0082455F">
            <w:pPr>
              <w:spacing w:after="0"/>
              <w:cnfStyle w:val="000000000000" w:firstRow="0" w:lastRow="0" w:firstColumn="0" w:lastColumn="0" w:oddVBand="0" w:evenVBand="0" w:oddHBand="0" w:evenHBand="0" w:firstRowFirstColumn="0" w:firstRowLastColumn="0" w:lastRowFirstColumn="0" w:lastRowLastColumn="0"/>
              <w:rPr>
                <w:highlight w:val="yellow"/>
                <w:lang w:eastAsia="en-AU"/>
              </w:rPr>
            </w:pPr>
          </w:p>
        </w:tc>
      </w:tr>
      <w:tr w:rsidR="00086234" w:rsidRPr="0029647E" w:rsidTr="0082455F">
        <w:tc>
          <w:tcPr>
            <w:cnfStyle w:val="001000000000" w:firstRow="0" w:lastRow="0" w:firstColumn="1" w:lastColumn="0" w:oddVBand="0" w:evenVBand="0" w:oddHBand="0" w:evenHBand="0" w:firstRowFirstColumn="0" w:firstRowLastColumn="0" w:lastRowFirstColumn="0" w:lastRowLastColumn="0"/>
            <w:tcW w:w="7927" w:type="dxa"/>
            <w:gridSpan w:val="2"/>
          </w:tcPr>
          <w:p w:rsidR="00086234" w:rsidRPr="0006303A" w:rsidRDefault="00086234" w:rsidP="0082455F">
            <w:pPr>
              <w:pStyle w:val="ControlledEntitiesDepartment"/>
              <w:spacing w:before="20"/>
              <w:rPr>
                <w:highlight w:val="yellow"/>
              </w:rPr>
            </w:pPr>
            <w:r w:rsidRPr="00D803D4">
              <w:t>Department of Transport</w:t>
            </w:r>
          </w:p>
        </w:tc>
      </w:tr>
      <w:tr w:rsidR="00086234" w:rsidRPr="0029647E" w:rsidTr="0082455F">
        <w:tc>
          <w:tcPr>
            <w:cnfStyle w:val="001000000000" w:firstRow="0" w:lastRow="0" w:firstColumn="1" w:lastColumn="0" w:oddVBand="0" w:evenVBand="0" w:oddHBand="0" w:evenHBand="0" w:firstRowFirstColumn="0" w:firstRowLastColumn="0" w:lastRowFirstColumn="0" w:lastRowLastColumn="0"/>
            <w:tcW w:w="3963" w:type="dxa"/>
          </w:tcPr>
          <w:p w:rsidR="00086234" w:rsidRDefault="00086234" w:rsidP="0082455F">
            <w:pPr>
              <w:spacing w:after="0"/>
            </w:pPr>
            <w:r>
              <w:t xml:space="preserve">Melbourne Port Lessor Pty Ltd </w:t>
            </w:r>
            <w:r w:rsidRPr="00626806">
              <w:t xml:space="preserve"> </w:t>
            </w:r>
          </w:p>
          <w:p w:rsidR="00086234" w:rsidRDefault="00086234" w:rsidP="0082455F">
            <w:pPr>
              <w:spacing w:after="0"/>
            </w:pPr>
            <w:r>
              <w:t>Port of Hastings Development Authority</w:t>
            </w:r>
          </w:p>
          <w:p w:rsidR="00086234" w:rsidRPr="00821057" w:rsidRDefault="00086234" w:rsidP="0082455F">
            <w:pPr>
              <w:spacing w:after="0"/>
            </w:pPr>
            <w:r>
              <w:t>Victorian Ports Corporation (Melbourne)</w:t>
            </w:r>
          </w:p>
        </w:tc>
        <w:tc>
          <w:tcPr>
            <w:tcW w:w="3964" w:type="dxa"/>
          </w:tcPr>
          <w:p w:rsidR="00086234" w:rsidRDefault="00086234" w:rsidP="0082455F">
            <w:pPr>
              <w:spacing w:after="0"/>
              <w:jc w:val="left"/>
              <w:cnfStyle w:val="000000000000" w:firstRow="0" w:lastRow="0" w:firstColumn="0" w:lastColumn="0" w:oddVBand="0" w:evenVBand="0" w:oddHBand="0" w:evenHBand="0" w:firstRowFirstColumn="0" w:firstRowLastColumn="0" w:lastRowFirstColumn="0" w:lastRowLastColumn="0"/>
            </w:pPr>
            <w:r w:rsidRPr="00626806">
              <w:t>Victorian Rail Track</w:t>
            </w:r>
          </w:p>
          <w:p w:rsidR="00086234" w:rsidRDefault="00086234" w:rsidP="0082455F">
            <w:pPr>
              <w:spacing w:after="0"/>
              <w:jc w:val="left"/>
              <w:cnfStyle w:val="000000000000" w:firstRow="0" w:lastRow="0" w:firstColumn="0" w:lastColumn="0" w:oddVBand="0" w:evenVBand="0" w:oddHBand="0" w:evenHBand="0" w:firstRowFirstColumn="0" w:firstRowLastColumn="0" w:lastRowFirstColumn="0" w:lastRowLastColumn="0"/>
            </w:pPr>
            <w:r>
              <w:t>Victorian Regional Channels Authority</w:t>
            </w:r>
          </w:p>
          <w:p w:rsidR="00086234" w:rsidRPr="0006303A" w:rsidRDefault="00086234" w:rsidP="0082455F">
            <w:pPr>
              <w:spacing w:after="0"/>
              <w:jc w:val="left"/>
              <w:cnfStyle w:val="000000000000" w:firstRow="0" w:lastRow="0" w:firstColumn="0" w:lastColumn="0" w:oddVBand="0" w:evenVBand="0" w:oddHBand="0" w:evenHBand="0" w:firstRowFirstColumn="0" w:firstRowLastColumn="0" w:lastRowFirstColumn="0" w:lastRowLastColumn="0"/>
              <w:rPr>
                <w:highlight w:val="yellow"/>
                <w:lang w:eastAsia="en-AU"/>
              </w:rPr>
            </w:pPr>
            <w:r>
              <w:t>V/Line Corporation</w:t>
            </w:r>
          </w:p>
        </w:tc>
      </w:tr>
      <w:tr w:rsidR="00086234" w:rsidRPr="00541A41" w:rsidTr="0082455F">
        <w:trPr>
          <w:trHeight w:val="17"/>
        </w:trPr>
        <w:tc>
          <w:tcPr>
            <w:cnfStyle w:val="001000000000" w:firstRow="0" w:lastRow="0" w:firstColumn="1" w:lastColumn="0" w:oddVBand="0" w:evenVBand="0" w:oddHBand="0" w:evenHBand="0" w:firstRowFirstColumn="0" w:firstRowLastColumn="0" w:lastRowFirstColumn="0" w:lastRowLastColumn="0"/>
            <w:tcW w:w="7927" w:type="dxa"/>
            <w:gridSpan w:val="2"/>
          </w:tcPr>
          <w:p w:rsidR="00086234" w:rsidRPr="00541A41" w:rsidRDefault="00086234" w:rsidP="0082455F">
            <w:pPr>
              <w:pStyle w:val="ControlledEntitiesSector"/>
              <w:spacing w:after="0"/>
              <w:rPr>
                <w:b w:val="0"/>
              </w:rPr>
            </w:pPr>
            <w:r w:rsidRPr="00541A41">
              <w:rPr>
                <w:b w:val="0"/>
              </w:rPr>
              <w:t xml:space="preserve">Public financial corporations </w:t>
            </w:r>
            <w:r w:rsidRPr="00541A41">
              <w:rPr>
                <w:b w:val="0"/>
                <w:vertAlign w:val="superscript"/>
              </w:rPr>
              <w:t>(a)</w:t>
            </w:r>
          </w:p>
        </w:tc>
      </w:tr>
      <w:tr w:rsidR="00086234" w:rsidRPr="0029647E" w:rsidTr="0082455F">
        <w:tc>
          <w:tcPr>
            <w:cnfStyle w:val="001000000000" w:firstRow="0" w:lastRow="0" w:firstColumn="1" w:lastColumn="0" w:oddVBand="0" w:evenVBand="0" w:oddHBand="0" w:evenHBand="0" w:firstRowFirstColumn="0" w:firstRowLastColumn="0" w:lastRowFirstColumn="0" w:lastRowLastColumn="0"/>
            <w:tcW w:w="7927" w:type="dxa"/>
            <w:gridSpan w:val="2"/>
          </w:tcPr>
          <w:p w:rsidR="00086234" w:rsidRPr="00821057" w:rsidRDefault="00086234" w:rsidP="0082455F">
            <w:pPr>
              <w:pStyle w:val="ControlledEntitiesDepartment"/>
              <w:spacing w:before="20"/>
            </w:pPr>
            <w:r w:rsidRPr="0029647E">
              <w:t xml:space="preserve">Department of </w:t>
            </w:r>
            <w:r>
              <w:t>Justice and Community Safety</w:t>
            </w:r>
          </w:p>
        </w:tc>
      </w:tr>
      <w:tr w:rsidR="00086234" w:rsidRPr="0029647E" w:rsidTr="0082455F">
        <w:tc>
          <w:tcPr>
            <w:cnfStyle w:val="001000000000" w:firstRow="0" w:lastRow="0" w:firstColumn="1" w:lastColumn="0" w:oddVBand="0" w:evenVBand="0" w:oddHBand="0" w:evenHBand="0" w:firstRowFirstColumn="0" w:firstRowLastColumn="0" w:lastRowFirstColumn="0" w:lastRowLastColumn="0"/>
            <w:tcW w:w="3963" w:type="dxa"/>
          </w:tcPr>
          <w:p w:rsidR="00086234" w:rsidRPr="0029647E" w:rsidRDefault="00086234" w:rsidP="0082455F">
            <w:pPr>
              <w:spacing w:after="0"/>
              <w:rPr>
                <w:lang w:eastAsia="en-AU"/>
              </w:rPr>
            </w:pPr>
            <w:r>
              <w:rPr>
                <w:lang w:eastAsia="en-AU"/>
              </w:rPr>
              <w:t>Victorian WorkCover Authority</w:t>
            </w:r>
          </w:p>
        </w:tc>
        <w:tc>
          <w:tcPr>
            <w:tcW w:w="3964" w:type="dxa"/>
          </w:tcPr>
          <w:p w:rsidR="00086234" w:rsidRPr="00821057" w:rsidRDefault="00086234" w:rsidP="0082455F">
            <w:pPr>
              <w:spacing w:after="0"/>
              <w:jc w:val="left"/>
              <w:cnfStyle w:val="000000000000" w:firstRow="0" w:lastRow="0" w:firstColumn="0" w:lastColumn="0" w:oddVBand="0" w:evenVBand="0" w:oddHBand="0" w:evenHBand="0" w:firstRowFirstColumn="0" w:firstRowLastColumn="0" w:lastRowFirstColumn="0" w:lastRowLastColumn="0"/>
            </w:pPr>
          </w:p>
        </w:tc>
      </w:tr>
      <w:tr w:rsidR="00086234" w:rsidRPr="0029647E" w:rsidTr="0082455F">
        <w:tc>
          <w:tcPr>
            <w:cnfStyle w:val="001000000000" w:firstRow="0" w:lastRow="0" w:firstColumn="1" w:lastColumn="0" w:oddVBand="0" w:evenVBand="0" w:oddHBand="0" w:evenHBand="0" w:firstRowFirstColumn="0" w:firstRowLastColumn="0" w:lastRowFirstColumn="0" w:lastRowLastColumn="0"/>
            <w:tcW w:w="7927" w:type="dxa"/>
            <w:gridSpan w:val="2"/>
          </w:tcPr>
          <w:p w:rsidR="00086234" w:rsidRPr="00917991" w:rsidRDefault="00086234" w:rsidP="0082455F">
            <w:pPr>
              <w:pStyle w:val="ControlledEntitiesDepartment"/>
              <w:spacing w:before="20"/>
            </w:pPr>
            <w:r>
              <w:t>Department of Premier and Cabinet</w:t>
            </w:r>
          </w:p>
        </w:tc>
      </w:tr>
      <w:tr w:rsidR="00086234" w:rsidRPr="0029647E" w:rsidTr="0082455F">
        <w:tc>
          <w:tcPr>
            <w:cnfStyle w:val="001000000000" w:firstRow="0" w:lastRow="0" w:firstColumn="1" w:lastColumn="0" w:oddVBand="0" w:evenVBand="0" w:oddHBand="0" w:evenHBand="0" w:firstRowFirstColumn="0" w:firstRowLastColumn="0" w:lastRowFirstColumn="0" w:lastRowLastColumn="0"/>
            <w:tcW w:w="3963" w:type="dxa"/>
            <w:shd w:val="clear" w:color="auto" w:fill="FFFFFF" w:themeFill="background1"/>
          </w:tcPr>
          <w:p w:rsidR="00086234" w:rsidRPr="00B461E1" w:rsidRDefault="00086234" w:rsidP="0082455F">
            <w:pPr>
              <w:spacing w:after="0"/>
              <w:rPr>
                <w:vertAlign w:val="superscript"/>
                <w:lang w:eastAsia="en-AU"/>
              </w:rPr>
            </w:pPr>
            <w:r>
              <w:rPr>
                <w:lang w:eastAsia="en-AU"/>
              </w:rPr>
              <w:t xml:space="preserve">Portable Long Service Authority </w:t>
            </w:r>
            <w:r>
              <w:rPr>
                <w:vertAlign w:val="superscript"/>
                <w:lang w:eastAsia="en-AU"/>
              </w:rPr>
              <w:t>(g)</w:t>
            </w:r>
          </w:p>
        </w:tc>
        <w:tc>
          <w:tcPr>
            <w:tcW w:w="3964" w:type="dxa"/>
          </w:tcPr>
          <w:p w:rsidR="00086234" w:rsidRPr="00917991" w:rsidRDefault="00086234" w:rsidP="0082455F">
            <w:pPr>
              <w:spacing w:after="0"/>
              <w:ind w:left="170" w:hanging="170"/>
              <w:cnfStyle w:val="000000000000" w:firstRow="0" w:lastRow="0" w:firstColumn="0" w:lastColumn="0" w:oddVBand="0" w:evenVBand="0" w:oddHBand="0" w:evenHBand="0" w:firstRowFirstColumn="0" w:firstRowLastColumn="0" w:lastRowFirstColumn="0" w:lastRowLastColumn="0"/>
              <w:rPr>
                <w:lang w:eastAsia="en-AU"/>
              </w:rPr>
            </w:pPr>
          </w:p>
        </w:tc>
      </w:tr>
      <w:tr w:rsidR="00086234" w:rsidRPr="0029647E" w:rsidTr="0082455F">
        <w:tc>
          <w:tcPr>
            <w:cnfStyle w:val="001000000000" w:firstRow="0" w:lastRow="0" w:firstColumn="1" w:lastColumn="0" w:oddVBand="0" w:evenVBand="0" w:oddHBand="0" w:evenHBand="0" w:firstRowFirstColumn="0" w:firstRowLastColumn="0" w:lastRowFirstColumn="0" w:lastRowLastColumn="0"/>
            <w:tcW w:w="7927" w:type="dxa"/>
            <w:gridSpan w:val="2"/>
          </w:tcPr>
          <w:p w:rsidR="00086234" w:rsidRPr="00821057" w:rsidRDefault="00086234" w:rsidP="0082455F">
            <w:pPr>
              <w:pStyle w:val="ControlledEntitiesDepartment"/>
              <w:spacing w:before="20"/>
            </w:pPr>
            <w:r w:rsidRPr="00917991">
              <w:t>Department of Transport</w:t>
            </w:r>
          </w:p>
        </w:tc>
      </w:tr>
      <w:tr w:rsidR="00086234" w:rsidRPr="0029647E" w:rsidTr="0082455F">
        <w:tc>
          <w:tcPr>
            <w:cnfStyle w:val="001000000000" w:firstRow="0" w:lastRow="0" w:firstColumn="1" w:lastColumn="0" w:oddVBand="0" w:evenVBand="0" w:oddHBand="0" w:evenHBand="0" w:firstRowFirstColumn="0" w:firstRowLastColumn="0" w:lastRowFirstColumn="0" w:lastRowLastColumn="0"/>
            <w:tcW w:w="3963" w:type="dxa"/>
          </w:tcPr>
          <w:p w:rsidR="00086234" w:rsidRPr="0015015D" w:rsidRDefault="00086234" w:rsidP="0082455F">
            <w:pPr>
              <w:spacing w:after="0"/>
              <w:ind w:left="0" w:firstLine="0"/>
              <w:rPr>
                <w:lang w:eastAsia="en-AU"/>
              </w:rPr>
            </w:pPr>
            <w:r w:rsidRPr="00917991">
              <w:t>Transport Accident Commission</w:t>
            </w:r>
          </w:p>
        </w:tc>
        <w:tc>
          <w:tcPr>
            <w:tcW w:w="3964" w:type="dxa"/>
          </w:tcPr>
          <w:p w:rsidR="00086234" w:rsidRPr="0006303A" w:rsidRDefault="00086234" w:rsidP="0082455F">
            <w:pPr>
              <w:spacing w:after="0"/>
              <w:jc w:val="left"/>
              <w:cnfStyle w:val="000000000000" w:firstRow="0" w:lastRow="0" w:firstColumn="0" w:lastColumn="0" w:oddVBand="0" w:evenVBand="0" w:oddHBand="0" w:evenHBand="0" w:firstRowFirstColumn="0" w:firstRowLastColumn="0" w:lastRowFirstColumn="0" w:lastRowLastColumn="0"/>
              <w:rPr>
                <w:highlight w:val="yellow"/>
                <w:lang w:eastAsia="en-AU"/>
              </w:rPr>
            </w:pPr>
          </w:p>
        </w:tc>
      </w:tr>
    </w:tbl>
    <w:p w:rsidR="00086234" w:rsidRDefault="00086234" w:rsidP="00086234">
      <w:pPr>
        <w:pStyle w:val="Source"/>
      </w:pPr>
      <w:r>
        <w:t>Source: Department of Treasury and Finance</w:t>
      </w:r>
    </w:p>
    <w:p w:rsidR="00086234" w:rsidRDefault="00086234" w:rsidP="00086234">
      <w:pPr>
        <w:pStyle w:val="Note"/>
        <w:ind w:left="0" w:firstLine="0"/>
      </w:pPr>
      <w:r>
        <w:t>Notes:</w:t>
      </w:r>
    </w:p>
    <w:p w:rsidR="00086234" w:rsidRDefault="00086234" w:rsidP="00086234">
      <w:pPr>
        <w:pStyle w:val="Note"/>
        <w:ind w:right="-227"/>
      </w:pPr>
      <w:r>
        <w:t>(a)</w:t>
      </w:r>
      <w:r>
        <w:tab/>
        <w:t>On 29 November 2018, the Premier announced machinery of government changes effective 1 January 2019. The following Victorian government departments were affected:</w:t>
      </w:r>
    </w:p>
    <w:p w:rsidR="00086234" w:rsidRPr="00716910" w:rsidRDefault="00086234" w:rsidP="00086234">
      <w:pPr>
        <w:pStyle w:val="NoteDash"/>
        <w:tabs>
          <w:tab w:val="clear" w:pos="360"/>
        </w:tabs>
        <w:ind w:right="-227"/>
      </w:pPr>
      <w:r w:rsidRPr="00716910">
        <w:t>The Department of Economic Development, Jobs, Transport and Resources was renamed to the Department of Transport.</w:t>
      </w:r>
    </w:p>
    <w:p w:rsidR="00086234" w:rsidRPr="00716910" w:rsidRDefault="00086234" w:rsidP="00086234">
      <w:pPr>
        <w:pStyle w:val="NoteDash"/>
        <w:tabs>
          <w:tab w:val="clear" w:pos="360"/>
        </w:tabs>
        <w:ind w:right="-227"/>
      </w:pPr>
      <w:r w:rsidRPr="00716910">
        <w:t>Certain functions of the former Department of Economic Development, Jobs, Transport and Resources were transferred to the new department called the Department of Jobs, Precincts and Regions and the Department of Treasury and Finance.</w:t>
      </w:r>
    </w:p>
    <w:p w:rsidR="00086234" w:rsidRPr="00716910" w:rsidRDefault="00086234" w:rsidP="00086234">
      <w:pPr>
        <w:pStyle w:val="NoteDash"/>
        <w:tabs>
          <w:tab w:val="clear" w:pos="360"/>
        </w:tabs>
        <w:ind w:right="-227"/>
      </w:pPr>
      <w:r w:rsidRPr="00716910">
        <w:t>The Department of Justice and Regulation was renamed to the Department of Justice and Community Safety.</w:t>
      </w:r>
    </w:p>
    <w:p w:rsidR="00086234" w:rsidRPr="00716910" w:rsidRDefault="00086234" w:rsidP="00086234">
      <w:pPr>
        <w:pStyle w:val="NoteDash"/>
        <w:tabs>
          <w:tab w:val="clear" w:pos="360"/>
        </w:tabs>
        <w:ind w:right="-227"/>
      </w:pPr>
      <w:r w:rsidRPr="00716910">
        <w:t>Portfolio responsibility for the Transport Accident Commission was transferred from the Department of Treasury and Finance to the Department of Transport.</w:t>
      </w:r>
    </w:p>
    <w:p w:rsidR="00086234" w:rsidRPr="00716910" w:rsidRDefault="00086234" w:rsidP="00086234">
      <w:pPr>
        <w:pStyle w:val="NoteDash"/>
        <w:tabs>
          <w:tab w:val="clear" w:pos="360"/>
        </w:tabs>
        <w:ind w:right="-227"/>
      </w:pPr>
      <w:r w:rsidRPr="00716910">
        <w:t>Portfolio responsibility for the Victorian WorkCover Authority (WorkSafe Victoria) was transferred from the Department of Treasury and Finance to the Department of Justice and Community Safety.</w:t>
      </w:r>
    </w:p>
    <w:p w:rsidR="00086234" w:rsidRPr="00716910" w:rsidRDefault="00086234" w:rsidP="00086234">
      <w:pPr>
        <w:pStyle w:val="NoteDash"/>
        <w:tabs>
          <w:tab w:val="clear" w:pos="360"/>
        </w:tabs>
        <w:ind w:right="-227"/>
      </w:pPr>
      <w:r w:rsidRPr="00716910">
        <w:t xml:space="preserve">Sport and Recreation Victoria was transferred from the Department of Health and Human Services to the Department of Jobs, Precincts and Regions. </w:t>
      </w:r>
    </w:p>
    <w:p w:rsidR="00086234" w:rsidRPr="00716910" w:rsidRDefault="00086234" w:rsidP="00086234">
      <w:pPr>
        <w:pStyle w:val="NoteDash"/>
        <w:tabs>
          <w:tab w:val="clear" w:pos="360"/>
        </w:tabs>
        <w:ind w:right="-227"/>
      </w:pPr>
      <w:r w:rsidRPr="00716910">
        <w:t xml:space="preserve">The Office of Racing was transferred from the former Department of Justice and Regulation to the Department of Jobs, Precincts and Regions. </w:t>
      </w:r>
    </w:p>
    <w:p w:rsidR="00086234" w:rsidRPr="00716910" w:rsidRDefault="00086234" w:rsidP="00086234">
      <w:pPr>
        <w:pStyle w:val="NoteDash"/>
        <w:tabs>
          <w:tab w:val="clear" w:pos="360"/>
        </w:tabs>
        <w:ind w:right="-227"/>
      </w:pPr>
      <w:r w:rsidRPr="00716910">
        <w:t>Industrial Relations Victoria was transferred from the former Department of Economic Development, Jobs, Transport and Resources to the Department of Premier and Cabinet.</w:t>
      </w:r>
    </w:p>
    <w:p w:rsidR="00086234" w:rsidRPr="00716910" w:rsidRDefault="00086234" w:rsidP="00086234">
      <w:pPr>
        <w:pStyle w:val="NoteDash"/>
        <w:tabs>
          <w:tab w:val="clear" w:pos="360"/>
        </w:tabs>
        <w:ind w:right="-227"/>
      </w:pPr>
      <w:r w:rsidRPr="00716910">
        <w:t xml:space="preserve">The Office for Women was transferred from the Department of Health and Human Services to the Department of Premier and Cabinet. </w:t>
      </w:r>
    </w:p>
    <w:p w:rsidR="00086234" w:rsidRPr="004677D7" w:rsidRDefault="00086234" w:rsidP="00086234">
      <w:pPr>
        <w:pStyle w:val="Note"/>
        <w:ind w:right="-227"/>
        <w:rPr>
          <w:rFonts w:cstheme="majorHAnsi"/>
        </w:rPr>
      </w:pPr>
      <w:r>
        <w:tab/>
      </w:r>
      <w:r w:rsidRPr="004677D7">
        <w:rPr>
          <w:rFonts w:cstheme="majorHAnsi"/>
        </w:rPr>
        <w:t>Certain functions and operations of Victorian government departments were also transferred as part of the machinery of government changes.</w:t>
      </w:r>
    </w:p>
    <w:p w:rsidR="00086234" w:rsidRPr="004677D7" w:rsidRDefault="00086234" w:rsidP="00086234">
      <w:pPr>
        <w:pStyle w:val="Note"/>
        <w:ind w:right="-227"/>
        <w:rPr>
          <w:rFonts w:cstheme="majorHAnsi"/>
        </w:rPr>
      </w:pPr>
      <w:r w:rsidRPr="004677D7">
        <w:rPr>
          <w:rFonts w:cstheme="majorHAnsi"/>
        </w:rPr>
        <w:t>(b)</w:t>
      </w:r>
      <w:r w:rsidRPr="004677D7">
        <w:rPr>
          <w:rFonts w:cstheme="majorHAnsi"/>
        </w:rPr>
        <w:tab/>
        <w:t>Effective from 1 August 2018, the Caulfield Racecourse Reserve Trust was established to manage the Caulfield Racecourse.</w:t>
      </w:r>
    </w:p>
    <w:p w:rsidR="00086234" w:rsidRPr="004677D7" w:rsidRDefault="00086234" w:rsidP="00086234">
      <w:pPr>
        <w:pStyle w:val="Note"/>
        <w:ind w:right="-227"/>
        <w:rPr>
          <w:rFonts w:cstheme="majorHAnsi"/>
          <w:i w:val="0"/>
          <w:iCs/>
          <w:color w:val="000000"/>
        </w:rPr>
      </w:pPr>
      <w:r w:rsidRPr="004677D7">
        <w:rPr>
          <w:rFonts w:cstheme="majorHAnsi"/>
          <w:iCs/>
          <w:color w:val="000000"/>
        </w:rPr>
        <w:t>(c)</w:t>
      </w:r>
      <w:r w:rsidRPr="004677D7">
        <w:rPr>
          <w:rFonts w:cstheme="majorHAnsi"/>
          <w:i w:val="0"/>
          <w:iCs/>
          <w:color w:val="000000"/>
        </w:rPr>
        <w:t xml:space="preserve"> </w:t>
      </w:r>
      <w:r w:rsidRPr="004677D7">
        <w:rPr>
          <w:rFonts w:cstheme="majorHAnsi"/>
          <w:i w:val="0"/>
          <w:iCs/>
          <w:color w:val="000000"/>
        </w:rPr>
        <w:tab/>
      </w:r>
      <w:r w:rsidRPr="004677D7">
        <w:rPr>
          <w:rFonts w:cstheme="majorHAnsi"/>
        </w:rPr>
        <w:t xml:space="preserve">The Family Violence Prevention Agency was established under the </w:t>
      </w:r>
      <w:r w:rsidRPr="004677D7">
        <w:rPr>
          <w:rFonts w:cstheme="majorHAnsi"/>
          <w:i w:val="0"/>
        </w:rPr>
        <w:t>Prevention of Family Violence Act 2018</w:t>
      </w:r>
      <w:r w:rsidRPr="004677D7">
        <w:rPr>
          <w:rFonts w:cstheme="majorHAnsi"/>
        </w:rPr>
        <w:t xml:space="preserve"> and, by Order of the Governor in Council, commenced on 4 October 2018 and will operate as Respect Victoria. </w:t>
      </w:r>
      <w:r w:rsidRPr="004677D7">
        <w:rPr>
          <w:rFonts w:cstheme="majorHAnsi"/>
          <w:iCs/>
          <w:color w:val="000000"/>
        </w:rPr>
        <w:t>Responsibility for this entity will transfer to the Department of Premier and Cabinet from 1 July 2019 by agreement between the Secretaries of both departments</w:t>
      </w:r>
      <w:r w:rsidRPr="004677D7">
        <w:rPr>
          <w:rFonts w:cstheme="majorHAnsi"/>
          <w:i w:val="0"/>
          <w:iCs/>
          <w:color w:val="000000"/>
        </w:rPr>
        <w:t>.</w:t>
      </w:r>
    </w:p>
    <w:p w:rsidR="00086234" w:rsidRPr="004677D7" w:rsidRDefault="00086234" w:rsidP="00086234">
      <w:pPr>
        <w:pStyle w:val="Note"/>
        <w:ind w:right="-227"/>
        <w:rPr>
          <w:rFonts w:cstheme="majorHAnsi"/>
          <w:i w:val="0"/>
          <w:iCs/>
          <w:color w:val="000000"/>
        </w:rPr>
      </w:pPr>
      <w:r w:rsidRPr="004677D7">
        <w:rPr>
          <w:rFonts w:cstheme="majorHAnsi"/>
          <w:iCs/>
          <w:color w:val="000000"/>
        </w:rPr>
        <w:t>(d)</w:t>
      </w:r>
      <w:r w:rsidRPr="004677D7">
        <w:rPr>
          <w:rFonts w:cstheme="majorHAnsi"/>
          <w:i w:val="0"/>
          <w:iCs/>
          <w:color w:val="000000"/>
        </w:rPr>
        <w:tab/>
      </w:r>
      <w:r w:rsidRPr="004677D7">
        <w:rPr>
          <w:rFonts w:cstheme="majorHAnsi"/>
          <w:iCs/>
          <w:color w:val="000000"/>
        </w:rPr>
        <w:t xml:space="preserve">The Labour Hire Licensing Authority was established under the </w:t>
      </w:r>
      <w:r w:rsidRPr="004677D7">
        <w:rPr>
          <w:rFonts w:cstheme="majorHAnsi"/>
          <w:i w:val="0"/>
          <w:iCs/>
          <w:color w:val="000000"/>
        </w:rPr>
        <w:t>Labour Hire Licensing Act 2018</w:t>
      </w:r>
      <w:r w:rsidRPr="004677D7">
        <w:rPr>
          <w:rFonts w:cstheme="majorHAnsi"/>
          <w:iCs/>
          <w:color w:val="000000"/>
        </w:rPr>
        <w:t xml:space="preserve"> and by Order of the Governor in Council, commences on 29 April 2019.</w:t>
      </w:r>
    </w:p>
    <w:p w:rsidR="00086234" w:rsidRPr="004677D7" w:rsidRDefault="00086234" w:rsidP="00086234">
      <w:pPr>
        <w:pStyle w:val="Note"/>
        <w:ind w:right="-227"/>
        <w:rPr>
          <w:rFonts w:cstheme="majorHAnsi"/>
        </w:rPr>
      </w:pPr>
      <w:r w:rsidRPr="004677D7">
        <w:rPr>
          <w:rFonts w:cstheme="majorHAnsi"/>
        </w:rPr>
        <w:t xml:space="preserve">(e) </w:t>
      </w:r>
      <w:r w:rsidRPr="004677D7">
        <w:rPr>
          <w:rFonts w:cstheme="majorHAnsi"/>
        </w:rPr>
        <w:tab/>
        <w:t>Effective from 1 July 2019, Roads Corporation and the Public Transport Development Authority will be consolidated into the Department of Transport.</w:t>
      </w:r>
    </w:p>
    <w:p w:rsidR="00086234" w:rsidRDefault="00086234" w:rsidP="00086234">
      <w:pPr>
        <w:pStyle w:val="Note"/>
        <w:ind w:right="-227"/>
      </w:pPr>
      <w:r w:rsidRPr="004677D7">
        <w:rPr>
          <w:rFonts w:cstheme="majorHAnsi"/>
        </w:rPr>
        <w:t>(f)</w:t>
      </w:r>
      <w:r w:rsidRPr="004677D7">
        <w:rPr>
          <w:rFonts w:cstheme="majorHAnsi"/>
        </w:rPr>
        <w:tab/>
        <w:t>On 2 June 2018, the Taxi Services Commission changed its name to Commercial Passenger</w:t>
      </w:r>
      <w:r w:rsidRPr="00D512AB">
        <w:t xml:space="preserve"> Vehicles Victoria.</w:t>
      </w:r>
    </w:p>
    <w:p w:rsidR="00086234" w:rsidRDefault="00086234" w:rsidP="00086234">
      <w:pPr>
        <w:pStyle w:val="Note"/>
        <w:ind w:right="-227"/>
      </w:pPr>
      <w:r>
        <w:t>(g)</w:t>
      </w:r>
      <w:r>
        <w:tab/>
      </w:r>
      <w:r w:rsidRPr="00B461E1">
        <w:t xml:space="preserve">The Portable Long Service Authority was established under the </w:t>
      </w:r>
      <w:r w:rsidRPr="00B461E1">
        <w:rPr>
          <w:i w:val="0"/>
        </w:rPr>
        <w:t>Long Service Benefits Portability Act 2018</w:t>
      </w:r>
      <w:r w:rsidRPr="00B461E1">
        <w:t xml:space="preserve">, and by Order of the Governor in Council and commences on </w:t>
      </w:r>
      <w:r>
        <w:t>1 July</w:t>
      </w:r>
      <w:r w:rsidRPr="00B461E1">
        <w:t xml:space="preserve"> 2019.</w:t>
      </w:r>
    </w:p>
    <w:p w:rsidR="00086234" w:rsidRDefault="00086234" w:rsidP="00086234">
      <w:pPr>
        <w:pStyle w:val="Note"/>
        <w:ind w:right="-227"/>
      </w:pPr>
    </w:p>
    <w:p w:rsidR="00086234" w:rsidRDefault="00086234" w:rsidP="00086234">
      <w:pPr>
        <w:pStyle w:val="Note"/>
        <w:ind w:right="-227"/>
      </w:pPr>
    </w:p>
    <w:p w:rsidR="005D4B8C" w:rsidRDefault="005D4B8C" w:rsidP="00CB45C6">
      <w:pPr>
        <w:keepLines/>
        <w:spacing w:before="120" w:after="0" w:line="240" w:lineRule="auto"/>
      </w:pPr>
    </w:p>
    <w:sectPr w:rsidR="005D4B8C" w:rsidSect="00E53587">
      <w:footerReference w:type="even" r:id="rId7"/>
      <w:footerReference w:type="default" r:id="rId8"/>
      <w:foot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1A0" w:rsidRDefault="005351A0" w:rsidP="005351A0">
      <w:pPr>
        <w:spacing w:after="0" w:line="240" w:lineRule="auto"/>
      </w:pPr>
      <w:r>
        <w:separator/>
      </w:r>
    </w:p>
  </w:endnote>
  <w:endnote w:type="continuationSeparator" w:id="0">
    <w:p w:rsidR="005351A0" w:rsidRDefault="005351A0" w:rsidP="00535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1A0" w:rsidRDefault="005351A0" w:rsidP="005351A0">
    <w:pPr>
      <w:pStyle w:val="Footerodd"/>
      <w:tabs>
        <w:tab w:val="clear" w:pos="7710"/>
        <w:tab w:val="clear" w:pos="9639"/>
        <w:tab w:val="right" w:pos="7711"/>
      </w:tabs>
      <w:rPr>
        <w:rStyle w:val="PageNumber"/>
      </w:rPr>
    </w:pPr>
    <w:bookmarkStart w:id="2" w:name="PandNP1FooterEvenPages"/>
  </w:p>
  <w:bookmarkEnd w:id="2"/>
  <w:p w:rsidR="005351A0" w:rsidRPr="00BA26F2" w:rsidRDefault="005351A0" w:rsidP="005351A0">
    <w:pPr>
      <w:pStyle w:val="Footerodd"/>
      <w:tabs>
        <w:tab w:val="clear" w:pos="7710"/>
        <w:tab w:val="clear" w:pos="9639"/>
        <w:tab w:val="right" w:pos="7711"/>
      </w:tabs>
    </w:pPr>
    <w:r>
      <w:rPr>
        <w:rStyle w:val="PageNumber"/>
      </w:rPr>
      <w:t>2018-19 Budget Update</w:t>
    </w:r>
    <w:r w:rsidRPr="00BA26F2">
      <w:tab/>
    </w:r>
    <w:r>
      <w:t>Chapter 4</w:t>
    </w:r>
    <w:r w:rsidRPr="00BA26F2">
      <w:tab/>
    </w:r>
    <w:r w:rsidRPr="00BA26F2">
      <w:rPr>
        <w:rStyle w:val="PageNumber"/>
      </w:rPr>
      <w:fldChar w:fldCharType="begin"/>
    </w:r>
    <w:r w:rsidRPr="00BA26F2">
      <w:rPr>
        <w:rStyle w:val="PageNumber"/>
      </w:rPr>
      <w:instrText xml:space="preserve"> PAGE </w:instrText>
    </w:r>
    <w:r w:rsidRPr="00BA26F2">
      <w:rPr>
        <w:rStyle w:val="PageNumber"/>
      </w:rPr>
      <w:fldChar w:fldCharType="separate"/>
    </w:r>
    <w:r>
      <w:rPr>
        <w:rStyle w:val="PageNumber"/>
      </w:rPr>
      <w:t>1</w:t>
    </w:r>
    <w:r w:rsidRPr="00BA26F2">
      <w:rPr>
        <w:rStyle w:val="PageNumber"/>
      </w:rPr>
      <w:fldChar w:fldCharType="end"/>
    </w:r>
  </w:p>
  <w:p w:rsidR="005351A0" w:rsidRDefault="005351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1A0" w:rsidRDefault="005351A0" w:rsidP="005351A0">
    <w:pPr>
      <w:pStyle w:val="Footerodd"/>
      <w:tabs>
        <w:tab w:val="clear" w:pos="7710"/>
        <w:tab w:val="clear" w:pos="9639"/>
        <w:tab w:val="right" w:pos="7711"/>
      </w:tabs>
      <w:rPr>
        <w:rStyle w:val="PageNumber"/>
      </w:rPr>
    </w:pPr>
    <w:bookmarkStart w:id="3" w:name="PandNP1FooterPrimary"/>
  </w:p>
  <w:bookmarkEnd w:id="3"/>
  <w:p w:rsidR="005351A0" w:rsidRPr="00BA26F2" w:rsidRDefault="005351A0" w:rsidP="005351A0">
    <w:pPr>
      <w:pStyle w:val="Footerodd"/>
      <w:tabs>
        <w:tab w:val="clear" w:pos="7710"/>
        <w:tab w:val="clear" w:pos="9639"/>
        <w:tab w:val="right" w:pos="7711"/>
      </w:tabs>
    </w:pPr>
    <w:r>
      <w:rPr>
        <w:rStyle w:val="PageNumber"/>
      </w:rPr>
      <w:t>2019</w:t>
    </w:r>
    <w:r w:rsidR="00E53587">
      <w:rPr>
        <w:rStyle w:val="PageNumber"/>
      </w:rPr>
      <w:t>-20</w:t>
    </w:r>
    <w:r>
      <w:rPr>
        <w:rStyle w:val="PageNumber"/>
      </w:rPr>
      <w:t xml:space="preserve"> Budge</w:t>
    </w:r>
    <w:r w:rsidR="00E53587">
      <w:rPr>
        <w:rStyle w:val="PageNumber"/>
      </w:rPr>
      <w:t>t</w:t>
    </w:r>
    <w:r w:rsidRPr="00BA26F2">
      <w:tab/>
    </w:r>
    <w:r>
      <w:t xml:space="preserve">Chapter </w:t>
    </w:r>
    <w:r w:rsidR="00E53587">
      <w:t>1</w:t>
    </w:r>
    <w:r w:rsidRPr="00BA26F2">
      <w:tab/>
    </w:r>
    <w:r w:rsidRPr="00BA26F2">
      <w:rPr>
        <w:rStyle w:val="PageNumber"/>
      </w:rPr>
      <w:fldChar w:fldCharType="begin"/>
    </w:r>
    <w:r w:rsidRPr="00BA26F2">
      <w:rPr>
        <w:rStyle w:val="PageNumber"/>
      </w:rPr>
      <w:instrText xml:space="preserve"> PAGE </w:instrText>
    </w:r>
    <w:r w:rsidRPr="00BA26F2">
      <w:rPr>
        <w:rStyle w:val="PageNumber"/>
      </w:rPr>
      <w:fldChar w:fldCharType="separate"/>
    </w:r>
    <w:r>
      <w:rPr>
        <w:rStyle w:val="PageNumber"/>
      </w:rPr>
      <w:t>1</w:t>
    </w:r>
    <w:r w:rsidRPr="00BA26F2">
      <w:rPr>
        <w:rStyle w:val="PageNumber"/>
      </w:rPr>
      <w:fldChar w:fldCharType="end"/>
    </w:r>
  </w:p>
  <w:p w:rsidR="005351A0" w:rsidRDefault="005351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1A0" w:rsidRDefault="005351A0" w:rsidP="005351A0">
    <w:pPr>
      <w:pStyle w:val="Footerodd"/>
      <w:tabs>
        <w:tab w:val="clear" w:pos="7710"/>
        <w:tab w:val="clear" w:pos="9639"/>
        <w:tab w:val="right" w:pos="7711"/>
      </w:tabs>
      <w:rPr>
        <w:rStyle w:val="PageNumber"/>
      </w:rPr>
    </w:pPr>
    <w:bookmarkStart w:id="4" w:name="PandNP1FooterFirstPage"/>
  </w:p>
  <w:bookmarkEnd w:id="4"/>
  <w:p w:rsidR="005351A0" w:rsidRPr="00BA26F2" w:rsidRDefault="00E53587" w:rsidP="005351A0">
    <w:pPr>
      <w:pStyle w:val="Footerodd"/>
      <w:tabs>
        <w:tab w:val="clear" w:pos="7710"/>
        <w:tab w:val="clear" w:pos="9639"/>
        <w:tab w:val="right" w:pos="7711"/>
      </w:tabs>
    </w:pPr>
    <w:r>
      <w:rPr>
        <w:rStyle w:val="PageNumber"/>
      </w:rPr>
      <w:t>2019-20</w:t>
    </w:r>
    <w:r w:rsidR="005351A0">
      <w:rPr>
        <w:rStyle w:val="PageNumber"/>
      </w:rPr>
      <w:t xml:space="preserve"> Budget</w:t>
    </w:r>
    <w:r w:rsidR="005351A0" w:rsidRPr="00BA26F2">
      <w:tab/>
    </w:r>
    <w:r w:rsidR="005351A0">
      <w:t xml:space="preserve">Chapter </w:t>
    </w:r>
    <w:r>
      <w:t>1</w:t>
    </w:r>
    <w:r w:rsidR="005351A0" w:rsidRPr="00BA26F2">
      <w:tab/>
    </w:r>
    <w:r w:rsidR="005351A0" w:rsidRPr="00BA26F2">
      <w:rPr>
        <w:rStyle w:val="PageNumber"/>
      </w:rPr>
      <w:fldChar w:fldCharType="begin"/>
    </w:r>
    <w:r w:rsidR="005351A0" w:rsidRPr="00BA26F2">
      <w:rPr>
        <w:rStyle w:val="PageNumber"/>
      </w:rPr>
      <w:instrText xml:space="preserve"> PAGE </w:instrText>
    </w:r>
    <w:r w:rsidR="005351A0" w:rsidRPr="00BA26F2">
      <w:rPr>
        <w:rStyle w:val="PageNumber"/>
      </w:rPr>
      <w:fldChar w:fldCharType="separate"/>
    </w:r>
    <w:r w:rsidR="005351A0">
      <w:rPr>
        <w:rStyle w:val="PageNumber"/>
      </w:rPr>
      <w:t>1</w:t>
    </w:r>
    <w:r w:rsidR="005351A0" w:rsidRPr="00BA26F2">
      <w:rPr>
        <w:rStyle w:val="PageNumber"/>
      </w:rPr>
      <w:fldChar w:fldCharType="end"/>
    </w:r>
  </w:p>
  <w:p w:rsidR="005351A0" w:rsidRDefault="00535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1A0" w:rsidRDefault="005351A0" w:rsidP="005351A0">
      <w:pPr>
        <w:spacing w:after="0" w:line="240" w:lineRule="auto"/>
      </w:pPr>
      <w:r>
        <w:separator/>
      </w:r>
    </w:p>
  </w:footnote>
  <w:footnote w:type="continuationSeparator" w:id="0">
    <w:p w:rsidR="005351A0" w:rsidRDefault="005351A0" w:rsidP="005351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31070"/>
    <w:multiLevelType w:val="multilevel"/>
    <w:tmpl w:val="F7AC3EE2"/>
    <w:lvl w:ilvl="0">
      <w:start w:val="4"/>
      <w:numFmt w:val="decimal"/>
      <w:lvlText w:val="%1."/>
      <w:lvlJc w:val="left"/>
      <w:pPr>
        <w:ind w:left="397" w:hanging="397"/>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247" w:hanging="124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4A0D1EA1"/>
    <w:multiLevelType w:val="hybridMultilevel"/>
    <w:tmpl w:val="8AB83C72"/>
    <w:lvl w:ilvl="0" w:tplc="3A66BD7A">
      <w:start w:val="1"/>
      <w:numFmt w:val="bullet"/>
      <w:pStyle w:val="Note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1A0"/>
    <w:rsid w:val="00086234"/>
    <w:rsid w:val="000F75AB"/>
    <w:rsid w:val="00153B93"/>
    <w:rsid w:val="0039342A"/>
    <w:rsid w:val="003B7779"/>
    <w:rsid w:val="004677D7"/>
    <w:rsid w:val="004E4081"/>
    <w:rsid w:val="005351A0"/>
    <w:rsid w:val="005D4B8C"/>
    <w:rsid w:val="00604DCC"/>
    <w:rsid w:val="00715B68"/>
    <w:rsid w:val="00846C4F"/>
    <w:rsid w:val="00A828E2"/>
    <w:rsid w:val="00AB1360"/>
    <w:rsid w:val="00AE6581"/>
    <w:rsid w:val="00C05A45"/>
    <w:rsid w:val="00CB45C6"/>
    <w:rsid w:val="00E535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033E566-E431-4B0F-AC00-F6029EC15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TFTable">
    <w:name w:val="DTF Table"/>
    <w:basedOn w:val="TableNormal"/>
    <w:uiPriority w:val="99"/>
    <w:rsid w:val="005351A0"/>
    <w:pPr>
      <w:spacing w:before="20" w:after="20" w:line="240" w:lineRule="auto"/>
      <w:jc w:val="right"/>
    </w:pPr>
    <w:rPr>
      <w:rFonts w:ascii="Calibri" w:hAnsi="Calibri"/>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vAlign w:val="bottom"/>
      </w:tcPr>
    </w:tblStylePr>
    <w:tblStylePr w:type="lastRow">
      <w:rPr>
        <w:b/>
      </w:rPr>
      <w:tblPr/>
      <w:tcPr>
        <w:tcBorders>
          <w:top w:val="single" w:sz="6" w:space="0" w:color="000000"/>
          <w:left w:val="nil"/>
          <w:bottom w:val="single" w:sz="12" w:space="0" w:color="000000"/>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cPr>
    </w:tblStylePr>
    <w:tblStylePr w:type="band1Vert">
      <w:tblPr/>
      <w:tcPr>
        <w:shd w:val="clear" w:color="auto" w:fill="EBEBEB"/>
      </w:tcPr>
    </w:tblStylePr>
    <w:tblStylePr w:type="band1Horz">
      <w:tblPr/>
      <w:tcPr>
        <w:shd w:val="clear" w:color="auto" w:fill="EBEBEB"/>
      </w:tcPr>
    </w:tblStylePr>
    <w:tblStylePr w:type="band2Horz">
      <w:tblPr/>
      <w:tcPr>
        <w:shd w:val="clear" w:color="auto" w:fill="FFFFFF"/>
      </w:tcPr>
    </w:tblStylePr>
  </w:style>
  <w:style w:type="paragraph" w:styleId="Header">
    <w:name w:val="header"/>
    <w:basedOn w:val="Normal"/>
    <w:link w:val="HeaderChar"/>
    <w:uiPriority w:val="99"/>
    <w:unhideWhenUsed/>
    <w:rsid w:val="005351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1A0"/>
  </w:style>
  <w:style w:type="paragraph" w:styleId="Footer">
    <w:name w:val="footer"/>
    <w:basedOn w:val="Normal"/>
    <w:link w:val="FooterChar"/>
    <w:uiPriority w:val="99"/>
    <w:unhideWhenUsed/>
    <w:rsid w:val="00535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1A0"/>
  </w:style>
  <w:style w:type="character" w:customStyle="1" w:styleId="FooteroddChar">
    <w:name w:val="Footer (odd) Char"/>
    <w:basedOn w:val="DefaultParagraphFont"/>
    <w:link w:val="Footerodd"/>
    <w:uiPriority w:val="85"/>
    <w:rsid w:val="005351A0"/>
    <w:rPr>
      <w:rFonts w:asciiTheme="majorHAnsi" w:hAnsiTheme="majorHAnsi"/>
      <w:sz w:val="18"/>
    </w:rPr>
  </w:style>
  <w:style w:type="paragraph" w:customStyle="1" w:styleId="Footerodd">
    <w:name w:val="Footer (odd)"/>
    <w:basedOn w:val="Normal"/>
    <w:link w:val="FooteroddChar"/>
    <w:uiPriority w:val="85"/>
    <w:rsid w:val="005351A0"/>
    <w:pPr>
      <w:keepLines/>
      <w:pBdr>
        <w:top w:val="single" w:sz="6" w:space="1" w:color="auto"/>
      </w:pBdr>
      <w:tabs>
        <w:tab w:val="center" w:pos="4819"/>
        <w:tab w:val="right" w:pos="7710"/>
        <w:tab w:val="right" w:pos="9639"/>
        <w:tab w:val="right" w:pos="14742"/>
      </w:tabs>
      <w:spacing w:after="0" w:line="240" w:lineRule="auto"/>
    </w:pPr>
    <w:rPr>
      <w:rFonts w:asciiTheme="majorHAnsi" w:hAnsiTheme="majorHAnsi"/>
      <w:sz w:val="18"/>
    </w:rPr>
  </w:style>
  <w:style w:type="character" w:styleId="PageNumber">
    <w:name w:val="page number"/>
    <w:semiHidden/>
    <w:rsid w:val="005351A0"/>
    <w:rPr>
      <w:rFonts w:asciiTheme="minorHAnsi" w:hAnsiTheme="minorHAnsi"/>
      <w:sz w:val="18"/>
    </w:rPr>
  </w:style>
  <w:style w:type="paragraph" w:styleId="BalloonText">
    <w:name w:val="Balloon Text"/>
    <w:basedOn w:val="Normal"/>
    <w:link w:val="BalloonTextChar"/>
    <w:uiPriority w:val="99"/>
    <w:semiHidden/>
    <w:unhideWhenUsed/>
    <w:rsid w:val="00153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B93"/>
    <w:rPr>
      <w:rFonts w:ascii="Segoe UI" w:hAnsi="Segoe UI" w:cs="Segoe UI"/>
      <w:sz w:val="18"/>
      <w:szCs w:val="18"/>
    </w:rPr>
  </w:style>
  <w:style w:type="table" w:customStyle="1" w:styleId="DTFTable1">
    <w:name w:val="DTF Table1"/>
    <w:basedOn w:val="TableNormal"/>
    <w:uiPriority w:val="99"/>
    <w:rsid w:val="00E53587"/>
    <w:pPr>
      <w:spacing w:before="20" w:after="20" w:line="240" w:lineRule="auto"/>
      <w:jc w:val="right"/>
    </w:pPr>
    <w:rPr>
      <w:rFonts w:ascii="Calibri" w:hAnsi="Calibri"/>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vAlign w:val="bottom"/>
      </w:tcPr>
    </w:tblStylePr>
    <w:tblStylePr w:type="lastRow">
      <w:rPr>
        <w:b/>
      </w:rPr>
      <w:tblPr/>
      <w:tcPr>
        <w:tcBorders>
          <w:top w:val="single" w:sz="6" w:space="0" w:color="000000"/>
          <w:left w:val="nil"/>
          <w:bottom w:val="single" w:sz="12" w:space="0" w:color="000000"/>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cPr>
    </w:tblStylePr>
    <w:tblStylePr w:type="band1Vert">
      <w:tblPr/>
      <w:tcPr>
        <w:shd w:val="clear" w:color="auto" w:fill="EBEBEB"/>
      </w:tcPr>
    </w:tblStylePr>
    <w:tblStylePr w:type="band1Horz">
      <w:tblPr/>
      <w:tcPr>
        <w:shd w:val="clear" w:color="auto" w:fill="EBEBEB"/>
      </w:tcPr>
    </w:tblStylePr>
    <w:tblStylePr w:type="band2Horz">
      <w:tblPr/>
      <w:tcPr>
        <w:shd w:val="clear" w:color="auto" w:fill="FFFFFF"/>
      </w:tcPr>
    </w:tblStylePr>
  </w:style>
  <w:style w:type="table" w:customStyle="1" w:styleId="DTFTable2">
    <w:name w:val="DTF Table2"/>
    <w:basedOn w:val="TableNormal"/>
    <w:uiPriority w:val="99"/>
    <w:rsid w:val="00CB45C6"/>
    <w:pPr>
      <w:spacing w:before="20" w:after="20" w:line="240" w:lineRule="auto"/>
      <w:jc w:val="right"/>
    </w:pPr>
    <w:rPr>
      <w:rFonts w:ascii="Calibri" w:hAnsi="Calibri"/>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vAlign w:val="bottom"/>
      </w:tcPr>
    </w:tblStylePr>
    <w:tblStylePr w:type="lastRow">
      <w:rPr>
        <w:b/>
      </w:rPr>
      <w:tblPr/>
      <w:tcPr>
        <w:tcBorders>
          <w:top w:val="single" w:sz="6" w:space="0" w:color="000000"/>
          <w:left w:val="nil"/>
          <w:bottom w:val="single" w:sz="12" w:space="0" w:color="000000"/>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cPr>
    </w:tblStylePr>
    <w:tblStylePr w:type="band1Vert">
      <w:tblPr/>
      <w:tcPr>
        <w:shd w:val="clear" w:color="auto" w:fill="EBEBEB"/>
      </w:tcPr>
    </w:tblStylePr>
    <w:tblStylePr w:type="band1Horz">
      <w:tblPr/>
      <w:tcPr>
        <w:shd w:val="clear" w:color="auto" w:fill="EBEBEB"/>
      </w:tcPr>
    </w:tblStylePr>
    <w:tblStylePr w:type="band2Horz">
      <w:tblPr/>
      <w:tcPr>
        <w:shd w:val="clear" w:color="auto" w:fill="FFFFFF"/>
      </w:tcPr>
    </w:tblStylePr>
  </w:style>
  <w:style w:type="paragraph" w:customStyle="1" w:styleId="Source">
    <w:name w:val="Source"/>
    <w:basedOn w:val="Normal"/>
    <w:next w:val="Note"/>
    <w:link w:val="SourceChar"/>
    <w:uiPriority w:val="51"/>
    <w:qFormat/>
    <w:rsid w:val="00086234"/>
    <w:pPr>
      <w:keepLines/>
      <w:spacing w:before="20" w:after="60" w:line="240" w:lineRule="auto"/>
    </w:pPr>
    <w:rPr>
      <w:rFonts w:asciiTheme="majorHAnsi" w:hAnsiTheme="majorHAnsi"/>
      <w:i/>
      <w:spacing w:val="-2"/>
      <w:sz w:val="14"/>
    </w:rPr>
  </w:style>
  <w:style w:type="paragraph" w:customStyle="1" w:styleId="Note">
    <w:name w:val="Note"/>
    <w:basedOn w:val="Normal"/>
    <w:link w:val="NoteChar"/>
    <w:uiPriority w:val="52"/>
    <w:qFormat/>
    <w:rsid w:val="00086234"/>
    <w:pPr>
      <w:keepLines/>
      <w:spacing w:before="20" w:after="0" w:line="240" w:lineRule="auto"/>
      <w:ind w:left="284" w:hanging="284"/>
      <w:contextualSpacing/>
    </w:pPr>
    <w:rPr>
      <w:rFonts w:asciiTheme="majorHAnsi" w:hAnsiTheme="majorHAnsi"/>
      <w:i/>
      <w:spacing w:val="-2"/>
      <w:sz w:val="14"/>
    </w:rPr>
  </w:style>
  <w:style w:type="paragraph" w:customStyle="1" w:styleId="NoteDash">
    <w:name w:val="Note Dash"/>
    <w:basedOn w:val="Note"/>
    <w:next w:val="Note"/>
    <w:uiPriority w:val="53"/>
    <w:rsid w:val="00086234"/>
    <w:pPr>
      <w:numPr>
        <w:numId w:val="2"/>
      </w:numPr>
      <w:tabs>
        <w:tab w:val="num" w:pos="360"/>
      </w:tabs>
      <w:ind w:left="568" w:hanging="284"/>
    </w:pPr>
  </w:style>
  <w:style w:type="character" w:customStyle="1" w:styleId="NoteChar">
    <w:name w:val="Note Char"/>
    <w:basedOn w:val="DefaultParagraphFont"/>
    <w:link w:val="Note"/>
    <w:uiPriority w:val="52"/>
    <w:rsid w:val="00086234"/>
    <w:rPr>
      <w:rFonts w:asciiTheme="majorHAnsi" w:hAnsiTheme="majorHAnsi"/>
      <w:i/>
      <w:spacing w:val="-2"/>
      <w:sz w:val="14"/>
    </w:rPr>
  </w:style>
  <w:style w:type="paragraph" w:customStyle="1" w:styleId="ControlledEntitiesDepartment">
    <w:name w:val="Controlled Entities Department"/>
    <w:basedOn w:val="Normal"/>
    <w:next w:val="Normal"/>
    <w:uiPriority w:val="97"/>
    <w:qFormat/>
    <w:rsid w:val="00086234"/>
    <w:pPr>
      <w:keepLines/>
      <w:shd w:val="clear" w:color="auto" w:fill="D9D9D9" w:themeFill="background1" w:themeFillShade="D9"/>
      <w:spacing w:before="40" w:after="0" w:line="240" w:lineRule="auto"/>
    </w:pPr>
    <w:rPr>
      <w:rFonts w:asciiTheme="majorHAnsi" w:eastAsia="Times New Roman" w:hAnsiTheme="majorHAnsi" w:cs="Times New Roman"/>
      <w:b/>
      <w:bCs/>
      <w:color w:val="000000" w:themeColor="text1"/>
      <w:sz w:val="18"/>
      <w:szCs w:val="18"/>
      <w:lang w:eastAsia="en-AU"/>
    </w:rPr>
  </w:style>
  <w:style w:type="paragraph" w:customStyle="1" w:styleId="ControlledEntitiesSector">
    <w:name w:val="Controlled Entities Sector"/>
    <w:basedOn w:val="Normal"/>
    <w:next w:val="ControlledEntitiesDepartment"/>
    <w:uiPriority w:val="98"/>
    <w:qFormat/>
    <w:rsid w:val="00086234"/>
    <w:pPr>
      <w:keepLines/>
      <w:shd w:val="clear" w:color="auto" w:fill="000000" w:themeFill="text1"/>
      <w:spacing w:before="20" w:after="60" w:line="240" w:lineRule="auto"/>
      <w:jc w:val="center"/>
    </w:pPr>
    <w:rPr>
      <w:rFonts w:asciiTheme="majorHAnsi" w:eastAsia="Times New Roman" w:hAnsiTheme="majorHAnsi" w:cstheme="minorHAnsi"/>
      <w:b/>
      <w:i/>
      <w:color w:val="FFFFFF" w:themeColor="background1"/>
      <w:sz w:val="18"/>
      <w:lang w:eastAsia="en-AU"/>
    </w:rPr>
  </w:style>
  <w:style w:type="character" w:customStyle="1" w:styleId="SourceChar">
    <w:name w:val="Source Char"/>
    <w:link w:val="Source"/>
    <w:uiPriority w:val="51"/>
    <w:locked/>
    <w:rsid w:val="00086234"/>
    <w:rPr>
      <w:rFonts w:asciiTheme="majorHAnsi" w:hAnsiTheme="majorHAnsi"/>
      <w:i/>
      <w:spacing w:val="-2"/>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Quinn (DTF)</dc:creator>
  <cp:keywords/>
  <dc:description/>
  <cp:lastModifiedBy>Omar Hassoun (DTF)</cp:lastModifiedBy>
  <cp:revision>9</cp:revision>
  <cp:lastPrinted>2019-05-22T04:26:00Z</cp:lastPrinted>
  <dcterms:created xsi:type="dcterms:W3CDTF">2018-12-10T05:46:00Z</dcterms:created>
  <dcterms:modified xsi:type="dcterms:W3CDTF">2019-05-22T05:16:00Z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fee29844-e100-4ffd-80fb-0d0daa61faae</vt:lpwstr>
  </property>
  <property fmtid="{D5CDD505-2E9C-101B-9397-08002B2CF9AE}" pid="3" name="Classification">
    <vt:lpwstr>Do Not Mark</vt:lpwstr>
  </property>
</Properties>
</file>