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ayout w:type="fixed"/>
        <w:tblLook w:val="0620" w:firstRow="1" w:lastRow="0" w:firstColumn="0" w:lastColumn="0" w:noHBand="1" w:noVBand="1"/>
      </w:tblPr>
      <w:tblGrid>
        <w:gridCol w:w="2293"/>
        <w:gridCol w:w="270"/>
        <w:gridCol w:w="540"/>
        <w:gridCol w:w="6134"/>
      </w:tblGrid>
      <w:tr w:rsidR="006C78FB" w:rsidRPr="00231BD3" w14:paraId="0F19FA21" w14:textId="77777777" w:rsidTr="00FF051E">
        <w:trPr>
          <w:cnfStyle w:val="100000000000" w:firstRow="1" w:lastRow="0" w:firstColumn="0" w:lastColumn="0" w:oddVBand="0" w:evenVBand="0" w:oddHBand="0" w:evenHBand="0" w:firstRowFirstColumn="0" w:firstRowLastColumn="0" w:lastRowFirstColumn="0" w:lastRowLastColumn="0"/>
        </w:trPr>
        <w:tc>
          <w:tcPr>
            <w:tcW w:w="2293" w:type="dxa"/>
          </w:tcPr>
          <w:p w14:paraId="28ACA41A" w14:textId="54C40CB3" w:rsidR="006C78FB" w:rsidRPr="009D514C" w:rsidRDefault="006C78FB" w:rsidP="00AD6BE8">
            <w:pPr>
              <w:pStyle w:val="FRDNumber"/>
              <w:rPr>
                <w:b/>
                <w:bCs/>
                <w:i w:val="0"/>
                <w:iCs/>
              </w:rPr>
            </w:pPr>
            <w:r w:rsidRPr="009D514C">
              <w:rPr>
                <w:b/>
                <w:bCs/>
                <w:iCs/>
              </w:rPr>
              <w:t xml:space="preserve">FRD </w:t>
            </w:r>
            <w:r w:rsidR="00516FBF" w:rsidRPr="009D514C">
              <w:rPr>
                <w:b/>
                <w:bCs/>
                <w:iCs/>
              </w:rPr>
              <w:t>119</w:t>
            </w:r>
          </w:p>
        </w:tc>
        <w:tc>
          <w:tcPr>
            <w:tcW w:w="270" w:type="dxa"/>
          </w:tcPr>
          <w:p w14:paraId="02203564" w14:textId="77777777" w:rsidR="006C78FB" w:rsidRPr="00231BD3" w:rsidRDefault="006C78FB" w:rsidP="00AD6BE8"/>
        </w:tc>
        <w:tc>
          <w:tcPr>
            <w:tcW w:w="540" w:type="dxa"/>
          </w:tcPr>
          <w:p w14:paraId="28ACFCCB" w14:textId="77777777" w:rsidR="006C78FB" w:rsidRPr="00231BD3" w:rsidRDefault="006C78FB" w:rsidP="00AD6BE8"/>
        </w:tc>
        <w:tc>
          <w:tcPr>
            <w:tcW w:w="6134" w:type="dxa"/>
          </w:tcPr>
          <w:p w14:paraId="0F6ACBD2" w14:textId="5CBF3C81" w:rsidR="006C78FB" w:rsidRPr="009D514C" w:rsidRDefault="00516FBF" w:rsidP="00AD6BE8">
            <w:pPr>
              <w:pStyle w:val="FRDHeader"/>
              <w:rPr>
                <w:b/>
                <w:bCs/>
                <w:i w:val="0"/>
                <w:iCs/>
              </w:rPr>
            </w:pPr>
            <w:r w:rsidRPr="009D514C">
              <w:rPr>
                <w:b/>
                <w:bCs/>
                <w:iCs/>
              </w:rPr>
              <w:t>Transfers through contributed capital</w:t>
            </w:r>
            <w:r w:rsidR="007E1486" w:rsidRPr="009D514C">
              <w:rPr>
                <w:b/>
                <w:bCs/>
                <w:iCs/>
              </w:rPr>
              <w:t xml:space="preserve"> </w:t>
            </w:r>
            <w:r w:rsidR="00215A48">
              <w:rPr>
                <w:b/>
                <w:bCs/>
                <w:i w:val="0"/>
                <w:iCs/>
              </w:rPr>
              <w:t>(</w:t>
            </w:r>
            <w:r w:rsidR="00946E26">
              <w:rPr>
                <w:b/>
                <w:bCs/>
                <w:iCs/>
              </w:rPr>
              <w:t>May 2026</w:t>
            </w:r>
            <w:r w:rsidR="00215A48">
              <w:rPr>
                <w:b/>
                <w:bCs/>
                <w:i w:val="0"/>
                <w:iCs/>
              </w:rPr>
              <w:t>)</w:t>
            </w:r>
          </w:p>
        </w:tc>
      </w:tr>
      <w:tr w:rsidR="006C78FB" w:rsidRPr="00E10ADB" w14:paraId="0C6AA410" w14:textId="77777777" w:rsidTr="00AD6BE8">
        <w:trPr>
          <w:trHeight w:hRule="exact" w:val="120"/>
        </w:trPr>
        <w:tc>
          <w:tcPr>
            <w:tcW w:w="2293" w:type="dxa"/>
          </w:tcPr>
          <w:p w14:paraId="729D785C" w14:textId="77777777" w:rsidR="006C78FB" w:rsidRPr="008A601F" w:rsidRDefault="006C78FB" w:rsidP="00AD6BE8">
            <w:pPr>
              <w:pStyle w:val="Tabletext"/>
            </w:pPr>
          </w:p>
        </w:tc>
        <w:tc>
          <w:tcPr>
            <w:tcW w:w="270" w:type="dxa"/>
          </w:tcPr>
          <w:p w14:paraId="1E1F605A" w14:textId="77777777" w:rsidR="006C78FB" w:rsidRPr="008A601F" w:rsidRDefault="006C78FB" w:rsidP="006D66F9">
            <w:pPr>
              <w:pStyle w:val="Normalgrey"/>
            </w:pPr>
          </w:p>
        </w:tc>
        <w:tc>
          <w:tcPr>
            <w:tcW w:w="540" w:type="dxa"/>
          </w:tcPr>
          <w:p w14:paraId="34C02B25" w14:textId="77777777" w:rsidR="006C78FB" w:rsidRPr="008A601F" w:rsidRDefault="006C78FB" w:rsidP="00AD6BE8"/>
        </w:tc>
        <w:tc>
          <w:tcPr>
            <w:tcW w:w="6134" w:type="dxa"/>
          </w:tcPr>
          <w:p w14:paraId="4B440B19" w14:textId="77777777" w:rsidR="006C78FB" w:rsidRPr="008A601F" w:rsidRDefault="006C78FB" w:rsidP="00AD6BE8"/>
        </w:tc>
      </w:tr>
      <w:tr w:rsidR="005828FE" w:rsidRPr="005828FE" w14:paraId="1100AB3A" w14:textId="77777777" w:rsidTr="00AD6BE8">
        <w:tc>
          <w:tcPr>
            <w:tcW w:w="2293" w:type="dxa"/>
          </w:tcPr>
          <w:p w14:paraId="7224B574" w14:textId="77777777" w:rsidR="006C78FB" w:rsidRPr="005828FE" w:rsidRDefault="006C78FB" w:rsidP="00382EE1">
            <w:pPr>
              <w:pStyle w:val="Normalgrey"/>
            </w:pPr>
            <w:r w:rsidRPr="005828FE">
              <w:t>Purpose</w:t>
            </w:r>
          </w:p>
        </w:tc>
        <w:tc>
          <w:tcPr>
            <w:tcW w:w="270" w:type="dxa"/>
          </w:tcPr>
          <w:p w14:paraId="05521376" w14:textId="77777777" w:rsidR="006C78FB" w:rsidRPr="005828FE" w:rsidRDefault="006C78FB" w:rsidP="00286F9A">
            <w:pPr>
              <w:pStyle w:val="Normalgrey"/>
            </w:pPr>
          </w:p>
        </w:tc>
        <w:tc>
          <w:tcPr>
            <w:tcW w:w="540" w:type="dxa"/>
          </w:tcPr>
          <w:p w14:paraId="38C15422" w14:textId="77777777" w:rsidR="006C78FB" w:rsidRPr="005828FE" w:rsidRDefault="00516FBF" w:rsidP="006519F6">
            <w:pPr>
              <w:pStyle w:val="Normalgrey"/>
            </w:pPr>
            <w:r>
              <w:t>1.1</w:t>
            </w:r>
          </w:p>
        </w:tc>
        <w:tc>
          <w:tcPr>
            <w:tcW w:w="6134" w:type="dxa"/>
          </w:tcPr>
          <w:p w14:paraId="6BC57404" w14:textId="77777777" w:rsidR="006C78FB" w:rsidRPr="005828FE" w:rsidRDefault="00516FBF" w:rsidP="00382EE1">
            <w:pPr>
              <w:pStyle w:val="Normalgrey"/>
            </w:pPr>
            <w:r w:rsidRPr="00516FBF">
              <w:t>To prescribe the requirements for transfers as contributions by or distributions to owners.</w:t>
            </w:r>
          </w:p>
        </w:tc>
      </w:tr>
      <w:tr w:rsidR="006C78FB" w:rsidRPr="005828FE" w14:paraId="2ADF75EC" w14:textId="77777777" w:rsidTr="00963C94">
        <w:tc>
          <w:tcPr>
            <w:tcW w:w="2293" w:type="dxa"/>
            <w:shd w:val="clear" w:color="auto" w:fill="F2F2F2" w:themeFill="background1" w:themeFillShade="F2"/>
          </w:tcPr>
          <w:p w14:paraId="61B58797" w14:textId="77777777" w:rsidR="006C78FB" w:rsidRPr="005828FE" w:rsidRDefault="006C78FB" w:rsidP="00A516DE">
            <w:pPr>
              <w:pStyle w:val="Normalbold"/>
            </w:pPr>
            <w:r w:rsidRPr="005828FE">
              <w:t>Application</w:t>
            </w:r>
          </w:p>
        </w:tc>
        <w:tc>
          <w:tcPr>
            <w:tcW w:w="270" w:type="dxa"/>
            <w:shd w:val="clear" w:color="auto" w:fill="F2F2F2" w:themeFill="background1" w:themeFillShade="F2"/>
          </w:tcPr>
          <w:p w14:paraId="0C1F9C8D" w14:textId="77777777" w:rsidR="006C78FB" w:rsidRPr="008B2A17" w:rsidRDefault="006C78FB" w:rsidP="00286F9A">
            <w:pPr>
              <w:pStyle w:val="Normalgrey"/>
            </w:pPr>
          </w:p>
        </w:tc>
        <w:tc>
          <w:tcPr>
            <w:tcW w:w="540" w:type="dxa"/>
            <w:shd w:val="clear" w:color="auto" w:fill="F2F2F2" w:themeFill="background1" w:themeFillShade="F2"/>
          </w:tcPr>
          <w:p w14:paraId="33C587E5" w14:textId="77777777" w:rsidR="006C78FB" w:rsidRPr="009D514C" w:rsidRDefault="00516FBF" w:rsidP="00286F9A">
            <w:pPr>
              <w:pStyle w:val="Normalgrey"/>
              <w:rPr>
                <w:b/>
                <w:bCs/>
                <w:color w:val="auto"/>
              </w:rPr>
            </w:pPr>
            <w:r w:rsidRPr="009D514C">
              <w:rPr>
                <w:b/>
                <w:bCs/>
                <w:color w:val="auto"/>
              </w:rPr>
              <w:t>2.1</w:t>
            </w:r>
          </w:p>
        </w:tc>
        <w:tc>
          <w:tcPr>
            <w:tcW w:w="6134" w:type="dxa"/>
            <w:shd w:val="clear" w:color="auto" w:fill="F2F2F2" w:themeFill="background1" w:themeFillShade="F2"/>
          </w:tcPr>
          <w:p w14:paraId="473AC082" w14:textId="7ACE7837" w:rsidR="00B21E65" w:rsidRPr="009D514C" w:rsidRDefault="00215A48" w:rsidP="00A516DE">
            <w:pPr>
              <w:pStyle w:val="Normalbold"/>
              <w:rPr>
                <w:bCs/>
              </w:rPr>
            </w:pPr>
            <w:r w:rsidRPr="009D514C">
              <w:rPr>
                <w:bCs/>
              </w:rPr>
              <w:t>A</w:t>
            </w:r>
            <w:r w:rsidR="00516FBF" w:rsidRPr="009D514C">
              <w:rPr>
                <w:bCs/>
              </w:rPr>
              <w:t xml:space="preserve">pplies to </w:t>
            </w:r>
            <w:r w:rsidRPr="009D514C">
              <w:rPr>
                <w:bCs/>
              </w:rPr>
              <w:t xml:space="preserve">all entities defined as either </w:t>
            </w:r>
            <w:r w:rsidR="00B21E65" w:rsidRPr="009D514C">
              <w:rPr>
                <w:bCs/>
              </w:rPr>
              <w:t xml:space="preserve">a public body or a </w:t>
            </w:r>
            <w:r w:rsidR="00516FBF" w:rsidRPr="009D514C">
              <w:rPr>
                <w:bCs/>
              </w:rPr>
              <w:t>department</w:t>
            </w:r>
            <w:r w:rsidR="00B21E65" w:rsidRPr="009D514C">
              <w:rPr>
                <w:bCs/>
              </w:rPr>
              <w:t xml:space="preserve"> under s</w:t>
            </w:r>
            <w:r w:rsidR="00516FBF" w:rsidRPr="009D514C">
              <w:rPr>
                <w:bCs/>
              </w:rPr>
              <w:t xml:space="preserve">ection 3 of the </w:t>
            </w:r>
            <w:r w:rsidR="00516FBF" w:rsidRPr="009D514C">
              <w:rPr>
                <w:bCs/>
                <w:i/>
              </w:rPr>
              <w:t>Financial Management Act 1994</w:t>
            </w:r>
            <w:r w:rsidR="00516FBF" w:rsidRPr="009D514C">
              <w:rPr>
                <w:bCs/>
              </w:rPr>
              <w:t xml:space="preserve">. </w:t>
            </w:r>
          </w:p>
          <w:p w14:paraId="3BFB1849" w14:textId="6F631573" w:rsidR="006C78FB" w:rsidRPr="00516FBF" w:rsidRDefault="00516FBF" w:rsidP="00A516DE">
            <w:pPr>
              <w:pStyle w:val="Normalbold"/>
              <w:rPr>
                <w:b w:val="0"/>
              </w:rPr>
            </w:pPr>
            <w:r w:rsidRPr="009D514C">
              <w:rPr>
                <w:bCs/>
              </w:rPr>
              <w:t xml:space="preserve">A public-sector entity classified as a public financial corporation or a public non-financial corporation within the latest </w:t>
            </w:r>
            <w:r w:rsidRPr="009D514C">
              <w:rPr>
                <w:bCs/>
                <w:i/>
              </w:rPr>
              <w:t>Financial Report for the State of Victoria</w:t>
            </w:r>
            <w:r w:rsidRPr="009D514C">
              <w:rPr>
                <w:bCs/>
              </w:rPr>
              <w:t xml:space="preserve"> that does not meet the definition of a ‘public body’ is encouraged to refer to this FRD for guidance.</w:t>
            </w:r>
          </w:p>
        </w:tc>
      </w:tr>
      <w:tr w:rsidR="00516FBF" w:rsidRPr="005828FE" w14:paraId="73ED6EB0" w14:textId="77777777" w:rsidTr="00AD6BE8">
        <w:tc>
          <w:tcPr>
            <w:tcW w:w="2293" w:type="dxa"/>
            <w:shd w:val="clear" w:color="auto" w:fill="F2F2F2" w:themeFill="background1" w:themeFillShade="F2"/>
          </w:tcPr>
          <w:p w14:paraId="24585DD9" w14:textId="297F0FF7" w:rsidR="00516FBF" w:rsidRPr="005828FE" w:rsidRDefault="00B21E65" w:rsidP="00AD6BE8">
            <w:pPr>
              <w:pStyle w:val="Normalbold"/>
            </w:pPr>
            <w:r w:rsidRPr="005828FE">
              <w:t>Operative date</w:t>
            </w:r>
          </w:p>
        </w:tc>
        <w:tc>
          <w:tcPr>
            <w:tcW w:w="270" w:type="dxa"/>
            <w:shd w:val="clear" w:color="auto" w:fill="F2F2F2" w:themeFill="background1" w:themeFillShade="F2"/>
          </w:tcPr>
          <w:p w14:paraId="6D1504AD" w14:textId="77777777" w:rsidR="00516FBF" w:rsidRPr="008B2A17" w:rsidRDefault="00516FBF" w:rsidP="00286F9A">
            <w:pPr>
              <w:pStyle w:val="Normalgrey"/>
            </w:pPr>
          </w:p>
        </w:tc>
        <w:tc>
          <w:tcPr>
            <w:tcW w:w="540" w:type="dxa"/>
            <w:shd w:val="clear" w:color="auto" w:fill="F2F2F2" w:themeFill="background1" w:themeFillShade="F2"/>
          </w:tcPr>
          <w:p w14:paraId="5A615F8D" w14:textId="6DD1EEEA" w:rsidR="00516FBF" w:rsidRPr="009D514C" w:rsidRDefault="00516FBF" w:rsidP="00286F9A">
            <w:pPr>
              <w:pStyle w:val="Normalgrey"/>
              <w:rPr>
                <w:b/>
                <w:bCs/>
                <w:color w:val="auto"/>
              </w:rPr>
            </w:pPr>
            <w:r w:rsidRPr="009D514C">
              <w:rPr>
                <w:b/>
                <w:bCs/>
                <w:color w:val="auto"/>
              </w:rPr>
              <w:t>3.</w:t>
            </w:r>
            <w:r w:rsidR="00B21E65" w:rsidRPr="009D514C">
              <w:rPr>
                <w:b/>
                <w:bCs/>
                <w:color w:val="auto"/>
              </w:rPr>
              <w:t>1</w:t>
            </w:r>
          </w:p>
        </w:tc>
        <w:tc>
          <w:tcPr>
            <w:tcW w:w="6134" w:type="dxa"/>
            <w:shd w:val="clear" w:color="auto" w:fill="F2F2F2" w:themeFill="background1" w:themeFillShade="F2"/>
          </w:tcPr>
          <w:p w14:paraId="3D25F324" w14:textId="2D71FE57" w:rsidR="00516FBF" w:rsidRPr="005828FE" w:rsidRDefault="00B21E65" w:rsidP="009D514C">
            <w:pPr>
              <w:pStyle w:val="Normalbold"/>
              <w:spacing w:after="0"/>
            </w:pPr>
            <w:r>
              <w:t xml:space="preserve">Annual </w:t>
            </w:r>
            <w:r w:rsidR="00516FBF" w:rsidRPr="00516FBF">
              <w:t>reporting periods commencing on or after 1 January 2013</w:t>
            </w:r>
            <w:r>
              <w:t>.</w:t>
            </w:r>
            <w:r w:rsidR="00516FBF" w:rsidRPr="00516FBF">
              <w:t xml:space="preserve"> </w:t>
            </w:r>
          </w:p>
        </w:tc>
      </w:tr>
      <w:tr w:rsidR="00B21E65" w:rsidRPr="005828FE" w14:paraId="33ACDBA2" w14:textId="77777777" w:rsidTr="00AD6BE8">
        <w:tc>
          <w:tcPr>
            <w:tcW w:w="2293" w:type="dxa"/>
            <w:shd w:val="clear" w:color="auto" w:fill="F2F2F2" w:themeFill="background1" w:themeFillShade="F2"/>
          </w:tcPr>
          <w:p w14:paraId="25058C0F" w14:textId="77777777" w:rsidR="00B21E65" w:rsidRPr="005828FE" w:rsidRDefault="00B21E65" w:rsidP="00AD6BE8">
            <w:pPr>
              <w:pStyle w:val="Normalbold"/>
            </w:pPr>
          </w:p>
        </w:tc>
        <w:tc>
          <w:tcPr>
            <w:tcW w:w="270" w:type="dxa"/>
            <w:shd w:val="clear" w:color="auto" w:fill="F2F2F2" w:themeFill="background1" w:themeFillShade="F2"/>
          </w:tcPr>
          <w:p w14:paraId="60DAD9CA" w14:textId="77777777" w:rsidR="00B21E65" w:rsidRPr="008B2A17" w:rsidRDefault="00B21E65" w:rsidP="00286F9A">
            <w:pPr>
              <w:pStyle w:val="Normalgrey"/>
            </w:pPr>
          </w:p>
        </w:tc>
        <w:tc>
          <w:tcPr>
            <w:tcW w:w="540" w:type="dxa"/>
            <w:shd w:val="clear" w:color="auto" w:fill="F2F2F2" w:themeFill="background1" w:themeFillShade="F2"/>
          </w:tcPr>
          <w:p w14:paraId="46E1F904" w14:textId="7DBC17E6" w:rsidR="00B21E65" w:rsidRPr="009D514C" w:rsidRDefault="00B21E65" w:rsidP="00286F9A">
            <w:pPr>
              <w:pStyle w:val="Normalgrey"/>
              <w:rPr>
                <w:b/>
                <w:bCs/>
                <w:color w:val="auto"/>
              </w:rPr>
            </w:pPr>
            <w:r w:rsidRPr="009D514C">
              <w:rPr>
                <w:b/>
                <w:bCs/>
                <w:color w:val="auto"/>
              </w:rPr>
              <w:t>3.2</w:t>
            </w:r>
          </w:p>
        </w:tc>
        <w:tc>
          <w:tcPr>
            <w:tcW w:w="6134" w:type="dxa"/>
            <w:shd w:val="clear" w:color="auto" w:fill="F2F2F2" w:themeFill="background1" w:themeFillShade="F2"/>
          </w:tcPr>
          <w:p w14:paraId="661AF81A" w14:textId="67299C8D" w:rsidR="00B21E65" w:rsidRPr="00B21E65" w:rsidRDefault="00B21E65" w:rsidP="00B21E65">
            <w:pPr>
              <w:pStyle w:val="Normalbold"/>
              <w:spacing w:after="0"/>
            </w:pPr>
            <w:r>
              <w:t xml:space="preserve">FRD 119A </w:t>
            </w:r>
            <w:r>
              <w:rPr>
                <w:i/>
                <w:iCs/>
              </w:rPr>
              <w:t xml:space="preserve">Transfers through contributed capital </w:t>
            </w:r>
            <w:r>
              <w:t xml:space="preserve">is renamed to FRD 119 </w:t>
            </w:r>
            <w:r>
              <w:rPr>
                <w:i/>
                <w:iCs/>
              </w:rPr>
              <w:t xml:space="preserve">Transfers through contributed capital </w:t>
            </w:r>
            <w:r>
              <w:t>effective 1 April 2022.</w:t>
            </w:r>
          </w:p>
        </w:tc>
      </w:tr>
      <w:tr w:rsidR="00516FBF" w:rsidRPr="005828FE" w14:paraId="32972E3E" w14:textId="77777777" w:rsidTr="00AD6BE8">
        <w:tc>
          <w:tcPr>
            <w:tcW w:w="2293" w:type="dxa"/>
            <w:shd w:val="clear" w:color="auto" w:fill="F2F2F2" w:themeFill="background1" w:themeFillShade="F2"/>
          </w:tcPr>
          <w:p w14:paraId="4A16AC84" w14:textId="79B822EC" w:rsidR="00516FBF" w:rsidRPr="005828FE" w:rsidRDefault="00215A48" w:rsidP="00516FBF">
            <w:pPr>
              <w:pStyle w:val="Normalbold"/>
            </w:pPr>
            <w:r w:rsidRPr="005828FE">
              <w:t>Requirement</w:t>
            </w:r>
            <w:r>
              <w:t>s</w:t>
            </w:r>
          </w:p>
        </w:tc>
        <w:tc>
          <w:tcPr>
            <w:tcW w:w="270" w:type="dxa"/>
            <w:shd w:val="clear" w:color="auto" w:fill="F2F2F2" w:themeFill="background1" w:themeFillShade="F2"/>
          </w:tcPr>
          <w:p w14:paraId="62E51FE3" w14:textId="77777777" w:rsidR="00516FBF" w:rsidRPr="008B2A17" w:rsidRDefault="00516FBF" w:rsidP="00516FBF">
            <w:pPr>
              <w:pStyle w:val="Normalgrey"/>
            </w:pPr>
          </w:p>
        </w:tc>
        <w:tc>
          <w:tcPr>
            <w:tcW w:w="540" w:type="dxa"/>
            <w:shd w:val="clear" w:color="auto" w:fill="F2F2F2" w:themeFill="background1" w:themeFillShade="F2"/>
          </w:tcPr>
          <w:p w14:paraId="0B0542CD" w14:textId="77777777" w:rsidR="00516FBF" w:rsidRPr="009D514C" w:rsidRDefault="00516FBF" w:rsidP="00516FBF">
            <w:pPr>
              <w:pStyle w:val="Normalgrey"/>
              <w:rPr>
                <w:b/>
                <w:bCs/>
                <w:color w:val="auto"/>
              </w:rPr>
            </w:pPr>
            <w:r w:rsidRPr="009D514C">
              <w:rPr>
                <w:b/>
                <w:bCs/>
                <w:color w:val="auto"/>
              </w:rPr>
              <w:t>4.1</w:t>
            </w:r>
          </w:p>
        </w:tc>
        <w:tc>
          <w:tcPr>
            <w:tcW w:w="6134" w:type="dxa"/>
            <w:shd w:val="clear" w:color="auto" w:fill="F2F2F2" w:themeFill="background1" w:themeFillShade="F2"/>
          </w:tcPr>
          <w:p w14:paraId="5FC03F3A" w14:textId="77777777" w:rsidR="00215A48" w:rsidRPr="009D514C" w:rsidRDefault="00215A48" w:rsidP="00516FBF">
            <w:pPr>
              <w:rPr>
                <w:u w:val="single"/>
              </w:rPr>
            </w:pPr>
            <w:r w:rsidRPr="009D514C">
              <w:rPr>
                <w:b/>
                <w:u w:val="single"/>
              </w:rPr>
              <w:t>General information</w:t>
            </w:r>
            <w:r w:rsidRPr="009D514C">
              <w:rPr>
                <w:u w:val="single"/>
              </w:rPr>
              <w:t xml:space="preserve"> </w:t>
            </w:r>
          </w:p>
          <w:p w14:paraId="63E06532" w14:textId="66622F5F" w:rsidR="00516FBF" w:rsidRPr="009D514C" w:rsidRDefault="00516FBF" w:rsidP="00516FBF">
            <w:pPr>
              <w:rPr>
                <w:b/>
                <w:bCs/>
              </w:rPr>
            </w:pPr>
            <w:r w:rsidRPr="009D514C">
              <w:rPr>
                <w:b/>
                <w:bCs/>
              </w:rPr>
              <w:t xml:space="preserve">To recognise a transfer as contribution by owners, the transfer must meet the definition of contribution by owners in accordance with AASB 1004 </w:t>
            </w:r>
            <w:r w:rsidRPr="009D514C">
              <w:rPr>
                <w:b/>
                <w:bCs/>
                <w:i/>
              </w:rPr>
              <w:t>Contributions</w:t>
            </w:r>
            <w:r w:rsidRPr="009D514C">
              <w:rPr>
                <w:b/>
                <w:bCs/>
              </w:rPr>
              <w:t>.</w:t>
            </w:r>
          </w:p>
        </w:tc>
      </w:tr>
      <w:tr w:rsidR="00516FBF" w:rsidRPr="005828FE" w14:paraId="688EBF36" w14:textId="77777777" w:rsidTr="00AD6BE8">
        <w:tc>
          <w:tcPr>
            <w:tcW w:w="2293" w:type="dxa"/>
            <w:shd w:val="clear" w:color="auto" w:fill="F2F2F2" w:themeFill="background1" w:themeFillShade="F2"/>
          </w:tcPr>
          <w:p w14:paraId="6CD5DCC2" w14:textId="77777777" w:rsidR="00516FBF" w:rsidRPr="005828FE" w:rsidRDefault="00516FBF" w:rsidP="00516FBF">
            <w:pPr>
              <w:pStyle w:val="Normalbold"/>
            </w:pPr>
          </w:p>
        </w:tc>
        <w:tc>
          <w:tcPr>
            <w:tcW w:w="270" w:type="dxa"/>
            <w:shd w:val="clear" w:color="auto" w:fill="F2F2F2" w:themeFill="background1" w:themeFillShade="F2"/>
          </w:tcPr>
          <w:p w14:paraId="6382EF51" w14:textId="77777777" w:rsidR="00516FBF" w:rsidRPr="008B2A17" w:rsidRDefault="00516FBF" w:rsidP="00516FBF">
            <w:pPr>
              <w:pStyle w:val="Normalgrey"/>
            </w:pPr>
          </w:p>
        </w:tc>
        <w:tc>
          <w:tcPr>
            <w:tcW w:w="540" w:type="dxa"/>
            <w:shd w:val="clear" w:color="auto" w:fill="F2F2F2" w:themeFill="background1" w:themeFillShade="F2"/>
          </w:tcPr>
          <w:p w14:paraId="3123E58C" w14:textId="0937143E" w:rsidR="00516FBF" w:rsidRPr="009D514C" w:rsidRDefault="00516FBF" w:rsidP="00516FBF">
            <w:pPr>
              <w:pStyle w:val="Normalgrey"/>
              <w:rPr>
                <w:b/>
                <w:bCs/>
                <w:color w:val="auto"/>
              </w:rPr>
            </w:pPr>
          </w:p>
        </w:tc>
        <w:tc>
          <w:tcPr>
            <w:tcW w:w="6134" w:type="dxa"/>
            <w:shd w:val="clear" w:color="auto" w:fill="F2F2F2" w:themeFill="background1" w:themeFillShade="F2"/>
          </w:tcPr>
          <w:p w14:paraId="4929EDA5" w14:textId="77777777" w:rsidR="00516FBF" w:rsidRPr="009D514C" w:rsidRDefault="00516FBF" w:rsidP="00516FBF">
            <w:pPr>
              <w:rPr>
                <w:b/>
                <w:bCs/>
              </w:rPr>
            </w:pPr>
            <w:r w:rsidRPr="009D514C">
              <w:rPr>
                <w:b/>
                <w:bCs/>
              </w:rPr>
              <w:t xml:space="preserve">Consistent with AASB Interpretation 1038 </w:t>
            </w:r>
            <w:r w:rsidRPr="009D514C">
              <w:rPr>
                <w:b/>
                <w:bCs/>
                <w:i/>
              </w:rPr>
              <w:t>Contributions by Owners made to Wholly–owned Public Sector Entities</w:t>
            </w:r>
            <w:r w:rsidRPr="009D514C">
              <w:rPr>
                <w:b/>
                <w:bCs/>
              </w:rPr>
              <w:t>, if a transfer of assets or net assets is to be accounted for as a contribution by owners by the transferee, then the transferor must classify the transfer as a distribution to owners.</w:t>
            </w:r>
          </w:p>
        </w:tc>
      </w:tr>
      <w:tr w:rsidR="00516FBF" w:rsidRPr="005828FE" w14:paraId="3A891525" w14:textId="77777777" w:rsidTr="00AD6BE8">
        <w:tc>
          <w:tcPr>
            <w:tcW w:w="2293" w:type="dxa"/>
            <w:shd w:val="clear" w:color="auto" w:fill="F2F2F2" w:themeFill="background1" w:themeFillShade="F2"/>
          </w:tcPr>
          <w:p w14:paraId="474A6684" w14:textId="77777777" w:rsidR="00516FBF" w:rsidRPr="005828FE" w:rsidRDefault="00516FBF" w:rsidP="00516FBF">
            <w:pPr>
              <w:pStyle w:val="Normalbold"/>
            </w:pPr>
          </w:p>
        </w:tc>
        <w:tc>
          <w:tcPr>
            <w:tcW w:w="270" w:type="dxa"/>
            <w:shd w:val="clear" w:color="auto" w:fill="F2F2F2" w:themeFill="background1" w:themeFillShade="F2"/>
          </w:tcPr>
          <w:p w14:paraId="0C4B9F03" w14:textId="77777777" w:rsidR="00516FBF" w:rsidRPr="008B2A17" w:rsidRDefault="00516FBF" w:rsidP="00516FBF">
            <w:pPr>
              <w:pStyle w:val="Normalgrey"/>
            </w:pPr>
          </w:p>
        </w:tc>
        <w:tc>
          <w:tcPr>
            <w:tcW w:w="540" w:type="dxa"/>
            <w:shd w:val="clear" w:color="auto" w:fill="F2F2F2" w:themeFill="background1" w:themeFillShade="F2"/>
          </w:tcPr>
          <w:p w14:paraId="4C1FED63" w14:textId="211050B0" w:rsidR="00516FBF" w:rsidRPr="009D514C" w:rsidRDefault="00516FBF" w:rsidP="00516FBF">
            <w:pPr>
              <w:pStyle w:val="Normalgrey"/>
              <w:rPr>
                <w:b/>
                <w:bCs/>
                <w:color w:val="auto"/>
              </w:rPr>
            </w:pPr>
          </w:p>
        </w:tc>
        <w:tc>
          <w:tcPr>
            <w:tcW w:w="6134" w:type="dxa"/>
            <w:shd w:val="clear" w:color="auto" w:fill="F2F2F2" w:themeFill="background1" w:themeFillShade="F2"/>
          </w:tcPr>
          <w:p w14:paraId="7FE2CAC0" w14:textId="09F43254" w:rsidR="00516FBF" w:rsidRPr="009D514C" w:rsidRDefault="00516FBF" w:rsidP="00516FBF">
            <w:pPr>
              <w:rPr>
                <w:b/>
                <w:bCs/>
              </w:rPr>
            </w:pPr>
            <w:r w:rsidRPr="009D514C">
              <w:rPr>
                <w:b/>
                <w:bCs/>
              </w:rPr>
              <w:t xml:space="preserve">Transactions classified as contributions by or distributions to owners are recognised as a direct adjustment to equity through contributed capital if there is a sufficient balance or subject to </w:t>
            </w:r>
            <w:r w:rsidR="000B42D8">
              <w:rPr>
                <w:b/>
                <w:bCs/>
              </w:rPr>
              <w:t>paragraph 4.7</w:t>
            </w:r>
            <w:r w:rsidRPr="009D514C">
              <w:rPr>
                <w:b/>
                <w:bCs/>
              </w:rPr>
              <w:t>.</w:t>
            </w:r>
          </w:p>
        </w:tc>
      </w:tr>
      <w:tr w:rsidR="00516FBF" w:rsidRPr="005828FE" w14:paraId="4B732707" w14:textId="77777777" w:rsidTr="00AD6BE8">
        <w:tc>
          <w:tcPr>
            <w:tcW w:w="2293" w:type="dxa"/>
            <w:shd w:val="clear" w:color="auto" w:fill="F2F2F2" w:themeFill="background1" w:themeFillShade="F2"/>
          </w:tcPr>
          <w:p w14:paraId="5B8C40C0" w14:textId="77777777" w:rsidR="00516FBF" w:rsidRPr="005828FE" w:rsidRDefault="00516FBF" w:rsidP="00AD6BE8">
            <w:pPr>
              <w:pStyle w:val="Normalbold"/>
            </w:pPr>
          </w:p>
        </w:tc>
        <w:tc>
          <w:tcPr>
            <w:tcW w:w="270" w:type="dxa"/>
            <w:shd w:val="clear" w:color="auto" w:fill="F2F2F2" w:themeFill="background1" w:themeFillShade="F2"/>
          </w:tcPr>
          <w:p w14:paraId="2E9CF0E6" w14:textId="77777777" w:rsidR="00516FBF" w:rsidRPr="008B2A17" w:rsidRDefault="00516FBF" w:rsidP="00AD6BE8">
            <w:pPr>
              <w:pStyle w:val="Normalgrey"/>
            </w:pPr>
          </w:p>
        </w:tc>
        <w:tc>
          <w:tcPr>
            <w:tcW w:w="540" w:type="dxa"/>
            <w:shd w:val="clear" w:color="auto" w:fill="F2F2F2" w:themeFill="background1" w:themeFillShade="F2"/>
          </w:tcPr>
          <w:p w14:paraId="55D277A7" w14:textId="783B7171" w:rsidR="00516FBF" w:rsidRPr="009D514C" w:rsidRDefault="000B42D8" w:rsidP="00AD6BE8">
            <w:pPr>
              <w:pStyle w:val="Normalgrey"/>
              <w:rPr>
                <w:b/>
                <w:bCs/>
                <w:color w:val="auto"/>
              </w:rPr>
            </w:pPr>
            <w:r w:rsidRPr="009D514C">
              <w:rPr>
                <w:b/>
                <w:bCs/>
                <w:color w:val="auto"/>
              </w:rPr>
              <w:t>4.2</w:t>
            </w:r>
          </w:p>
        </w:tc>
        <w:tc>
          <w:tcPr>
            <w:tcW w:w="6134" w:type="dxa"/>
            <w:shd w:val="clear" w:color="auto" w:fill="F2F2F2" w:themeFill="background1" w:themeFillShade="F2"/>
          </w:tcPr>
          <w:p w14:paraId="6AFCD6E2" w14:textId="77777777" w:rsidR="00B21E65" w:rsidRPr="009D514C" w:rsidRDefault="00B21E65" w:rsidP="00516FBF">
            <w:pPr>
              <w:pStyle w:val="Normalbold"/>
              <w:rPr>
                <w:b w:val="0"/>
                <w:u w:val="single"/>
              </w:rPr>
            </w:pPr>
            <w:r w:rsidRPr="009D514C">
              <w:rPr>
                <w:u w:val="single"/>
              </w:rPr>
              <w:t>Transfers accounted for as contributions by or distributions to owners</w:t>
            </w:r>
            <w:r w:rsidRPr="009D514C">
              <w:rPr>
                <w:b w:val="0"/>
                <w:u w:val="single"/>
              </w:rPr>
              <w:t xml:space="preserve"> </w:t>
            </w:r>
          </w:p>
          <w:p w14:paraId="0645222E" w14:textId="59674CDE" w:rsidR="00516FBF" w:rsidRPr="009D514C" w:rsidRDefault="00516FBF" w:rsidP="00516FBF">
            <w:pPr>
              <w:pStyle w:val="Normalbold"/>
              <w:rPr>
                <w:bCs/>
              </w:rPr>
            </w:pPr>
            <w:r w:rsidRPr="009D514C">
              <w:rPr>
                <w:bCs/>
              </w:rPr>
              <w:t>The following transfers are required to be accounted for as contributions by or distributions to owners:</w:t>
            </w:r>
          </w:p>
          <w:p w14:paraId="253CF064" w14:textId="77777777" w:rsidR="00516FBF" w:rsidRPr="009D514C" w:rsidRDefault="00516FBF" w:rsidP="00516FBF">
            <w:pPr>
              <w:pStyle w:val="Listnum"/>
              <w:numPr>
                <w:ilvl w:val="0"/>
                <w:numId w:val="27"/>
              </w:numPr>
              <w:rPr>
                <w:b/>
                <w:bCs/>
              </w:rPr>
            </w:pPr>
            <w:r w:rsidRPr="009D514C">
              <w:rPr>
                <w:b/>
                <w:bCs/>
              </w:rPr>
              <w:t xml:space="preserve">restructure of administrative arrangements (as defined by AASB 1004 </w:t>
            </w:r>
            <w:r w:rsidRPr="009D514C">
              <w:rPr>
                <w:b/>
                <w:bCs/>
                <w:i/>
              </w:rPr>
              <w:t>Contributions</w:t>
            </w:r>
            <w:r w:rsidRPr="009D514C">
              <w:rPr>
                <w:b/>
                <w:bCs/>
              </w:rPr>
              <w:t xml:space="preserve">); </w:t>
            </w:r>
          </w:p>
          <w:p w14:paraId="2DDEF037" w14:textId="77777777" w:rsidR="00516FBF" w:rsidRPr="009D514C" w:rsidRDefault="00516FBF" w:rsidP="00516FBF">
            <w:pPr>
              <w:pStyle w:val="Listnum"/>
              <w:numPr>
                <w:ilvl w:val="0"/>
                <w:numId w:val="27"/>
              </w:numPr>
              <w:rPr>
                <w:b/>
                <w:bCs/>
              </w:rPr>
            </w:pPr>
            <w:r w:rsidRPr="009D514C">
              <w:rPr>
                <w:b/>
                <w:bCs/>
              </w:rPr>
              <w:t>parliamentary appropriations that are:</w:t>
            </w:r>
          </w:p>
          <w:p w14:paraId="5CB2372F" w14:textId="77777777" w:rsidR="00516FBF" w:rsidRPr="009D514C" w:rsidRDefault="00516FBF" w:rsidP="00516FBF">
            <w:pPr>
              <w:pStyle w:val="Listnum2"/>
              <w:rPr>
                <w:b/>
                <w:bCs/>
              </w:rPr>
            </w:pPr>
            <w:r w:rsidRPr="009D514C">
              <w:rPr>
                <w:b/>
                <w:bCs/>
              </w:rPr>
              <w:t>additions to net asset base (ATNAB) appropriations; and</w:t>
            </w:r>
          </w:p>
          <w:p w14:paraId="3BFBF1AC" w14:textId="77777777" w:rsidR="00516FBF" w:rsidRPr="00516FBF" w:rsidRDefault="00516FBF" w:rsidP="00516FBF">
            <w:pPr>
              <w:pStyle w:val="Listnum2"/>
            </w:pPr>
            <w:r w:rsidRPr="009D514C">
              <w:rPr>
                <w:b/>
                <w:bCs/>
              </w:rPr>
              <w:t>payments on behalf of the State (POBOS) and special appropriations for capital expenditure purposes, including those that are directly on passed to another transferee wholly owned and controlled by the State.</w:t>
            </w:r>
          </w:p>
        </w:tc>
      </w:tr>
      <w:tr w:rsidR="00516FBF" w:rsidRPr="005828FE" w14:paraId="6C38B852" w14:textId="77777777" w:rsidTr="00AD6BE8">
        <w:tc>
          <w:tcPr>
            <w:tcW w:w="2293" w:type="dxa"/>
            <w:shd w:val="clear" w:color="auto" w:fill="F2F2F2" w:themeFill="background1" w:themeFillShade="F2"/>
          </w:tcPr>
          <w:p w14:paraId="1BAD25B1" w14:textId="77777777" w:rsidR="00516FBF" w:rsidRPr="005828FE" w:rsidRDefault="00516FBF" w:rsidP="00AD6BE8">
            <w:pPr>
              <w:pStyle w:val="Normalbold"/>
            </w:pPr>
          </w:p>
        </w:tc>
        <w:tc>
          <w:tcPr>
            <w:tcW w:w="270" w:type="dxa"/>
            <w:shd w:val="clear" w:color="auto" w:fill="F2F2F2" w:themeFill="background1" w:themeFillShade="F2"/>
          </w:tcPr>
          <w:p w14:paraId="5C8BAB3A" w14:textId="77777777" w:rsidR="00516FBF" w:rsidRPr="008B2A17" w:rsidRDefault="00516FBF" w:rsidP="00AD6BE8">
            <w:pPr>
              <w:pStyle w:val="Normalgrey"/>
            </w:pPr>
          </w:p>
        </w:tc>
        <w:tc>
          <w:tcPr>
            <w:tcW w:w="540" w:type="dxa"/>
            <w:shd w:val="clear" w:color="auto" w:fill="F2F2F2" w:themeFill="background1" w:themeFillShade="F2"/>
          </w:tcPr>
          <w:p w14:paraId="7534A530" w14:textId="77777777" w:rsidR="00516FBF" w:rsidRPr="009D514C" w:rsidRDefault="00516FBF" w:rsidP="00AD6BE8">
            <w:pPr>
              <w:pStyle w:val="Normalgrey"/>
              <w:rPr>
                <w:color w:val="auto"/>
              </w:rPr>
            </w:pPr>
          </w:p>
        </w:tc>
        <w:tc>
          <w:tcPr>
            <w:tcW w:w="6134" w:type="dxa"/>
            <w:shd w:val="clear" w:color="auto" w:fill="F2F2F2" w:themeFill="background1" w:themeFillShade="F2"/>
          </w:tcPr>
          <w:p w14:paraId="7FB20976" w14:textId="1B7BED58" w:rsidR="00516FBF" w:rsidRPr="009D514C" w:rsidRDefault="00516FBF" w:rsidP="00516FBF">
            <w:pPr>
              <w:pStyle w:val="Listnum"/>
              <w:rPr>
                <w:b/>
                <w:bCs/>
              </w:rPr>
            </w:pPr>
            <w:r w:rsidRPr="009D514C">
              <w:rPr>
                <w:b/>
                <w:bCs/>
              </w:rPr>
              <w:t xml:space="preserve">return of an asset or net assets to owners prior to sale, or transfer under FRD 117 </w:t>
            </w:r>
            <w:r w:rsidRPr="009D514C">
              <w:rPr>
                <w:b/>
                <w:bCs/>
                <w:i/>
              </w:rPr>
              <w:t>Contributions of Existing Non-Financial Assets to Third Parties</w:t>
            </w:r>
            <w:r w:rsidRPr="009D514C">
              <w:rPr>
                <w:b/>
                <w:bCs/>
              </w:rPr>
              <w:t>;</w:t>
            </w:r>
          </w:p>
          <w:p w14:paraId="6C21EAC7" w14:textId="77777777" w:rsidR="00516FBF" w:rsidRPr="005828FE" w:rsidRDefault="00516FBF" w:rsidP="00516FBF">
            <w:pPr>
              <w:pStyle w:val="Listnum"/>
            </w:pPr>
            <w:r w:rsidRPr="009D514C">
              <w:rPr>
                <w:b/>
                <w:bCs/>
              </w:rPr>
              <w:t>all ‘other transfers’ designated by the transferor’s portfolio Minister as contributions by or distributions to owners at or before the date of the transfer.</w:t>
            </w:r>
          </w:p>
        </w:tc>
      </w:tr>
      <w:tr w:rsidR="00516FBF" w:rsidRPr="005828FE" w14:paraId="4EDCF7E4" w14:textId="77777777" w:rsidTr="00AD6BE8">
        <w:tc>
          <w:tcPr>
            <w:tcW w:w="2293" w:type="dxa"/>
            <w:shd w:val="clear" w:color="auto" w:fill="F2F2F2" w:themeFill="background1" w:themeFillShade="F2"/>
          </w:tcPr>
          <w:p w14:paraId="0C8ED8DA" w14:textId="77777777" w:rsidR="00516FBF" w:rsidRPr="005828FE" w:rsidRDefault="00516FBF" w:rsidP="00AD6BE8">
            <w:pPr>
              <w:pStyle w:val="Normalbold"/>
            </w:pPr>
          </w:p>
        </w:tc>
        <w:tc>
          <w:tcPr>
            <w:tcW w:w="270" w:type="dxa"/>
            <w:shd w:val="clear" w:color="auto" w:fill="F2F2F2" w:themeFill="background1" w:themeFillShade="F2"/>
          </w:tcPr>
          <w:p w14:paraId="5F21D4CC" w14:textId="77777777" w:rsidR="00516FBF" w:rsidRPr="008B2A17" w:rsidRDefault="00516FBF" w:rsidP="00AD6BE8">
            <w:pPr>
              <w:pStyle w:val="Normalgrey"/>
            </w:pPr>
          </w:p>
        </w:tc>
        <w:tc>
          <w:tcPr>
            <w:tcW w:w="540" w:type="dxa"/>
            <w:shd w:val="clear" w:color="auto" w:fill="F2F2F2" w:themeFill="background1" w:themeFillShade="F2"/>
          </w:tcPr>
          <w:p w14:paraId="2FED7964" w14:textId="7C4D1505" w:rsidR="00516FBF" w:rsidRPr="009D514C" w:rsidRDefault="000B42D8" w:rsidP="00AD6BE8">
            <w:pPr>
              <w:pStyle w:val="Normalgrey"/>
              <w:rPr>
                <w:b/>
                <w:bCs/>
                <w:color w:val="auto"/>
              </w:rPr>
            </w:pPr>
            <w:r w:rsidRPr="009D514C">
              <w:rPr>
                <w:b/>
                <w:bCs/>
                <w:color w:val="auto"/>
              </w:rPr>
              <w:t>4.3</w:t>
            </w:r>
          </w:p>
        </w:tc>
        <w:tc>
          <w:tcPr>
            <w:tcW w:w="6134" w:type="dxa"/>
            <w:shd w:val="clear" w:color="auto" w:fill="F2F2F2" w:themeFill="background1" w:themeFillShade="F2"/>
          </w:tcPr>
          <w:p w14:paraId="5AA0EE77" w14:textId="77777777" w:rsidR="00B21E65" w:rsidRPr="009D514C" w:rsidRDefault="00B21E65" w:rsidP="00AD6BE8">
            <w:pPr>
              <w:pStyle w:val="Normalbold"/>
              <w:rPr>
                <w:u w:val="single"/>
              </w:rPr>
            </w:pPr>
            <w:r w:rsidRPr="009D514C">
              <w:rPr>
                <w:u w:val="single"/>
              </w:rPr>
              <w:t xml:space="preserve">Evidence and timing of government decisions </w:t>
            </w:r>
          </w:p>
          <w:p w14:paraId="4456BEA7" w14:textId="342C48AB" w:rsidR="00516FBF" w:rsidRPr="009D514C" w:rsidRDefault="00516FBF" w:rsidP="00AD6BE8">
            <w:pPr>
              <w:pStyle w:val="Normalbold"/>
            </w:pPr>
            <w:r w:rsidRPr="009D514C">
              <w:t xml:space="preserve">Appendix A lists the types of transfers outlined in </w:t>
            </w:r>
            <w:r w:rsidR="00F86A81">
              <w:t>paragraph 4.2</w:t>
            </w:r>
            <w:r w:rsidRPr="009D514C">
              <w:t xml:space="preserve"> together with the corresponding evidence of the related government decision and timing requirements.</w:t>
            </w:r>
          </w:p>
        </w:tc>
      </w:tr>
      <w:tr w:rsidR="00516FBF" w:rsidRPr="005828FE" w14:paraId="374B5BBF" w14:textId="77777777" w:rsidTr="00AD6BE8">
        <w:tc>
          <w:tcPr>
            <w:tcW w:w="2293" w:type="dxa"/>
            <w:shd w:val="clear" w:color="auto" w:fill="F2F2F2" w:themeFill="background1" w:themeFillShade="F2"/>
          </w:tcPr>
          <w:p w14:paraId="0E1EBCE6" w14:textId="77777777" w:rsidR="00516FBF" w:rsidRPr="005828FE" w:rsidRDefault="00516FBF" w:rsidP="00AD6BE8">
            <w:pPr>
              <w:pStyle w:val="Normalbold"/>
            </w:pPr>
          </w:p>
        </w:tc>
        <w:tc>
          <w:tcPr>
            <w:tcW w:w="270" w:type="dxa"/>
            <w:shd w:val="clear" w:color="auto" w:fill="F2F2F2" w:themeFill="background1" w:themeFillShade="F2"/>
          </w:tcPr>
          <w:p w14:paraId="4C417994" w14:textId="77777777" w:rsidR="00516FBF" w:rsidRPr="008B2A17" w:rsidRDefault="00516FBF" w:rsidP="00AD6BE8">
            <w:pPr>
              <w:pStyle w:val="Normalgrey"/>
            </w:pPr>
          </w:p>
        </w:tc>
        <w:tc>
          <w:tcPr>
            <w:tcW w:w="540" w:type="dxa"/>
            <w:shd w:val="clear" w:color="auto" w:fill="F2F2F2" w:themeFill="background1" w:themeFillShade="F2"/>
          </w:tcPr>
          <w:p w14:paraId="06E1FB2F" w14:textId="21EC98AC" w:rsidR="00516FBF" w:rsidRPr="009D514C" w:rsidRDefault="00516FBF" w:rsidP="00AD6BE8">
            <w:pPr>
              <w:pStyle w:val="Normalgrey"/>
              <w:rPr>
                <w:b/>
                <w:bCs/>
                <w:color w:val="auto"/>
              </w:rPr>
            </w:pPr>
          </w:p>
        </w:tc>
        <w:tc>
          <w:tcPr>
            <w:tcW w:w="6134" w:type="dxa"/>
            <w:shd w:val="clear" w:color="auto" w:fill="F2F2F2" w:themeFill="background1" w:themeFillShade="F2"/>
          </w:tcPr>
          <w:p w14:paraId="266DFA71" w14:textId="0CA9BC14" w:rsidR="00516FBF" w:rsidRPr="009D514C" w:rsidRDefault="00516FBF" w:rsidP="00516FBF">
            <w:pPr>
              <w:pStyle w:val="Normalbold"/>
            </w:pPr>
            <w:r w:rsidRPr="009D514C">
              <w:t xml:space="preserve">For ‘other transfers’ described in </w:t>
            </w:r>
            <w:r w:rsidR="00F86A81">
              <w:t>paragraph 4.2</w:t>
            </w:r>
            <w:r w:rsidRPr="009D514C">
              <w:t>(d), as a minimum the following details are required in the evidence signed by the transferor portfolio Minister to meet the designation requirements:</w:t>
            </w:r>
          </w:p>
          <w:p w14:paraId="642D75A6" w14:textId="77777777" w:rsidR="00516FBF" w:rsidRPr="009D514C" w:rsidRDefault="00516FBF" w:rsidP="00516FBF">
            <w:pPr>
              <w:pStyle w:val="Listnum"/>
              <w:numPr>
                <w:ilvl w:val="0"/>
                <w:numId w:val="28"/>
              </w:numPr>
              <w:rPr>
                <w:b/>
              </w:rPr>
            </w:pPr>
            <w:r w:rsidRPr="009D514C">
              <w:rPr>
                <w:b/>
              </w:rPr>
              <w:t>the names of the transferor and transferee;</w:t>
            </w:r>
          </w:p>
          <w:p w14:paraId="3F074EC6" w14:textId="77777777" w:rsidR="00516FBF" w:rsidRPr="009D514C" w:rsidRDefault="00516FBF" w:rsidP="00516FBF">
            <w:pPr>
              <w:pStyle w:val="Listnum"/>
              <w:numPr>
                <w:ilvl w:val="0"/>
                <w:numId w:val="28"/>
              </w:numPr>
              <w:rPr>
                <w:b/>
              </w:rPr>
            </w:pPr>
            <w:r w:rsidRPr="009D514C">
              <w:rPr>
                <w:b/>
              </w:rPr>
              <w:t>nature of the transfer items (e.g. land, property, plant or equipment);</w:t>
            </w:r>
          </w:p>
          <w:p w14:paraId="1665EA3C" w14:textId="77777777" w:rsidR="00516FBF" w:rsidRPr="009D514C" w:rsidRDefault="00516FBF" w:rsidP="00516FBF">
            <w:pPr>
              <w:pStyle w:val="Listnum"/>
              <w:numPr>
                <w:ilvl w:val="0"/>
                <w:numId w:val="28"/>
              </w:numPr>
              <w:rPr>
                <w:b/>
              </w:rPr>
            </w:pPr>
            <w:r w:rsidRPr="009D514C">
              <w:rPr>
                <w:b/>
              </w:rPr>
              <w:t xml:space="preserve">an estimate of the transfer amount if the precise amount is not known at the time of designation; </w:t>
            </w:r>
          </w:p>
          <w:p w14:paraId="5ED7AD47" w14:textId="77777777" w:rsidR="00516FBF" w:rsidRPr="009D514C" w:rsidRDefault="00516FBF" w:rsidP="00516FBF">
            <w:pPr>
              <w:pStyle w:val="Listnum"/>
              <w:numPr>
                <w:ilvl w:val="0"/>
                <w:numId w:val="28"/>
              </w:numPr>
              <w:rPr>
                <w:b/>
              </w:rPr>
            </w:pPr>
            <w:r w:rsidRPr="009D514C">
              <w:rPr>
                <w:b/>
              </w:rPr>
              <w:t>the date of transfer;</w:t>
            </w:r>
          </w:p>
          <w:p w14:paraId="131F6073" w14:textId="77777777" w:rsidR="00516FBF" w:rsidRPr="009D514C" w:rsidRDefault="00516FBF" w:rsidP="00516FBF">
            <w:pPr>
              <w:pStyle w:val="Listnum"/>
              <w:numPr>
                <w:ilvl w:val="0"/>
                <w:numId w:val="28"/>
              </w:numPr>
              <w:rPr>
                <w:b/>
              </w:rPr>
            </w:pPr>
            <w:r w:rsidRPr="009D514C">
              <w:rPr>
                <w:b/>
              </w:rPr>
              <w:t>a statement that clearly shows that the Ministerial approval is for the transfer to be designated as contributions by or distributions to owners;</w:t>
            </w:r>
          </w:p>
          <w:p w14:paraId="35C3E595" w14:textId="77777777" w:rsidR="00516FBF" w:rsidRPr="000B42D8" w:rsidRDefault="00516FBF" w:rsidP="00516FBF">
            <w:pPr>
              <w:pStyle w:val="Listnum"/>
              <w:numPr>
                <w:ilvl w:val="0"/>
                <w:numId w:val="28"/>
              </w:numPr>
              <w:rPr>
                <w:b/>
              </w:rPr>
            </w:pPr>
            <w:r w:rsidRPr="009D514C">
              <w:rPr>
                <w:b/>
              </w:rPr>
              <w:t>the date approved by the Minister.</w:t>
            </w:r>
          </w:p>
        </w:tc>
      </w:tr>
      <w:tr w:rsidR="00092C35" w:rsidRPr="005828FE" w14:paraId="2B52B34B" w14:textId="77777777" w:rsidTr="00AD6BE8">
        <w:tc>
          <w:tcPr>
            <w:tcW w:w="2293" w:type="dxa"/>
            <w:shd w:val="clear" w:color="auto" w:fill="F2F2F2" w:themeFill="background1" w:themeFillShade="F2"/>
          </w:tcPr>
          <w:p w14:paraId="19B487D3" w14:textId="77777777" w:rsidR="00092C35" w:rsidRPr="005828FE" w:rsidRDefault="00092C35" w:rsidP="00AD6BE8">
            <w:pPr>
              <w:pStyle w:val="Normalbold"/>
            </w:pPr>
          </w:p>
        </w:tc>
        <w:tc>
          <w:tcPr>
            <w:tcW w:w="270" w:type="dxa"/>
            <w:shd w:val="clear" w:color="auto" w:fill="F2F2F2" w:themeFill="background1" w:themeFillShade="F2"/>
          </w:tcPr>
          <w:p w14:paraId="3DCB740E" w14:textId="77777777" w:rsidR="00092C35" w:rsidRPr="008B2A17" w:rsidRDefault="00092C35" w:rsidP="00AD6BE8">
            <w:pPr>
              <w:pStyle w:val="Normalgrey"/>
            </w:pPr>
          </w:p>
        </w:tc>
        <w:tc>
          <w:tcPr>
            <w:tcW w:w="540" w:type="dxa"/>
            <w:shd w:val="clear" w:color="auto" w:fill="F2F2F2" w:themeFill="background1" w:themeFillShade="F2"/>
          </w:tcPr>
          <w:p w14:paraId="41302516" w14:textId="66A10A94" w:rsidR="00092C35" w:rsidRPr="009D514C" w:rsidRDefault="000B42D8" w:rsidP="00AD6BE8">
            <w:pPr>
              <w:pStyle w:val="Normalgrey"/>
              <w:rPr>
                <w:b/>
                <w:bCs/>
                <w:color w:val="auto"/>
              </w:rPr>
            </w:pPr>
            <w:r w:rsidRPr="009D514C">
              <w:rPr>
                <w:b/>
                <w:bCs/>
                <w:color w:val="auto"/>
              </w:rPr>
              <w:t>4.4</w:t>
            </w:r>
          </w:p>
        </w:tc>
        <w:tc>
          <w:tcPr>
            <w:tcW w:w="6134" w:type="dxa"/>
            <w:shd w:val="clear" w:color="auto" w:fill="F2F2F2" w:themeFill="background1" w:themeFillShade="F2"/>
          </w:tcPr>
          <w:p w14:paraId="386ED48B" w14:textId="5803C39D" w:rsidR="000B42D8" w:rsidRPr="009D514C" w:rsidRDefault="000B42D8" w:rsidP="00AD6BE8">
            <w:pPr>
              <w:pStyle w:val="Normalbold"/>
              <w:rPr>
                <w:u w:val="single"/>
              </w:rPr>
            </w:pPr>
            <w:r w:rsidRPr="009D514C">
              <w:rPr>
                <w:u w:val="single"/>
              </w:rPr>
              <w:t>Evidence of transfer amounts by CFAOs (including zero net asset transfers)</w:t>
            </w:r>
          </w:p>
          <w:p w14:paraId="6F0B9B53" w14:textId="05DE339D" w:rsidR="00092C35" w:rsidRPr="009D514C" w:rsidRDefault="00092C35" w:rsidP="00AD6BE8">
            <w:pPr>
              <w:pStyle w:val="Normalbold"/>
            </w:pPr>
            <w:r w:rsidRPr="009D514C">
              <w:t>For transfers that arise from restructure of administrative arrangements or ‘other transfers’ that are designated as contributions by or distributions to owners, the Chief Finance and Accounting Officers (CFAOs) of the transferor and transferee entities are required to evidence the mutually agreed transfer amounts, including those transfers that result in zero net assets.</w:t>
            </w:r>
          </w:p>
        </w:tc>
      </w:tr>
      <w:tr w:rsidR="00092C35" w:rsidRPr="005828FE" w14:paraId="6D498B0D" w14:textId="77777777" w:rsidTr="00AD6BE8">
        <w:tc>
          <w:tcPr>
            <w:tcW w:w="2293" w:type="dxa"/>
            <w:shd w:val="clear" w:color="auto" w:fill="F2F2F2" w:themeFill="background1" w:themeFillShade="F2"/>
          </w:tcPr>
          <w:p w14:paraId="1EB50CB4" w14:textId="77777777" w:rsidR="00092C35" w:rsidRPr="005828FE" w:rsidRDefault="00092C35" w:rsidP="00AD6BE8">
            <w:pPr>
              <w:pStyle w:val="Normalbold"/>
            </w:pPr>
          </w:p>
        </w:tc>
        <w:tc>
          <w:tcPr>
            <w:tcW w:w="270" w:type="dxa"/>
            <w:shd w:val="clear" w:color="auto" w:fill="F2F2F2" w:themeFill="background1" w:themeFillShade="F2"/>
          </w:tcPr>
          <w:p w14:paraId="22B521AB" w14:textId="77777777" w:rsidR="00092C35" w:rsidRPr="008B2A17" w:rsidRDefault="00092C35" w:rsidP="00AD6BE8">
            <w:pPr>
              <w:pStyle w:val="Normalgrey"/>
            </w:pPr>
          </w:p>
        </w:tc>
        <w:tc>
          <w:tcPr>
            <w:tcW w:w="540" w:type="dxa"/>
            <w:shd w:val="clear" w:color="auto" w:fill="F2F2F2" w:themeFill="background1" w:themeFillShade="F2"/>
          </w:tcPr>
          <w:p w14:paraId="19D97384" w14:textId="4B1FBC43" w:rsidR="00092C35" w:rsidRPr="009D514C" w:rsidRDefault="00092C35" w:rsidP="00AD6BE8">
            <w:pPr>
              <w:pStyle w:val="Normalgrey"/>
              <w:rPr>
                <w:b/>
                <w:bCs/>
                <w:color w:val="auto"/>
              </w:rPr>
            </w:pPr>
          </w:p>
        </w:tc>
        <w:tc>
          <w:tcPr>
            <w:tcW w:w="6134" w:type="dxa"/>
            <w:shd w:val="clear" w:color="auto" w:fill="F2F2F2" w:themeFill="background1" w:themeFillShade="F2"/>
          </w:tcPr>
          <w:p w14:paraId="463152FD" w14:textId="77777777" w:rsidR="00092C35" w:rsidRPr="009D514C" w:rsidRDefault="00092C35" w:rsidP="00AD6BE8">
            <w:pPr>
              <w:pStyle w:val="Normalbold"/>
            </w:pPr>
            <w:r w:rsidRPr="009D514C">
              <w:t>Where the transferor or the transferee (or both) is not a department, the CFAOs of the relevant portfolio departments are to be notified of the agreed transfer amounts as soon as practical but before the end of the respective reporting period.</w:t>
            </w:r>
          </w:p>
        </w:tc>
      </w:tr>
      <w:tr w:rsidR="00092C35" w:rsidRPr="005828FE" w14:paraId="1D6170A9" w14:textId="77777777" w:rsidTr="00AD6BE8">
        <w:tc>
          <w:tcPr>
            <w:tcW w:w="2293" w:type="dxa"/>
            <w:shd w:val="clear" w:color="auto" w:fill="F2F2F2" w:themeFill="background1" w:themeFillShade="F2"/>
          </w:tcPr>
          <w:p w14:paraId="39685514" w14:textId="77777777" w:rsidR="00092C35" w:rsidRPr="005828FE" w:rsidRDefault="00092C35" w:rsidP="00AD6BE8">
            <w:pPr>
              <w:pStyle w:val="Normalbold"/>
            </w:pPr>
          </w:p>
        </w:tc>
        <w:tc>
          <w:tcPr>
            <w:tcW w:w="270" w:type="dxa"/>
            <w:shd w:val="clear" w:color="auto" w:fill="F2F2F2" w:themeFill="background1" w:themeFillShade="F2"/>
          </w:tcPr>
          <w:p w14:paraId="7294B4B5" w14:textId="77777777" w:rsidR="00092C35" w:rsidRPr="008B2A17" w:rsidRDefault="00092C35" w:rsidP="00AD6BE8">
            <w:pPr>
              <w:pStyle w:val="Normalgrey"/>
            </w:pPr>
          </w:p>
        </w:tc>
        <w:tc>
          <w:tcPr>
            <w:tcW w:w="540" w:type="dxa"/>
            <w:shd w:val="clear" w:color="auto" w:fill="F2F2F2" w:themeFill="background1" w:themeFillShade="F2"/>
          </w:tcPr>
          <w:p w14:paraId="4DE578CB" w14:textId="1B8630C8" w:rsidR="00092C35" w:rsidRPr="009D514C" w:rsidRDefault="00092C35" w:rsidP="00AD6BE8">
            <w:pPr>
              <w:pStyle w:val="Normalgrey"/>
              <w:rPr>
                <w:b/>
                <w:bCs/>
                <w:color w:val="auto"/>
              </w:rPr>
            </w:pPr>
          </w:p>
        </w:tc>
        <w:tc>
          <w:tcPr>
            <w:tcW w:w="6134" w:type="dxa"/>
            <w:shd w:val="clear" w:color="auto" w:fill="F2F2F2" w:themeFill="background1" w:themeFillShade="F2"/>
          </w:tcPr>
          <w:p w14:paraId="7757D318" w14:textId="77777777" w:rsidR="00092C35" w:rsidRPr="009D514C" w:rsidRDefault="00092C35" w:rsidP="00092C35">
            <w:pPr>
              <w:pStyle w:val="Normalbold"/>
              <w:rPr>
                <w:bCs/>
              </w:rPr>
            </w:pPr>
            <w:r w:rsidRPr="009D514C">
              <w:rPr>
                <w:bCs/>
              </w:rPr>
              <w:t>As a minimum, the documentation evidencing the transfer amounts shall include:</w:t>
            </w:r>
          </w:p>
          <w:p w14:paraId="7F4A2744" w14:textId="77777777" w:rsidR="00092C35" w:rsidRPr="009D514C" w:rsidRDefault="00092C35" w:rsidP="00345EDE">
            <w:pPr>
              <w:pStyle w:val="Listnum"/>
              <w:numPr>
                <w:ilvl w:val="0"/>
                <w:numId w:val="29"/>
              </w:numPr>
              <w:rPr>
                <w:b/>
                <w:bCs/>
              </w:rPr>
            </w:pPr>
            <w:r w:rsidRPr="009D514C">
              <w:rPr>
                <w:b/>
                <w:bCs/>
              </w:rPr>
              <w:t>the names of the transferor and transferee;</w:t>
            </w:r>
          </w:p>
          <w:p w14:paraId="5AD15D1A" w14:textId="060A255A" w:rsidR="00092C35" w:rsidRPr="009D514C" w:rsidRDefault="00092C35" w:rsidP="00345EDE">
            <w:pPr>
              <w:pStyle w:val="Listnum"/>
              <w:rPr>
                <w:b/>
                <w:bCs/>
              </w:rPr>
            </w:pPr>
            <w:r w:rsidRPr="009D514C">
              <w:rPr>
                <w:b/>
                <w:bCs/>
              </w:rPr>
              <w:t xml:space="preserve">a reference to the evidence of government decisions required in </w:t>
            </w:r>
            <w:r w:rsidR="00F86A81">
              <w:rPr>
                <w:b/>
                <w:bCs/>
              </w:rPr>
              <w:t>paragraph 4.3</w:t>
            </w:r>
            <w:r w:rsidRPr="009D514C">
              <w:rPr>
                <w:b/>
                <w:bCs/>
              </w:rPr>
              <w:t>;</w:t>
            </w:r>
          </w:p>
          <w:p w14:paraId="2CEDA2F6" w14:textId="77777777" w:rsidR="00092C35" w:rsidRPr="009D514C" w:rsidRDefault="00092C35" w:rsidP="00345EDE">
            <w:pPr>
              <w:pStyle w:val="Listnum"/>
              <w:rPr>
                <w:b/>
                <w:bCs/>
              </w:rPr>
            </w:pPr>
            <w:r w:rsidRPr="009D514C">
              <w:rPr>
                <w:b/>
                <w:bCs/>
              </w:rPr>
              <w:t xml:space="preserve">a list detailing the assets and/or liabilities transferred and the respective amounts; </w:t>
            </w:r>
          </w:p>
          <w:p w14:paraId="33917C27" w14:textId="4E47A61E" w:rsidR="00092C35" w:rsidRPr="009D514C" w:rsidRDefault="00092C35" w:rsidP="00345EDE">
            <w:pPr>
              <w:pStyle w:val="Listnum"/>
              <w:rPr>
                <w:b/>
                <w:bCs/>
              </w:rPr>
            </w:pPr>
            <w:r w:rsidRPr="009D514C">
              <w:rPr>
                <w:b/>
                <w:bCs/>
              </w:rPr>
              <w:t xml:space="preserve">reclassification in equity and/or any resultant income/expense impact due to insufficient contributed capital (as required by </w:t>
            </w:r>
            <w:r w:rsidR="000B42D8">
              <w:rPr>
                <w:b/>
                <w:bCs/>
              </w:rPr>
              <w:t>paragraph 4.7</w:t>
            </w:r>
            <w:r w:rsidRPr="009D514C">
              <w:rPr>
                <w:b/>
                <w:bCs/>
              </w:rPr>
              <w:t xml:space="preserve">); </w:t>
            </w:r>
          </w:p>
          <w:p w14:paraId="6F54B444" w14:textId="77777777" w:rsidR="00092C35" w:rsidRPr="009D514C" w:rsidRDefault="00092C35" w:rsidP="00345EDE">
            <w:pPr>
              <w:pStyle w:val="Listnum"/>
              <w:rPr>
                <w:b/>
                <w:bCs/>
              </w:rPr>
            </w:pPr>
            <w:r w:rsidRPr="009D514C">
              <w:rPr>
                <w:b/>
                <w:bCs/>
              </w:rPr>
              <w:t>date of the transfer;</w:t>
            </w:r>
          </w:p>
          <w:p w14:paraId="1F947537" w14:textId="77777777" w:rsidR="00092C35" w:rsidRPr="00516FBF" w:rsidRDefault="00092C35" w:rsidP="00345EDE">
            <w:pPr>
              <w:pStyle w:val="Listnum"/>
              <w:rPr>
                <w:b/>
              </w:rPr>
            </w:pPr>
            <w:r w:rsidRPr="009D514C">
              <w:rPr>
                <w:b/>
                <w:bCs/>
              </w:rPr>
              <w:t>signatures of both CFAOs of the transferor and transferee.</w:t>
            </w:r>
          </w:p>
        </w:tc>
      </w:tr>
      <w:tr w:rsidR="00092C35" w:rsidRPr="005828FE" w14:paraId="4DDDECDC" w14:textId="77777777" w:rsidTr="00AD6BE8">
        <w:tc>
          <w:tcPr>
            <w:tcW w:w="2293" w:type="dxa"/>
            <w:shd w:val="clear" w:color="auto" w:fill="F2F2F2" w:themeFill="background1" w:themeFillShade="F2"/>
          </w:tcPr>
          <w:p w14:paraId="3E2BC748" w14:textId="77777777" w:rsidR="00092C35" w:rsidRPr="005828FE" w:rsidRDefault="00092C35" w:rsidP="00AD6BE8">
            <w:pPr>
              <w:pStyle w:val="Normalbold"/>
            </w:pPr>
          </w:p>
        </w:tc>
        <w:tc>
          <w:tcPr>
            <w:tcW w:w="270" w:type="dxa"/>
            <w:shd w:val="clear" w:color="auto" w:fill="F2F2F2" w:themeFill="background1" w:themeFillShade="F2"/>
          </w:tcPr>
          <w:p w14:paraId="3088DE5D" w14:textId="77777777" w:rsidR="00092C35" w:rsidRPr="008B2A17" w:rsidRDefault="00092C35" w:rsidP="00AD6BE8">
            <w:pPr>
              <w:pStyle w:val="Normalgrey"/>
            </w:pPr>
          </w:p>
        </w:tc>
        <w:tc>
          <w:tcPr>
            <w:tcW w:w="540" w:type="dxa"/>
            <w:shd w:val="clear" w:color="auto" w:fill="F2F2F2" w:themeFill="background1" w:themeFillShade="F2"/>
          </w:tcPr>
          <w:p w14:paraId="0DC75B06" w14:textId="2DBC9E1F" w:rsidR="00092C35" w:rsidRPr="009D514C" w:rsidRDefault="000B42D8" w:rsidP="00AD6BE8">
            <w:pPr>
              <w:pStyle w:val="Normalgrey"/>
              <w:rPr>
                <w:b/>
                <w:bCs/>
                <w:color w:val="auto"/>
              </w:rPr>
            </w:pPr>
            <w:r w:rsidRPr="009D514C">
              <w:rPr>
                <w:b/>
                <w:bCs/>
                <w:color w:val="auto"/>
              </w:rPr>
              <w:t>4.</w:t>
            </w:r>
            <w:r w:rsidR="00FA68F8" w:rsidRPr="009D514C">
              <w:rPr>
                <w:b/>
                <w:bCs/>
                <w:color w:val="auto"/>
              </w:rPr>
              <w:t>5</w:t>
            </w:r>
          </w:p>
        </w:tc>
        <w:tc>
          <w:tcPr>
            <w:tcW w:w="6134" w:type="dxa"/>
            <w:shd w:val="clear" w:color="auto" w:fill="F2F2F2" w:themeFill="background1" w:themeFillShade="F2"/>
          </w:tcPr>
          <w:p w14:paraId="33FBA25D" w14:textId="77777777" w:rsidR="00345EDE" w:rsidRPr="009D514C" w:rsidRDefault="00345EDE" w:rsidP="00345EDE">
            <w:pPr>
              <w:pStyle w:val="Normalbold"/>
              <w:rPr>
                <w:u w:val="single"/>
              </w:rPr>
            </w:pPr>
            <w:r w:rsidRPr="009D514C">
              <w:rPr>
                <w:u w:val="single"/>
              </w:rPr>
              <w:t>Measurement basis</w:t>
            </w:r>
          </w:p>
          <w:p w14:paraId="57909191" w14:textId="77777777" w:rsidR="00345EDE" w:rsidRPr="009D514C" w:rsidRDefault="00345EDE" w:rsidP="00345EDE">
            <w:pPr>
              <w:pStyle w:val="Normalbold"/>
              <w:rPr>
                <w:bCs/>
              </w:rPr>
            </w:pPr>
            <w:r w:rsidRPr="009D514C">
              <w:rPr>
                <w:bCs/>
              </w:rPr>
              <w:t xml:space="preserve">Transfers must be measured at: </w:t>
            </w:r>
          </w:p>
          <w:p w14:paraId="602D41F6" w14:textId="380AE135" w:rsidR="00345EDE" w:rsidRPr="009D514C" w:rsidRDefault="00345EDE" w:rsidP="00BF1154">
            <w:pPr>
              <w:pStyle w:val="Listnum"/>
              <w:numPr>
                <w:ilvl w:val="0"/>
                <w:numId w:val="40"/>
              </w:numPr>
              <w:rPr>
                <w:b/>
                <w:bCs/>
              </w:rPr>
            </w:pPr>
            <w:r w:rsidRPr="009D514C">
              <w:rPr>
                <w:b/>
                <w:bCs/>
              </w:rPr>
              <w:t xml:space="preserve">the carrying amount for transfers outlined in </w:t>
            </w:r>
            <w:r w:rsidR="00F86A81">
              <w:rPr>
                <w:b/>
                <w:bCs/>
              </w:rPr>
              <w:t>paragraph 4.2</w:t>
            </w:r>
            <w:r w:rsidRPr="009D514C">
              <w:rPr>
                <w:b/>
                <w:bCs/>
              </w:rPr>
              <w:t xml:space="preserve">(a), </w:t>
            </w:r>
            <w:r w:rsidRPr="009D514C">
              <w:rPr>
                <w:b/>
                <w:bCs/>
              </w:rPr>
              <w:br/>
              <w:t>(c) and (d); and</w:t>
            </w:r>
          </w:p>
          <w:p w14:paraId="434875D9" w14:textId="146E6ED8" w:rsidR="00092C35" w:rsidRPr="00516FBF" w:rsidRDefault="00345EDE" w:rsidP="00345EDE">
            <w:pPr>
              <w:pStyle w:val="Listnum"/>
              <w:rPr>
                <w:b/>
              </w:rPr>
            </w:pPr>
            <w:r w:rsidRPr="009D514C">
              <w:rPr>
                <w:b/>
                <w:bCs/>
              </w:rPr>
              <w:t xml:space="preserve">fair value for transfers outlined in </w:t>
            </w:r>
            <w:r w:rsidR="00F86A81">
              <w:rPr>
                <w:b/>
                <w:bCs/>
              </w:rPr>
              <w:t>paragraph 4.2</w:t>
            </w:r>
            <w:r w:rsidRPr="009D514C">
              <w:rPr>
                <w:b/>
                <w:bCs/>
              </w:rPr>
              <w:t>(b).</w:t>
            </w:r>
          </w:p>
        </w:tc>
      </w:tr>
      <w:tr w:rsidR="00092C35" w:rsidRPr="005828FE" w14:paraId="4EA7E5FE" w14:textId="77777777" w:rsidTr="00AD6BE8">
        <w:tc>
          <w:tcPr>
            <w:tcW w:w="2293" w:type="dxa"/>
            <w:shd w:val="clear" w:color="auto" w:fill="F2F2F2" w:themeFill="background1" w:themeFillShade="F2"/>
          </w:tcPr>
          <w:p w14:paraId="6ED9BB60" w14:textId="77777777" w:rsidR="00092C35" w:rsidRPr="005828FE" w:rsidRDefault="00092C35" w:rsidP="00AD6BE8">
            <w:pPr>
              <w:pStyle w:val="Normalbold"/>
            </w:pPr>
          </w:p>
        </w:tc>
        <w:tc>
          <w:tcPr>
            <w:tcW w:w="270" w:type="dxa"/>
            <w:shd w:val="clear" w:color="auto" w:fill="F2F2F2" w:themeFill="background1" w:themeFillShade="F2"/>
          </w:tcPr>
          <w:p w14:paraId="31F63CB9" w14:textId="77777777" w:rsidR="00092C35" w:rsidRPr="008B2A17" w:rsidRDefault="00092C35" w:rsidP="00AD6BE8">
            <w:pPr>
              <w:pStyle w:val="Normalgrey"/>
            </w:pPr>
          </w:p>
        </w:tc>
        <w:tc>
          <w:tcPr>
            <w:tcW w:w="540" w:type="dxa"/>
            <w:shd w:val="clear" w:color="auto" w:fill="F2F2F2" w:themeFill="background1" w:themeFillShade="F2"/>
          </w:tcPr>
          <w:p w14:paraId="4E845FF2" w14:textId="6B9F1DF9" w:rsidR="00092C35" w:rsidRPr="009D514C" w:rsidRDefault="000B42D8" w:rsidP="00AD6BE8">
            <w:pPr>
              <w:pStyle w:val="Normalgrey"/>
              <w:rPr>
                <w:b/>
                <w:bCs/>
                <w:color w:val="auto"/>
              </w:rPr>
            </w:pPr>
            <w:r w:rsidRPr="009D514C">
              <w:rPr>
                <w:b/>
                <w:bCs/>
                <w:color w:val="auto"/>
              </w:rPr>
              <w:t>4.</w:t>
            </w:r>
            <w:r w:rsidR="00FA68F8" w:rsidRPr="009D514C">
              <w:rPr>
                <w:b/>
                <w:bCs/>
                <w:color w:val="auto"/>
              </w:rPr>
              <w:t>6</w:t>
            </w:r>
          </w:p>
        </w:tc>
        <w:tc>
          <w:tcPr>
            <w:tcW w:w="6134" w:type="dxa"/>
            <w:shd w:val="clear" w:color="auto" w:fill="F2F2F2" w:themeFill="background1" w:themeFillShade="F2"/>
          </w:tcPr>
          <w:p w14:paraId="35DC7826" w14:textId="77777777" w:rsidR="000B42D8" w:rsidRPr="009D514C" w:rsidRDefault="000B42D8" w:rsidP="00345EDE">
            <w:pPr>
              <w:pStyle w:val="Normalbold"/>
              <w:rPr>
                <w:u w:val="single"/>
              </w:rPr>
            </w:pPr>
            <w:r w:rsidRPr="009D514C">
              <w:rPr>
                <w:u w:val="single"/>
              </w:rPr>
              <w:t xml:space="preserve">Insufficient contributed capital for distributions to owners </w:t>
            </w:r>
          </w:p>
          <w:p w14:paraId="47619F7B" w14:textId="72154A9E" w:rsidR="00345EDE" w:rsidRPr="009D514C" w:rsidRDefault="00345EDE" w:rsidP="00345EDE">
            <w:pPr>
              <w:pStyle w:val="Normalbold"/>
            </w:pPr>
            <w:r w:rsidRPr="009D514C">
              <w:t>Where there is insufficient contributed capital for distributions to owners, the entity must reclassify its accumulated surplus to contributed capital to the extent required to effect the distribution.</w:t>
            </w:r>
          </w:p>
          <w:p w14:paraId="072FFFFD" w14:textId="77777777" w:rsidR="00345EDE" w:rsidRPr="009D514C" w:rsidRDefault="00345EDE" w:rsidP="00345EDE">
            <w:pPr>
              <w:pStyle w:val="Normalbold"/>
            </w:pPr>
            <w:r w:rsidRPr="009D514C">
              <w:t xml:space="preserve">If there is still insufficient contributed capital after such reclassifications, the balance must be recognised as an expense. </w:t>
            </w:r>
          </w:p>
          <w:p w14:paraId="577C3944" w14:textId="524DBA90" w:rsidR="00345EDE" w:rsidRPr="009D514C" w:rsidRDefault="00345EDE" w:rsidP="00345EDE">
            <w:pPr>
              <w:pStyle w:val="Normalbold"/>
            </w:pPr>
            <w:r w:rsidRPr="009D514C">
              <w:t xml:space="preserve">Consistent with the Guidance on the application of FRD 103 </w:t>
            </w:r>
            <w:r w:rsidRPr="009D514C">
              <w:rPr>
                <w:i/>
              </w:rPr>
              <w:t>Non</w:t>
            </w:r>
            <w:r w:rsidRPr="009D514C">
              <w:rPr>
                <w:i/>
              </w:rPr>
              <w:noBreakHyphen/>
              <w:t>current physical assets</w:t>
            </w:r>
            <w:r w:rsidRPr="009D514C">
              <w:t>, if the distribution involves a distribution of asset(s), the entity shall first reclassify any related revaluation surplus to accumulated surplus prior to the distribution.</w:t>
            </w:r>
          </w:p>
          <w:p w14:paraId="53ADD3EC" w14:textId="0AFB0FBD" w:rsidR="00092C35" w:rsidRPr="009D514C" w:rsidRDefault="00345EDE" w:rsidP="00345EDE">
            <w:pPr>
              <w:pStyle w:val="Normalbold"/>
            </w:pPr>
            <w:r w:rsidRPr="009D514C">
              <w:t>Appendix D of this FRD 119 provides a decision tree to assist the assessment on whether the transfer can be classified and recognised as a contributions by or distributions to owners through contributed capital</w:t>
            </w:r>
          </w:p>
        </w:tc>
      </w:tr>
      <w:tr w:rsidR="00345EDE" w:rsidRPr="005828FE" w14:paraId="10AED6D6" w14:textId="77777777" w:rsidTr="00AD6BE8">
        <w:tc>
          <w:tcPr>
            <w:tcW w:w="2293" w:type="dxa"/>
            <w:shd w:val="clear" w:color="auto" w:fill="F2F2F2" w:themeFill="background1" w:themeFillShade="F2"/>
          </w:tcPr>
          <w:p w14:paraId="1A2F1246" w14:textId="77777777" w:rsidR="00345EDE" w:rsidRPr="005828FE" w:rsidRDefault="00345EDE" w:rsidP="00345EDE">
            <w:pPr>
              <w:pStyle w:val="Normalbold"/>
            </w:pPr>
          </w:p>
        </w:tc>
        <w:tc>
          <w:tcPr>
            <w:tcW w:w="270" w:type="dxa"/>
            <w:shd w:val="clear" w:color="auto" w:fill="F2F2F2" w:themeFill="background1" w:themeFillShade="F2"/>
          </w:tcPr>
          <w:p w14:paraId="1ADCC878" w14:textId="77777777" w:rsidR="00345EDE" w:rsidRPr="008B2A17" w:rsidRDefault="00345EDE" w:rsidP="00345EDE">
            <w:pPr>
              <w:pStyle w:val="Normalgrey"/>
            </w:pPr>
          </w:p>
        </w:tc>
        <w:tc>
          <w:tcPr>
            <w:tcW w:w="540" w:type="dxa"/>
            <w:shd w:val="clear" w:color="auto" w:fill="F2F2F2" w:themeFill="background1" w:themeFillShade="F2"/>
          </w:tcPr>
          <w:p w14:paraId="2303708C" w14:textId="5C978EF0" w:rsidR="00345EDE" w:rsidRPr="009D514C" w:rsidRDefault="00345EDE" w:rsidP="00345EDE">
            <w:pPr>
              <w:pStyle w:val="Normalgrey"/>
              <w:rPr>
                <w:b/>
                <w:bCs/>
                <w:color w:val="auto"/>
              </w:rPr>
            </w:pPr>
          </w:p>
        </w:tc>
        <w:tc>
          <w:tcPr>
            <w:tcW w:w="6134" w:type="dxa"/>
            <w:shd w:val="clear" w:color="auto" w:fill="F2F2F2" w:themeFill="background1" w:themeFillShade="F2"/>
          </w:tcPr>
          <w:p w14:paraId="5601733D" w14:textId="77777777" w:rsidR="00345EDE" w:rsidRPr="009D514C" w:rsidRDefault="00345EDE" w:rsidP="00345EDE">
            <w:pPr>
              <w:rPr>
                <w:b/>
              </w:rPr>
            </w:pPr>
            <w:r w:rsidRPr="009D514C">
              <w:rPr>
                <w:b/>
              </w:rPr>
              <w:t>Entities are required to document any reclassifications of equity resulting from insufficient contributed capital.</w:t>
            </w:r>
          </w:p>
        </w:tc>
      </w:tr>
      <w:tr w:rsidR="00345EDE" w:rsidRPr="005828FE" w14:paraId="5CEC497A" w14:textId="77777777" w:rsidTr="00AD6BE8">
        <w:tc>
          <w:tcPr>
            <w:tcW w:w="2293" w:type="dxa"/>
            <w:shd w:val="clear" w:color="auto" w:fill="F2F2F2" w:themeFill="background1" w:themeFillShade="F2"/>
          </w:tcPr>
          <w:p w14:paraId="1E7483E5" w14:textId="77777777" w:rsidR="00345EDE" w:rsidRPr="005828FE" w:rsidRDefault="00345EDE" w:rsidP="00345EDE">
            <w:pPr>
              <w:pStyle w:val="Normalbold"/>
            </w:pPr>
          </w:p>
        </w:tc>
        <w:tc>
          <w:tcPr>
            <w:tcW w:w="270" w:type="dxa"/>
            <w:shd w:val="clear" w:color="auto" w:fill="F2F2F2" w:themeFill="background1" w:themeFillShade="F2"/>
          </w:tcPr>
          <w:p w14:paraId="76F4ABD9" w14:textId="77777777" w:rsidR="00345EDE" w:rsidRPr="008B2A17" w:rsidRDefault="00345EDE" w:rsidP="00345EDE">
            <w:pPr>
              <w:pStyle w:val="Normalgrey"/>
            </w:pPr>
          </w:p>
        </w:tc>
        <w:tc>
          <w:tcPr>
            <w:tcW w:w="540" w:type="dxa"/>
            <w:shd w:val="clear" w:color="auto" w:fill="F2F2F2" w:themeFill="background1" w:themeFillShade="F2"/>
          </w:tcPr>
          <w:p w14:paraId="2371A4DC" w14:textId="3D537FC1" w:rsidR="00345EDE" w:rsidRPr="009D514C" w:rsidRDefault="00345EDE" w:rsidP="00345EDE">
            <w:pPr>
              <w:pStyle w:val="Normalgrey"/>
              <w:rPr>
                <w:b/>
                <w:bCs/>
                <w:color w:val="auto"/>
              </w:rPr>
            </w:pPr>
          </w:p>
        </w:tc>
        <w:tc>
          <w:tcPr>
            <w:tcW w:w="6134" w:type="dxa"/>
            <w:shd w:val="clear" w:color="auto" w:fill="F2F2F2" w:themeFill="background1" w:themeFillShade="F2"/>
          </w:tcPr>
          <w:p w14:paraId="59CE5DAB" w14:textId="77777777" w:rsidR="00345EDE" w:rsidRPr="009D514C" w:rsidRDefault="00345EDE" w:rsidP="00345EDE">
            <w:pPr>
              <w:rPr>
                <w:b/>
              </w:rPr>
            </w:pPr>
            <w:r w:rsidRPr="009D514C">
              <w:rPr>
                <w:b/>
              </w:rPr>
              <w:t>Evidence of all reclassifications of equity (see Appendix B for guidance) should be sent to the Consolidated and Reporting Analysis team of the Department of Treasury and Finance (DTF) once approved by the relevant CFAOs.</w:t>
            </w:r>
          </w:p>
        </w:tc>
      </w:tr>
      <w:tr w:rsidR="00345EDE" w:rsidRPr="005828FE" w14:paraId="29FE93A1" w14:textId="77777777" w:rsidTr="00AD6BE8">
        <w:tc>
          <w:tcPr>
            <w:tcW w:w="2293" w:type="dxa"/>
            <w:shd w:val="clear" w:color="auto" w:fill="F2F2F2" w:themeFill="background1" w:themeFillShade="F2"/>
          </w:tcPr>
          <w:p w14:paraId="496F2999" w14:textId="77777777" w:rsidR="00345EDE" w:rsidRPr="005828FE" w:rsidRDefault="00345EDE" w:rsidP="00345EDE">
            <w:pPr>
              <w:pStyle w:val="Normalbold"/>
            </w:pPr>
          </w:p>
        </w:tc>
        <w:tc>
          <w:tcPr>
            <w:tcW w:w="270" w:type="dxa"/>
            <w:shd w:val="clear" w:color="auto" w:fill="F2F2F2" w:themeFill="background1" w:themeFillShade="F2"/>
          </w:tcPr>
          <w:p w14:paraId="489BAA2C" w14:textId="77777777" w:rsidR="00345EDE" w:rsidRPr="008B2A17" w:rsidRDefault="00345EDE" w:rsidP="00345EDE">
            <w:pPr>
              <w:pStyle w:val="Normalgrey"/>
            </w:pPr>
          </w:p>
        </w:tc>
        <w:tc>
          <w:tcPr>
            <w:tcW w:w="540" w:type="dxa"/>
            <w:shd w:val="clear" w:color="auto" w:fill="F2F2F2" w:themeFill="background1" w:themeFillShade="F2"/>
          </w:tcPr>
          <w:p w14:paraId="16DC40CA" w14:textId="4758DE8A" w:rsidR="00345EDE" w:rsidRPr="009D514C" w:rsidRDefault="000B42D8" w:rsidP="00345EDE">
            <w:pPr>
              <w:pStyle w:val="Normalgrey"/>
              <w:rPr>
                <w:b/>
                <w:bCs/>
                <w:color w:val="auto"/>
              </w:rPr>
            </w:pPr>
            <w:r w:rsidRPr="009D514C">
              <w:rPr>
                <w:b/>
                <w:bCs/>
                <w:color w:val="auto"/>
              </w:rPr>
              <w:t>4.</w:t>
            </w:r>
            <w:r w:rsidR="00FA68F8" w:rsidRPr="009D514C">
              <w:rPr>
                <w:b/>
                <w:bCs/>
                <w:color w:val="auto"/>
              </w:rPr>
              <w:t>7</w:t>
            </w:r>
          </w:p>
        </w:tc>
        <w:tc>
          <w:tcPr>
            <w:tcW w:w="6134" w:type="dxa"/>
            <w:shd w:val="clear" w:color="auto" w:fill="F2F2F2" w:themeFill="background1" w:themeFillShade="F2"/>
          </w:tcPr>
          <w:p w14:paraId="58E4BBB9" w14:textId="77777777" w:rsidR="000B42D8" w:rsidRPr="009D514C" w:rsidRDefault="000B42D8" w:rsidP="00345EDE">
            <w:pPr>
              <w:rPr>
                <w:b/>
                <w:u w:val="single"/>
              </w:rPr>
            </w:pPr>
            <w:r w:rsidRPr="009D514C">
              <w:rPr>
                <w:b/>
                <w:u w:val="single"/>
              </w:rPr>
              <w:t xml:space="preserve">Consistency of accounting for transfers through contributed capital </w:t>
            </w:r>
          </w:p>
          <w:p w14:paraId="1AAE40F4" w14:textId="30EEEC1C" w:rsidR="00345EDE" w:rsidRPr="009D514C" w:rsidRDefault="00345EDE" w:rsidP="00345EDE">
            <w:pPr>
              <w:rPr>
                <w:b/>
              </w:rPr>
            </w:pPr>
            <w:r w:rsidRPr="009D514C">
              <w:rPr>
                <w:b/>
              </w:rPr>
              <w:t>AASB Interpretation 1038 Contributions by Owners made to Wholly–owned Public Sector Entities requires consistent accounting treatments by the transferor and transferee if a transfer is to be accounted for as a contribution by or distribution to owners.</w:t>
            </w:r>
          </w:p>
        </w:tc>
      </w:tr>
      <w:tr w:rsidR="00345EDE" w:rsidRPr="005828FE" w14:paraId="1C166690" w14:textId="77777777" w:rsidTr="00AD6BE8">
        <w:tc>
          <w:tcPr>
            <w:tcW w:w="2293" w:type="dxa"/>
            <w:shd w:val="clear" w:color="auto" w:fill="F2F2F2" w:themeFill="background1" w:themeFillShade="F2"/>
          </w:tcPr>
          <w:p w14:paraId="267249CD" w14:textId="77777777" w:rsidR="00345EDE" w:rsidRPr="005828FE" w:rsidRDefault="00345EDE" w:rsidP="00345EDE">
            <w:pPr>
              <w:pStyle w:val="Normalbold"/>
            </w:pPr>
          </w:p>
        </w:tc>
        <w:tc>
          <w:tcPr>
            <w:tcW w:w="270" w:type="dxa"/>
            <w:shd w:val="clear" w:color="auto" w:fill="F2F2F2" w:themeFill="background1" w:themeFillShade="F2"/>
          </w:tcPr>
          <w:p w14:paraId="09860DCD" w14:textId="77777777" w:rsidR="00345EDE" w:rsidRPr="008B2A17" w:rsidRDefault="00345EDE" w:rsidP="00345EDE">
            <w:pPr>
              <w:pStyle w:val="Normalgrey"/>
            </w:pPr>
          </w:p>
        </w:tc>
        <w:tc>
          <w:tcPr>
            <w:tcW w:w="540" w:type="dxa"/>
            <w:shd w:val="clear" w:color="auto" w:fill="F2F2F2" w:themeFill="background1" w:themeFillShade="F2"/>
          </w:tcPr>
          <w:p w14:paraId="76CC1A28" w14:textId="375E1C4A" w:rsidR="00345EDE" w:rsidRPr="009D514C" w:rsidRDefault="00345EDE" w:rsidP="00345EDE">
            <w:pPr>
              <w:pStyle w:val="Normalgrey"/>
              <w:rPr>
                <w:b/>
                <w:bCs/>
                <w:color w:val="auto"/>
              </w:rPr>
            </w:pPr>
          </w:p>
        </w:tc>
        <w:tc>
          <w:tcPr>
            <w:tcW w:w="6134" w:type="dxa"/>
            <w:shd w:val="clear" w:color="auto" w:fill="F2F2F2" w:themeFill="background1" w:themeFillShade="F2"/>
          </w:tcPr>
          <w:p w14:paraId="0F146293" w14:textId="04CFB99D" w:rsidR="00345EDE" w:rsidRPr="009D514C" w:rsidRDefault="00345EDE" w:rsidP="00345EDE">
            <w:pPr>
              <w:rPr>
                <w:b/>
              </w:rPr>
            </w:pPr>
            <w:r w:rsidRPr="009D514C">
              <w:rPr>
                <w:b/>
              </w:rPr>
              <w:t xml:space="preserve">Where applying </w:t>
            </w:r>
            <w:r w:rsidR="000B42D8">
              <w:rPr>
                <w:b/>
              </w:rPr>
              <w:t>paragraph 4.7</w:t>
            </w:r>
            <w:r w:rsidRPr="009D514C">
              <w:rPr>
                <w:b/>
              </w:rPr>
              <w:t xml:space="preserve"> to distribution to owners has resulted in the classification of all or part of the transfer as an expense, the counterparty to the transfer (and any interposed parent department) must classify an equivalent amount of the transfer through income/expense. The CFAOs will need to document and mutually agree on the accounting treatment in accordance with paragraph </w:t>
            </w:r>
            <w:r w:rsidR="00F86A81">
              <w:rPr>
                <w:b/>
              </w:rPr>
              <w:t>4.4</w:t>
            </w:r>
            <w:r w:rsidRPr="009D514C">
              <w:rPr>
                <w:b/>
              </w:rPr>
              <w:t>.</w:t>
            </w:r>
          </w:p>
        </w:tc>
      </w:tr>
      <w:tr w:rsidR="00345EDE" w:rsidRPr="005828FE" w14:paraId="744BBB91" w14:textId="77777777" w:rsidTr="00AD6BE8">
        <w:tc>
          <w:tcPr>
            <w:tcW w:w="2293" w:type="dxa"/>
            <w:shd w:val="clear" w:color="auto" w:fill="F2F2F2" w:themeFill="background1" w:themeFillShade="F2"/>
          </w:tcPr>
          <w:p w14:paraId="6AFE46AB" w14:textId="77777777" w:rsidR="00345EDE" w:rsidRPr="005828FE" w:rsidRDefault="00345EDE" w:rsidP="00345EDE">
            <w:pPr>
              <w:pStyle w:val="Normalbold"/>
            </w:pPr>
          </w:p>
        </w:tc>
        <w:tc>
          <w:tcPr>
            <w:tcW w:w="270" w:type="dxa"/>
            <w:shd w:val="clear" w:color="auto" w:fill="F2F2F2" w:themeFill="background1" w:themeFillShade="F2"/>
          </w:tcPr>
          <w:p w14:paraId="37E9FCB7" w14:textId="77777777" w:rsidR="00345EDE" w:rsidRPr="008B2A17" w:rsidRDefault="00345EDE" w:rsidP="00345EDE">
            <w:pPr>
              <w:pStyle w:val="Normalgrey"/>
            </w:pPr>
          </w:p>
        </w:tc>
        <w:tc>
          <w:tcPr>
            <w:tcW w:w="540" w:type="dxa"/>
            <w:shd w:val="clear" w:color="auto" w:fill="F2F2F2" w:themeFill="background1" w:themeFillShade="F2"/>
          </w:tcPr>
          <w:p w14:paraId="2690D638" w14:textId="30107AE7" w:rsidR="00345EDE" w:rsidRPr="009D514C" w:rsidRDefault="000B42D8" w:rsidP="00345EDE">
            <w:pPr>
              <w:pStyle w:val="Normalgrey"/>
              <w:rPr>
                <w:b/>
                <w:bCs/>
                <w:color w:val="auto"/>
              </w:rPr>
            </w:pPr>
            <w:r w:rsidRPr="009D514C">
              <w:rPr>
                <w:b/>
                <w:bCs/>
                <w:color w:val="auto"/>
              </w:rPr>
              <w:t>4.</w:t>
            </w:r>
            <w:r w:rsidR="00FA68F8" w:rsidRPr="009D514C">
              <w:rPr>
                <w:b/>
                <w:bCs/>
                <w:color w:val="auto"/>
              </w:rPr>
              <w:t>8</w:t>
            </w:r>
          </w:p>
        </w:tc>
        <w:tc>
          <w:tcPr>
            <w:tcW w:w="6134" w:type="dxa"/>
            <w:shd w:val="clear" w:color="auto" w:fill="F2F2F2" w:themeFill="background1" w:themeFillShade="F2"/>
          </w:tcPr>
          <w:p w14:paraId="5B5AE925" w14:textId="77777777" w:rsidR="000B42D8" w:rsidRPr="009D514C" w:rsidRDefault="000B42D8" w:rsidP="00345EDE">
            <w:pPr>
              <w:rPr>
                <w:b/>
                <w:u w:val="single"/>
              </w:rPr>
            </w:pPr>
            <w:r w:rsidRPr="009D514C">
              <w:rPr>
                <w:b/>
                <w:u w:val="single"/>
              </w:rPr>
              <w:t xml:space="preserve">Redesignation </w:t>
            </w:r>
          </w:p>
          <w:p w14:paraId="1D76DEBD" w14:textId="31F9E88B" w:rsidR="00345EDE" w:rsidRPr="009D514C" w:rsidRDefault="00345EDE" w:rsidP="00345EDE">
            <w:pPr>
              <w:rPr>
                <w:b/>
              </w:rPr>
            </w:pPr>
            <w:r w:rsidRPr="009D514C">
              <w:rPr>
                <w:b/>
              </w:rPr>
              <w:t>A transfer accounted for as contribution by or distribution to owners shall not be redesignated as income or expense. Similarly, a transfer accounted for as income or expense shall not be redesignated as contribution by or distribution to owners.</w:t>
            </w:r>
          </w:p>
        </w:tc>
      </w:tr>
      <w:tr w:rsidR="005828FE" w:rsidRPr="005828FE" w14:paraId="1ACB78CB" w14:textId="77777777" w:rsidTr="00AD6BE8">
        <w:tc>
          <w:tcPr>
            <w:tcW w:w="2293" w:type="dxa"/>
          </w:tcPr>
          <w:p w14:paraId="1867B1C0" w14:textId="77777777" w:rsidR="006C78FB" w:rsidRPr="005828FE" w:rsidRDefault="006C78FB" w:rsidP="00382EE1">
            <w:pPr>
              <w:pStyle w:val="Normalgrey"/>
            </w:pPr>
            <w:r w:rsidRPr="005828FE">
              <w:lastRenderedPageBreak/>
              <w:t>Definitions</w:t>
            </w:r>
          </w:p>
        </w:tc>
        <w:tc>
          <w:tcPr>
            <w:tcW w:w="270" w:type="dxa"/>
          </w:tcPr>
          <w:p w14:paraId="5D1AC0D4" w14:textId="77777777" w:rsidR="006C78FB" w:rsidRPr="005828FE" w:rsidRDefault="006C78FB" w:rsidP="00286F9A">
            <w:pPr>
              <w:pStyle w:val="Normalgrey"/>
            </w:pPr>
          </w:p>
        </w:tc>
        <w:tc>
          <w:tcPr>
            <w:tcW w:w="540" w:type="dxa"/>
          </w:tcPr>
          <w:p w14:paraId="66647A0D" w14:textId="2A74DE5F" w:rsidR="006C78FB" w:rsidRPr="005828FE" w:rsidRDefault="00F86A81" w:rsidP="00286F9A">
            <w:pPr>
              <w:pStyle w:val="Normalgrey"/>
            </w:pPr>
            <w:r>
              <w:t>5.1</w:t>
            </w:r>
          </w:p>
        </w:tc>
        <w:tc>
          <w:tcPr>
            <w:tcW w:w="6134" w:type="dxa"/>
          </w:tcPr>
          <w:p w14:paraId="37AB3A49" w14:textId="0347B29C" w:rsidR="00A27243" w:rsidRDefault="00A27243" w:rsidP="00A27243">
            <w:pPr>
              <w:pStyle w:val="Normalgrey"/>
            </w:pPr>
            <w:r w:rsidRPr="00A27243">
              <w:rPr>
                <w:b/>
              </w:rPr>
              <w:t>Appropriations for capital expenditure purposes</w:t>
            </w:r>
            <w:r>
              <w:t xml:space="preserve"> –</w:t>
            </w:r>
            <w:r w:rsidR="00A20E84">
              <w:t xml:space="preserve"> </w:t>
            </w:r>
            <w:r>
              <w:t>the authority given by Parliament for payments from the Consolidated Fund for capital expenditure purposes. Appropriations may be in the nature of:</w:t>
            </w:r>
          </w:p>
          <w:p w14:paraId="3EE7DC22" w14:textId="77777777" w:rsidR="00A27243" w:rsidRDefault="00A27243" w:rsidP="00A27243">
            <w:pPr>
              <w:pStyle w:val="Listnumgrey"/>
            </w:pPr>
            <w:r>
              <w:t xml:space="preserve">additions to net asset base (ATNAB); </w:t>
            </w:r>
          </w:p>
          <w:p w14:paraId="5FF4E77B" w14:textId="77777777" w:rsidR="00A27243" w:rsidRDefault="00A27243" w:rsidP="00A27243">
            <w:pPr>
              <w:pStyle w:val="Listnumgrey"/>
            </w:pPr>
            <w:r>
              <w:t xml:space="preserve">payments on behalf of the State (POBOS); </w:t>
            </w:r>
          </w:p>
          <w:p w14:paraId="51613F6F" w14:textId="77777777" w:rsidR="006C78FB" w:rsidRPr="00E20142" w:rsidRDefault="00A27243" w:rsidP="00A27243">
            <w:pPr>
              <w:pStyle w:val="Listnumgrey"/>
            </w:pPr>
            <w:r>
              <w:t>special appropriations.</w:t>
            </w:r>
          </w:p>
        </w:tc>
      </w:tr>
      <w:tr w:rsidR="00A27243" w:rsidRPr="005828FE" w14:paraId="0F90481A" w14:textId="77777777" w:rsidTr="00AD6BE8">
        <w:tc>
          <w:tcPr>
            <w:tcW w:w="2293" w:type="dxa"/>
          </w:tcPr>
          <w:p w14:paraId="0AE5B3B4" w14:textId="77777777" w:rsidR="00A27243" w:rsidRPr="005828FE" w:rsidRDefault="00A27243" w:rsidP="00382EE1">
            <w:pPr>
              <w:pStyle w:val="Normalgrey"/>
            </w:pPr>
          </w:p>
        </w:tc>
        <w:tc>
          <w:tcPr>
            <w:tcW w:w="270" w:type="dxa"/>
          </w:tcPr>
          <w:p w14:paraId="292BBD75" w14:textId="77777777" w:rsidR="00A27243" w:rsidRPr="005828FE" w:rsidRDefault="00A27243" w:rsidP="00286F9A">
            <w:pPr>
              <w:pStyle w:val="Normalgrey"/>
            </w:pPr>
          </w:p>
        </w:tc>
        <w:tc>
          <w:tcPr>
            <w:tcW w:w="540" w:type="dxa"/>
          </w:tcPr>
          <w:p w14:paraId="0E100CC5" w14:textId="77DB2D91" w:rsidR="00A27243" w:rsidRPr="005828FE" w:rsidRDefault="00F86A81" w:rsidP="00286F9A">
            <w:pPr>
              <w:pStyle w:val="Normalgrey"/>
            </w:pPr>
            <w:r>
              <w:t>5.2</w:t>
            </w:r>
          </w:p>
        </w:tc>
        <w:tc>
          <w:tcPr>
            <w:tcW w:w="6134" w:type="dxa"/>
          </w:tcPr>
          <w:p w14:paraId="4AEB192A" w14:textId="2284AA41" w:rsidR="00A27243" w:rsidRDefault="00A27243" w:rsidP="00A27243">
            <w:pPr>
              <w:pStyle w:val="Normalgrey"/>
            </w:pPr>
            <w:r w:rsidRPr="00A27243">
              <w:rPr>
                <w:b/>
              </w:rPr>
              <w:t>Business</w:t>
            </w:r>
            <w:r>
              <w:t xml:space="preserve"> (in accordance with AASB 3 from 1 January 2020) </w:t>
            </w:r>
            <w:r w:rsidR="00A20E84" w:rsidRPr="00A27243">
              <w:t>–</w:t>
            </w:r>
            <w:r w:rsidR="00A20E84">
              <w:t xml:space="preserve"> </w:t>
            </w:r>
            <w:r>
              <w:t>an integrated set of activities and assets conducted and managed for the purpose of providing:</w:t>
            </w:r>
          </w:p>
          <w:p w14:paraId="383134ED" w14:textId="77777777" w:rsidR="00A27243" w:rsidRDefault="00A27243" w:rsidP="00A27243">
            <w:pPr>
              <w:pStyle w:val="Bullet1grey"/>
            </w:pPr>
            <w:r>
              <w:t>goods or services to customers;</w:t>
            </w:r>
          </w:p>
          <w:p w14:paraId="52C84BAD" w14:textId="77777777" w:rsidR="00A27243" w:rsidRDefault="00A27243" w:rsidP="00A27243">
            <w:pPr>
              <w:pStyle w:val="Bullet1grey"/>
            </w:pPr>
            <w:r>
              <w:t>generating investment income (such as dividends or interest); or</w:t>
            </w:r>
          </w:p>
          <w:p w14:paraId="690C150B" w14:textId="77777777" w:rsidR="00A27243" w:rsidRPr="00565CF3" w:rsidRDefault="00A27243" w:rsidP="00A27243">
            <w:pPr>
              <w:pStyle w:val="Bullet1grey"/>
            </w:pPr>
            <w:r>
              <w:t>generating other income from ordinary activities.</w:t>
            </w:r>
          </w:p>
        </w:tc>
      </w:tr>
      <w:tr w:rsidR="00A27243" w:rsidRPr="005828FE" w14:paraId="76AC7618" w14:textId="77777777" w:rsidTr="00AD6BE8">
        <w:tc>
          <w:tcPr>
            <w:tcW w:w="2293" w:type="dxa"/>
          </w:tcPr>
          <w:p w14:paraId="2D2ABFA6" w14:textId="77777777" w:rsidR="00A27243" w:rsidRPr="005828FE" w:rsidRDefault="00A27243" w:rsidP="00AD6BE8">
            <w:pPr>
              <w:pStyle w:val="Normalgrey"/>
            </w:pPr>
          </w:p>
        </w:tc>
        <w:tc>
          <w:tcPr>
            <w:tcW w:w="270" w:type="dxa"/>
          </w:tcPr>
          <w:p w14:paraId="5C07119A" w14:textId="77777777" w:rsidR="00A27243" w:rsidRPr="005828FE" w:rsidRDefault="00A27243" w:rsidP="00AD6BE8">
            <w:pPr>
              <w:pStyle w:val="Normalgrey"/>
            </w:pPr>
          </w:p>
        </w:tc>
        <w:tc>
          <w:tcPr>
            <w:tcW w:w="540" w:type="dxa"/>
          </w:tcPr>
          <w:p w14:paraId="163B3A08" w14:textId="5C6E5B93" w:rsidR="00A27243" w:rsidRPr="005828FE" w:rsidRDefault="00F86A81" w:rsidP="00AD6BE8">
            <w:pPr>
              <w:pStyle w:val="Normalgrey"/>
            </w:pPr>
            <w:r>
              <w:t>5.3</w:t>
            </w:r>
          </w:p>
        </w:tc>
        <w:tc>
          <w:tcPr>
            <w:tcW w:w="6134" w:type="dxa"/>
          </w:tcPr>
          <w:p w14:paraId="792E0CC2" w14:textId="2DA5119C" w:rsidR="00A27243" w:rsidRPr="00A27243" w:rsidRDefault="00A27243" w:rsidP="00A27243">
            <w:pPr>
              <w:pStyle w:val="Normalgrey"/>
            </w:pPr>
            <w:r w:rsidRPr="00A27243">
              <w:rPr>
                <w:b/>
              </w:rPr>
              <w:t>Chief finance and accounting officer</w:t>
            </w:r>
            <w:r w:rsidRPr="00A27243">
              <w:t xml:space="preserve"> –</w:t>
            </w:r>
            <w:r w:rsidR="00A20E84">
              <w:t xml:space="preserve"> </w:t>
            </w:r>
            <w:r w:rsidRPr="00A27243">
              <w:t xml:space="preserve">the officer responsible for the accounting and financial management of that department/entity in accordance with s43 of Part 7 Accounting and Reporting of the </w:t>
            </w:r>
            <w:r w:rsidRPr="00A27243">
              <w:rPr>
                <w:i/>
              </w:rPr>
              <w:t xml:space="preserve">Financial Management Act 1994 </w:t>
            </w:r>
            <w:r w:rsidRPr="00A27243">
              <w:t xml:space="preserve">and s3.1.2 of </w:t>
            </w:r>
            <w:r w:rsidRPr="00A27243">
              <w:rPr>
                <w:i/>
              </w:rPr>
              <w:t>Standing Directions 2018 under the Financial Management Act 1994</w:t>
            </w:r>
            <w:r w:rsidRPr="00A27243">
              <w:t>.</w:t>
            </w:r>
          </w:p>
        </w:tc>
      </w:tr>
      <w:tr w:rsidR="00A27243" w:rsidRPr="005828FE" w14:paraId="54A9D282" w14:textId="77777777" w:rsidTr="00AD6BE8">
        <w:tc>
          <w:tcPr>
            <w:tcW w:w="2293" w:type="dxa"/>
          </w:tcPr>
          <w:p w14:paraId="513B6E3B" w14:textId="77777777" w:rsidR="00A27243" w:rsidRPr="005828FE" w:rsidRDefault="00A27243" w:rsidP="00AD6BE8">
            <w:pPr>
              <w:pStyle w:val="Normalgrey"/>
            </w:pPr>
          </w:p>
        </w:tc>
        <w:tc>
          <w:tcPr>
            <w:tcW w:w="270" w:type="dxa"/>
          </w:tcPr>
          <w:p w14:paraId="70009C7B" w14:textId="77777777" w:rsidR="00A27243" w:rsidRPr="005828FE" w:rsidRDefault="00A27243" w:rsidP="00AD6BE8">
            <w:pPr>
              <w:pStyle w:val="Normalgrey"/>
            </w:pPr>
          </w:p>
        </w:tc>
        <w:tc>
          <w:tcPr>
            <w:tcW w:w="540" w:type="dxa"/>
          </w:tcPr>
          <w:p w14:paraId="62800CB9" w14:textId="597C6335" w:rsidR="00A27243" w:rsidRPr="005828FE" w:rsidRDefault="00F86A81" w:rsidP="00AD6BE8">
            <w:pPr>
              <w:pStyle w:val="Normalgrey"/>
            </w:pPr>
            <w:r>
              <w:t>5.4</w:t>
            </w:r>
          </w:p>
        </w:tc>
        <w:tc>
          <w:tcPr>
            <w:tcW w:w="6134" w:type="dxa"/>
          </w:tcPr>
          <w:p w14:paraId="657500BA" w14:textId="30A14C63" w:rsidR="00A27243" w:rsidRPr="00A27243" w:rsidRDefault="00A27243" w:rsidP="00A27243">
            <w:pPr>
              <w:pStyle w:val="Normalgrey"/>
            </w:pPr>
            <w:r w:rsidRPr="00A27243">
              <w:rPr>
                <w:b/>
              </w:rPr>
              <w:t>Contributed capital</w:t>
            </w:r>
            <w:r w:rsidRPr="00A27243">
              <w:t xml:space="preserve"> (or contributed equity) </w:t>
            </w:r>
            <w:r w:rsidR="00A20E84" w:rsidRPr="00A27243">
              <w:t>–</w:t>
            </w:r>
            <w:r w:rsidR="00A20E84">
              <w:t xml:space="preserve"> </w:t>
            </w:r>
            <w:r w:rsidRPr="00A27243">
              <w:t>the accumulation of net contributions by owners/distributions to owners. It is the balance of equity (net worth) excluding accumulated surplus/deficit and accumulated reserves.</w:t>
            </w:r>
          </w:p>
        </w:tc>
      </w:tr>
      <w:tr w:rsidR="00A27243" w:rsidRPr="005828FE" w14:paraId="6B19F321" w14:textId="77777777" w:rsidTr="00AD6BE8">
        <w:tc>
          <w:tcPr>
            <w:tcW w:w="2293" w:type="dxa"/>
          </w:tcPr>
          <w:p w14:paraId="11FDB77F" w14:textId="77777777" w:rsidR="00A27243" w:rsidRPr="005828FE" w:rsidRDefault="00A27243" w:rsidP="00AD6BE8">
            <w:pPr>
              <w:pStyle w:val="Normalgrey"/>
            </w:pPr>
          </w:p>
        </w:tc>
        <w:tc>
          <w:tcPr>
            <w:tcW w:w="270" w:type="dxa"/>
          </w:tcPr>
          <w:p w14:paraId="4D7536B0" w14:textId="77777777" w:rsidR="00A27243" w:rsidRPr="005828FE" w:rsidRDefault="00A27243" w:rsidP="00AD6BE8">
            <w:pPr>
              <w:pStyle w:val="Normalgrey"/>
            </w:pPr>
          </w:p>
        </w:tc>
        <w:tc>
          <w:tcPr>
            <w:tcW w:w="540" w:type="dxa"/>
          </w:tcPr>
          <w:p w14:paraId="24BFD694" w14:textId="1247A149" w:rsidR="00A27243" w:rsidRPr="005828FE" w:rsidRDefault="00F86A81" w:rsidP="00AD6BE8">
            <w:pPr>
              <w:pStyle w:val="Normalgrey"/>
            </w:pPr>
            <w:r>
              <w:t>5.5</w:t>
            </w:r>
          </w:p>
        </w:tc>
        <w:tc>
          <w:tcPr>
            <w:tcW w:w="6134" w:type="dxa"/>
          </w:tcPr>
          <w:p w14:paraId="6E97C108" w14:textId="0825CD50" w:rsidR="00A27243" w:rsidRDefault="00A27243" w:rsidP="00A27243">
            <w:pPr>
              <w:pStyle w:val="Normalgrey"/>
            </w:pPr>
            <w:r w:rsidRPr="00A27243">
              <w:rPr>
                <w:b/>
              </w:rPr>
              <w:t>Contributions by owners</w:t>
            </w:r>
            <w:r>
              <w:t xml:space="preserve"> –</w:t>
            </w:r>
            <w:r w:rsidR="00A20E84">
              <w:t xml:space="preserve"> </w:t>
            </w:r>
            <w:r>
              <w:t>the future economic benefits that have been contributed to the entity by another public-sector entity wholly owned and controlled by the State, other than those which result in liabilities, that give rise to a financial interest in the net assets of the entity which:</w:t>
            </w:r>
          </w:p>
          <w:p w14:paraId="4ED544DE" w14:textId="77777777" w:rsidR="00A27243" w:rsidRDefault="00A27243" w:rsidP="00A27243">
            <w:pPr>
              <w:pStyle w:val="Listnumgrey"/>
              <w:numPr>
                <w:ilvl w:val="2"/>
                <w:numId w:val="31"/>
              </w:numPr>
            </w:pPr>
            <w:r>
              <w:t>conveys entitlement both to distributions of future economic benefits by the entity during its life, such distributions being at the discretion of the ownership group or its representatives, and to distributions of any excess of assets over liabilities in the event of the entity being wound up; and/or</w:t>
            </w:r>
          </w:p>
          <w:p w14:paraId="66BFE751" w14:textId="77777777" w:rsidR="00A27243" w:rsidRPr="00A27243" w:rsidRDefault="00A27243" w:rsidP="00A27243">
            <w:pPr>
              <w:pStyle w:val="Listnumgrey"/>
            </w:pPr>
            <w:r>
              <w:t>can be sold, transferred or redeemed.</w:t>
            </w:r>
          </w:p>
        </w:tc>
      </w:tr>
      <w:tr w:rsidR="00A27243" w:rsidRPr="005828FE" w14:paraId="74046BBD" w14:textId="77777777" w:rsidTr="00AD6BE8">
        <w:tc>
          <w:tcPr>
            <w:tcW w:w="2293" w:type="dxa"/>
          </w:tcPr>
          <w:p w14:paraId="5D91179F" w14:textId="77777777" w:rsidR="00A27243" w:rsidRPr="005828FE" w:rsidRDefault="00A27243" w:rsidP="00AD6BE8">
            <w:pPr>
              <w:pStyle w:val="Normalgrey"/>
            </w:pPr>
          </w:p>
        </w:tc>
        <w:tc>
          <w:tcPr>
            <w:tcW w:w="270" w:type="dxa"/>
          </w:tcPr>
          <w:p w14:paraId="2244187D" w14:textId="77777777" w:rsidR="00A27243" w:rsidRPr="005828FE" w:rsidRDefault="00A27243" w:rsidP="00AD6BE8">
            <w:pPr>
              <w:pStyle w:val="Normalgrey"/>
            </w:pPr>
          </w:p>
        </w:tc>
        <w:tc>
          <w:tcPr>
            <w:tcW w:w="540" w:type="dxa"/>
          </w:tcPr>
          <w:p w14:paraId="296C3234" w14:textId="0C50C4DF" w:rsidR="00A27243" w:rsidRPr="005828FE" w:rsidRDefault="00F86A81" w:rsidP="00AD6BE8">
            <w:pPr>
              <w:pStyle w:val="Normalgrey"/>
            </w:pPr>
            <w:r>
              <w:t>5.6</w:t>
            </w:r>
          </w:p>
        </w:tc>
        <w:tc>
          <w:tcPr>
            <w:tcW w:w="6134" w:type="dxa"/>
          </w:tcPr>
          <w:p w14:paraId="36CEB09C" w14:textId="5F2EFA12" w:rsidR="00A27243" w:rsidRDefault="00A27243" w:rsidP="00A27243">
            <w:pPr>
              <w:pStyle w:val="Normalgrey"/>
            </w:pPr>
            <w:r w:rsidRPr="00A27243">
              <w:rPr>
                <w:b/>
              </w:rPr>
              <w:t>Distributions to owners</w:t>
            </w:r>
            <w:r>
              <w:t xml:space="preserve"> –</w:t>
            </w:r>
            <w:r w:rsidR="00A20E84">
              <w:t xml:space="preserve"> </w:t>
            </w:r>
            <w:r>
              <w:t>a reduction of the contributed capital in the form of:</w:t>
            </w:r>
          </w:p>
          <w:p w14:paraId="325A2198" w14:textId="77777777" w:rsidR="00A27243" w:rsidRDefault="00A27243" w:rsidP="00A27243">
            <w:pPr>
              <w:pStyle w:val="Listnumgrey"/>
              <w:numPr>
                <w:ilvl w:val="2"/>
                <w:numId w:val="32"/>
              </w:numPr>
            </w:pPr>
            <w:r>
              <w:t>distribution of assets or net assets to the owner by the original transferor; or</w:t>
            </w:r>
          </w:p>
          <w:p w14:paraId="46C7A4A7" w14:textId="77777777" w:rsidR="00A27243" w:rsidRPr="00A27243" w:rsidRDefault="00A27243" w:rsidP="00A27243">
            <w:pPr>
              <w:pStyle w:val="Listnumgrey"/>
            </w:pPr>
            <w:r>
              <w:t>receipt of liabilities or net liabilities by the ultimate transferee.</w:t>
            </w:r>
          </w:p>
        </w:tc>
      </w:tr>
      <w:tr w:rsidR="00A27243" w:rsidRPr="005828FE" w14:paraId="29F70582" w14:textId="77777777" w:rsidTr="00AD6BE8">
        <w:tc>
          <w:tcPr>
            <w:tcW w:w="2293" w:type="dxa"/>
          </w:tcPr>
          <w:p w14:paraId="68A62007" w14:textId="77777777" w:rsidR="00A27243" w:rsidRPr="005828FE" w:rsidRDefault="00A27243" w:rsidP="00A27243">
            <w:pPr>
              <w:pStyle w:val="Normalgrey"/>
            </w:pPr>
          </w:p>
        </w:tc>
        <w:tc>
          <w:tcPr>
            <w:tcW w:w="270" w:type="dxa"/>
          </w:tcPr>
          <w:p w14:paraId="48279BD0" w14:textId="77777777" w:rsidR="00A27243" w:rsidRPr="005828FE" w:rsidRDefault="00A27243" w:rsidP="00A27243">
            <w:pPr>
              <w:pStyle w:val="Normalgrey"/>
            </w:pPr>
          </w:p>
        </w:tc>
        <w:tc>
          <w:tcPr>
            <w:tcW w:w="540" w:type="dxa"/>
          </w:tcPr>
          <w:p w14:paraId="32914A4A" w14:textId="2C0BB69E" w:rsidR="00A27243" w:rsidRPr="005828FE" w:rsidRDefault="00F86A81" w:rsidP="00A27243">
            <w:pPr>
              <w:pStyle w:val="Normalgrey"/>
            </w:pPr>
            <w:r>
              <w:t>5.7</w:t>
            </w:r>
          </w:p>
        </w:tc>
        <w:tc>
          <w:tcPr>
            <w:tcW w:w="6134" w:type="dxa"/>
          </w:tcPr>
          <w:p w14:paraId="0ADBB68D" w14:textId="2F67DC20" w:rsidR="00A27243" w:rsidRPr="00686362" w:rsidRDefault="00A27243" w:rsidP="00A27243">
            <w:pPr>
              <w:pStyle w:val="Normalgrey"/>
            </w:pPr>
            <w:r w:rsidRPr="00A27243">
              <w:rPr>
                <w:b/>
              </w:rPr>
              <w:t>Government</w:t>
            </w:r>
            <w:r w:rsidRPr="00686362">
              <w:t xml:space="preserve"> –</w:t>
            </w:r>
            <w:r w:rsidR="00A20E84">
              <w:t xml:space="preserve"> </w:t>
            </w:r>
            <w:r w:rsidRPr="00686362">
              <w:t>the Victorian State Government.</w:t>
            </w:r>
          </w:p>
        </w:tc>
      </w:tr>
      <w:tr w:rsidR="00A27243" w:rsidRPr="005828FE" w14:paraId="7623B23C" w14:textId="77777777" w:rsidTr="00AD6BE8">
        <w:tc>
          <w:tcPr>
            <w:tcW w:w="2293" w:type="dxa"/>
          </w:tcPr>
          <w:p w14:paraId="049B0E3E" w14:textId="77777777" w:rsidR="00A27243" w:rsidRPr="005828FE" w:rsidRDefault="00A27243" w:rsidP="00A27243">
            <w:pPr>
              <w:pStyle w:val="Normalgrey"/>
            </w:pPr>
          </w:p>
        </w:tc>
        <w:tc>
          <w:tcPr>
            <w:tcW w:w="270" w:type="dxa"/>
          </w:tcPr>
          <w:p w14:paraId="4B7E14F9" w14:textId="77777777" w:rsidR="00A27243" w:rsidRPr="005828FE" w:rsidRDefault="00A27243" w:rsidP="00A27243">
            <w:pPr>
              <w:pStyle w:val="Normalgrey"/>
            </w:pPr>
          </w:p>
        </w:tc>
        <w:tc>
          <w:tcPr>
            <w:tcW w:w="540" w:type="dxa"/>
          </w:tcPr>
          <w:p w14:paraId="3EF773FE" w14:textId="0384C918" w:rsidR="00A27243" w:rsidRPr="005828FE" w:rsidRDefault="00F86A81" w:rsidP="00A27243">
            <w:pPr>
              <w:pStyle w:val="Normalgrey"/>
            </w:pPr>
            <w:r>
              <w:t>5..8</w:t>
            </w:r>
          </w:p>
        </w:tc>
        <w:tc>
          <w:tcPr>
            <w:tcW w:w="6134" w:type="dxa"/>
          </w:tcPr>
          <w:p w14:paraId="3629A174" w14:textId="19117300" w:rsidR="00A27243" w:rsidRPr="00686362" w:rsidRDefault="00A27243" w:rsidP="00A27243">
            <w:pPr>
              <w:pStyle w:val="Normalgrey"/>
            </w:pPr>
            <w:r w:rsidRPr="00A27243">
              <w:rPr>
                <w:b/>
              </w:rPr>
              <w:t>State</w:t>
            </w:r>
            <w:r w:rsidRPr="00686362">
              <w:t xml:space="preserve"> –</w:t>
            </w:r>
            <w:r w:rsidR="00A20E84">
              <w:t xml:space="preserve"> </w:t>
            </w:r>
            <w:r w:rsidRPr="00686362">
              <w:t>the Victorian State Government.</w:t>
            </w:r>
          </w:p>
        </w:tc>
      </w:tr>
      <w:tr w:rsidR="00A27243" w:rsidRPr="005828FE" w14:paraId="79ED03CB" w14:textId="77777777" w:rsidTr="00AD6BE8">
        <w:tc>
          <w:tcPr>
            <w:tcW w:w="2293" w:type="dxa"/>
          </w:tcPr>
          <w:p w14:paraId="5279927E" w14:textId="77777777" w:rsidR="00A27243" w:rsidRPr="005828FE" w:rsidRDefault="00A27243" w:rsidP="00A27243">
            <w:pPr>
              <w:pStyle w:val="Normalgrey"/>
            </w:pPr>
          </w:p>
        </w:tc>
        <w:tc>
          <w:tcPr>
            <w:tcW w:w="270" w:type="dxa"/>
          </w:tcPr>
          <w:p w14:paraId="1CF5DECA" w14:textId="77777777" w:rsidR="00A27243" w:rsidRPr="005828FE" w:rsidRDefault="00A27243" w:rsidP="00A27243">
            <w:pPr>
              <w:pStyle w:val="Normalgrey"/>
            </w:pPr>
          </w:p>
        </w:tc>
        <w:tc>
          <w:tcPr>
            <w:tcW w:w="540" w:type="dxa"/>
          </w:tcPr>
          <w:p w14:paraId="1F70BE41" w14:textId="197CACCD" w:rsidR="00A27243" w:rsidRPr="005828FE" w:rsidRDefault="00F86A81" w:rsidP="00A27243">
            <w:pPr>
              <w:pStyle w:val="Normalgrey"/>
            </w:pPr>
            <w:r>
              <w:t>5.9</w:t>
            </w:r>
          </w:p>
        </w:tc>
        <w:tc>
          <w:tcPr>
            <w:tcW w:w="6134" w:type="dxa"/>
          </w:tcPr>
          <w:p w14:paraId="433F9968" w14:textId="30443C58" w:rsidR="00A27243" w:rsidRPr="00686362" w:rsidRDefault="00A27243" w:rsidP="00A27243">
            <w:pPr>
              <w:pStyle w:val="Normalgrey"/>
            </w:pPr>
            <w:r w:rsidRPr="00A27243">
              <w:rPr>
                <w:b/>
              </w:rPr>
              <w:t>Owner</w:t>
            </w:r>
            <w:r w:rsidRPr="00686362">
              <w:t xml:space="preserve"> –</w:t>
            </w:r>
            <w:r w:rsidR="00A20E84">
              <w:t xml:space="preserve"> </w:t>
            </w:r>
            <w:r w:rsidRPr="00686362">
              <w:t>the Victorian State Government.</w:t>
            </w:r>
          </w:p>
        </w:tc>
      </w:tr>
      <w:tr w:rsidR="00A27243" w:rsidRPr="005828FE" w14:paraId="37277070" w14:textId="77777777" w:rsidTr="00AD6BE8">
        <w:tc>
          <w:tcPr>
            <w:tcW w:w="2293" w:type="dxa"/>
          </w:tcPr>
          <w:p w14:paraId="14B77ADC" w14:textId="77777777" w:rsidR="00A27243" w:rsidRPr="005828FE" w:rsidRDefault="00A27243" w:rsidP="00A27243">
            <w:pPr>
              <w:pStyle w:val="Normalgrey"/>
            </w:pPr>
          </w:p>
        </w:tc>
        <w:tc>
          <w:tcPr>
            <w:tcW w:w="270" w:type="dxa"/>
          </w:tcPr>
          <w:p w14:paraId="5DF103FD" w14:textId="77777777" w:rsidR="00A27243" w:rsidRPr="005828FE" w:rsidRDefault="00A27243" w:rsidP="00A27243">
            <w:pPr>
              <w:pStyle w:val="Normalgrey"/>
            </w:pPr>
          </w:p>
        </w:tc>
        <w:tc>
          <w:tcPr>
            <w:tcW w:w="540" w:type="dxa"/>
          </w:tcPr>
          <w:p w14:paraId="0232F85A" w14:textId="100725CA" w:rsidR="00A27243" w:rsidRPr="005828FE" w:rsidRDefault="00F86A81" w:rsidP="00A27243">
            <w:pPr>
              <w:pStyle w:val="Normalgrey"/>
            </w:pPr>
            <w:r>
              <w:t>5.10</w:t>
            </w:r>
          </w:p>
        </w:tc>
        <w:tc>
          <w:tcPr>
            <w:tcW w:w="6134" w:type="dxa"/>
          </w:tcPr>
          <w:p w14:paraId="786E3656" w14:textId="5AC7D884" w:rsidR="00A27243" w:rsidRPr="00686362" w:rsidRDefault="00A27243" w:rsidP="00A27243">
            <w:pPr>
              <w:pStyle w:val="Normalgrey"/>
            </w:pPr>
            <w:r w:rsidRPr="00A27243">
              <w:rPr>
                <w:b/>
              </w:rPr>
              <w:t>Interposed parent department</w:t>
            </w:r>
            <w:r w:rsidRPr="00686362">
              <w:t xml:space="preserve"> –</w:t>
            </w:r>
            <w:r w:rsidR="00A20E84">
              <w:t xml:space="preserve"> </w:t>
            </w:r>
            <w:r w:rsidRPr="00686362">
              <w:t>the portfolio department of an entity.</w:t>
            </w:r>
          </w:p>
        </w:tc>
      </w:tr>
      <w:tr w:rsidR="00A27243" w:rsidRPr="005828FE" w14:paraId="00DD2138" w14:textId="77777777" w:rsidTr="00AD6BE8">
        <w:tc>
          <w:tcPr>
            <w:tcW w:w="2293" w:type="dxa"/>
          </w:tcPr>
          <w:p w14:paraId="7F115884" w14:textId="77777777" w:rsidR="00A27243" w:rsidRPr="005828FE" w:rsidRDefault="00A27243" w:rsidP="00A27243">
            <w:pPr>
              <w:pStyle w:val="Normalgrey"/>
            </w:pPr>
          </w:p>
        </w:tc>
        <w:tc>
          <w:tcPr>
            <w:tcW w:w="270" w:type="dxa"/>
          </w:tcPr>
          <w:p w14:paraId="577DCC5E" w14:textId="77777777" w:rsidR="00A27243" w:rsidRPr="005828FE" w:rsidRDefault="00A27243" w:rsidP="00A27243">
            <w:pPr>
              <w:pStyle w:val="Normalgrey"/>
            </w:pPr>
          </w:p>
        </w:tc>
        <w:tc>
          <w:tcPr>
            <w:tcW w:w="540" w:type="dxa"/>
          </w:tcPr>
          <w:p w14:paraId="10161B47" w14:textId="64AEB9F4" w:rsidR="00A27243" w:rsidRPr="005828FE" w:rsidRDefault="00F86A81" w:rsidP="00A27243">
            <w:pPr>
              <w:pStyle w:val="Normalgrey"/>
            </w:pPr>
            <w:r>
              <w:t>5.12</w:t>
            </w:r>
          </w:p>
        </w:tc>
        <w:tc>
          <w:tcPr>
            <w:tcW w:w="6134" w:type="dxa"/>
          </w:tcPr>
          <w:p w14:paraId="3B212033" w14:textId="77777777" w:rsidR="00A27243" w:rsidRPr="00686362" w:rsidRDefault="00A27243" w:rsidP="00A27243">
            <w:pPr>
              <w:pStyle w:val="Normalgrey"/>
            </w:pPr>
            <w:r w:rsidRPr="00A27243">
              <w:rPr>
                <w:b/>
              </w:rPr>
              <w:t>Transferor Portfolio Minister</w:t>
            </w:r>
            <w:r w:rsidRPr="00686362">
              <w:t xml:space="preserve"> – means the relevant portfolio Minister for the transferor department or entity.</w:t>
            </w:r>
          </w:p>
        </w:tc>
      </w:tr>
      <w:tr w:rsidR="00A27243" w:rsidRPr="005828FE" w14:paraId="358551BF" w14:textId="77777777" w:rsidTr="00AD6BE8">
        <w:tc>
          <w:tcPr>
            <w:tcW w:w="2293" w:type="dxa"/>
          </w:tcPr>
          <w:p w14:paraId="3E5008E8" w14:textId="77777777" w:rsidR="00A27243" w:rsidRPr="005828FE" w:rsidRDefault="00A27243" w:rsidP="00A27243">
            <w:pPr>
              <w:pStyle w:val="Normalgrey"/>
            </w:pPr>
          </w:p>
        </w:tc>
        <w:tc>
          <w:tcPr>
            <w:tcW w:w="270" w:type="dxa"/>
          </w:tcPr>
          <w:p w14:paraId="1F728287" w14:textId="77777777" w:rsidR="00A27243" w:rsidRPr="005828FE" w:rsidRDefault="00A27243" w:rsidP="00A27243">
            <w:pPr>
              <w:pStyle w:val="Normalgrey"/>
            </w:pPr>
          </w:p>
        </w:tc>
        <w:tc>
          <w:tcPr>
            <w:tcW w:w="540" w:type="dxa"/>
          </w:tcPr>
          <w:p w14:paraId="0706369C" w14:textId="5AF7FBF2" w:rsidR="00A27243" w:rsidRPr="005828FE" w:rsidRDefault="00F86A81" w:rsidP="00A27243">
            <w:pPr>
              <w:pStyle w:val="Normalgrey"/>
            </w:pPr>
            <w:r>
              <w:t>5.13</w:t>
            </w:r>
          </w:p>
        </w:tc>
        <w:tc>
          <w:tcPr>
            <w:tcW w:w="6134" w:type="dxa"/>
          </w:tcPr>
          <w:p w14:paraId="1469AFAE" w14:textId="4A518FA1" w:rsidR="00A27243" w:rsidRPr="00686362" w:rsidRDefault="00A27243" w:rsidP="00A27243">
            <w:pPr>
              <w:pStyle w:val="Normalgrey"/>
            </w:pPr>
            <w:r w:rsidRPr="00A27243">
              <w:rPr>
                <w:b/>
              </w:rPr>
              <w:t>Restructure of administrative arrangements</w:t>
            </w:r>
            <w:r w:rsidRPr="00686362">
              <w:t xml:space="preserve"> –</w:t>
            </w:r>
            <w:r w:rsidR="00A20E84">
              <w:t xml:space="preserve"> </w:t>
            </w:r>
            <w:r w:rsidRPr="00686362">
              <w:t xml:space="preserve">the reallocation or reorganisation of assets, liabilities, activities and responsibilities amongst the entities that the government controls that occurs as a consequence of a rearrangement in the way in which activities and responsibilities as prescribed under legislation or other authority are allocated between the government’s-controlled entities (as defined in AASB 1004). </w:t>
            </w:r>
          </w:p>
        </w:tc>
      </w:tr>
      <w:tr w:rsidR="00A27243" w:rsidRPr="005828FE" w14:paraId="02FB489B" w14:textId="77777777" w:rsidTr="00AD6BE8">
        <w:tc>
          <w:tcPr>
            <w:tcW w:w="2293" w:type="dxa"/>
          </w:tcPr>
          <w:p w14:paraId="569DD451" w14:textId="77777777" w:rsidR="00A27243" w:rsidRPr="005828FE" w:rsidRDefault="00A27243" w:rsidP="00A27243">
            <w:pPr>
              <w:pStyle w:val="Normalgrey"/>
            </w:pPr>
          </w:p>
        </w:tc>
        <w:tc>
          <w:tcPr>
            <w:tcW w:w="270" w:type="dxa"/>
          </w:tcPr>
          <w:p w14:paraId="7FE70FA6" w14:textId="77777777" w:rsidR="00A27243" w:rsidRPr="005828FE" w:rsidRDefault="00A27243" w:rsidP="00A27243">
            <w:pPr>
              <w:pStyle w:val="Normalgrey"/>
            </w:pPr>
          </w:p>
        </w:tc>
        <w:tc>
          <w:tcPr>
            <w:tcW w:w="540" w:type="dxa"/>
          </w:tcPr>
          <w:p w14:paraId="5E50468B" w14:textId="5516FD6A" w:rsidR="00A27243" w:rsidRPr="005828FE" w:rsidRDefault="00F86A81" w:rsidP="00A27243">
            <w:pPr>
              <w:pStyle w:val="Normalgrey"/>
            </w:pPr>
            <w:r>
              <w:t>5.14</w:t>
            </w:r>
          </w:p>
        </w:tc>
        <w:tc>
          <w:tcPr>
            <w:tcW w:w="6134" w:type="dxa"/>
          </w:tcPr>
          <w:p w14:paraId="48AF2A6C" w14:textId="36C79B1C" w:rsidR="00A27243" w:rsidRDefault="00A27243" w:rsidP="00A27243">
            <w:pPr>
              <w:pStyle w:val="Normalgrey"/>
            </w:pPr>
            <w:r w:rsidRPr="00A27243">
              <w:rPr>
                <w:b/>
              </w:rPr>
              <w:t>Transfers</w:t>
            </w:r>
            <w:r w:rsidRPr="00686362">
              <w:t xml:space="preserve"> –</w:t>
            </w:r>
            <w:r w:rsidR="00A20E84">
              <w:t xml:space="preserve"> </w:t>
            </w:r>
            <w:r w:rsidRPr="00686362">
              <w:t>the transfers of assets and/or liabilities between Victorian public-sector entities and excludes transfers that are made as consideration for the provision of goods and/or services by the transferee at fair value to the transferor.</w:t>
            </w:r>
          </w:p>
        </w:tc>
      </w:tr>
      <w:tr w:rsidR="00A27243" w:rsidRPr="005828FE" w14:paraId="05B60628" w14:textId="77777777" w:rsidTr="00AD6BE8">
        <w:tc>
          <w:tcPr>
            <w:tcW w:w="2293" w:type="dxa"/>
          </w:tcPr>
          <w:p w14:paraId="7D1D0DD7" w14:textId="77777777" w:rsidR="00A27243" w:rsidRPr="005828FE" w:rsidRDefault="00A27243" w:rsidP="00AD6BE8">
            <w:pPr>
              <w:pStyle w:val="Normalgrey"/>
            </w:pPr>
          </w:p>
        </w:tc>
        <w:tc>
          <w:tcPr>
            <w:tcW w:w="270" w:type="dxa"/>
          </w:tcPr>
          <w:p w14:paraId="5EA8DF67" w14:textId="77777777" w:rsidR="00A27243" w:rsidRPr="005828FE" w:rsidRDefault="00A27243" w:rsidP="00AD6BE8">
            <w:pPr>
              <w:pStyle w:val="Normalgrey"/>
            </w:pPr>
          </w:p>
        </w:tc>
        <w:tc>
          <w:tcPr>
            <w:tcW w:w="540" w:type="dxa"/>
          </w:tcPr>
          <w:p w14:paraId="0F8F4B5C" w14:textId="34D1C16A" w:rsidR="00A27243" w:rsidRPr="005828FE" w:rsidRDefault="00F86A81" w:rsidP="00AD6BE8">
            <w:pPr>
              <w:pStyle w:val="Normalgrey"/>
            </w:pPr>
            <w:r>
              <w:t>5.15</w:t>
            </w:r>
          </w:p>
        </w:tc>
        <w:tc>
          <w:tcPr>
            <w:tcW w:w="6134" w:type="dxa"/>
          </w:tcPr>
          <w:p w14:paraId="074AD334" w14:textId="7CD537C4" w:rsidR="001B621F" w:rsidRDefault="001B621F" w:rsidP="001B621F">
            <w:pPr>
              <w:pStyle w:val="Normalgrey"/>
            </w:pPr>
            <w:r w:rsidRPr="001B621F">
              <w:rPr>
                <w:b/>
              </w:rPr>
              <w:t>Public sector entity</w:t>
            </w:r>
            <w:r>
              <w:t xml:space="preserve"> –</w:t>
            </w:r>
            <w:r w:rsidR="00A20E84">
              <w:t xml:space="preserve"> </w:t>
            </w:r>
            <w:r>
              <w:t>departments and entities wholly-owned and controlled by the State. It excludes local government entities, universities, denominational hospitals and any other non-controlled entities such as certain companies and trusts.</w:t>
            </w:r>
          </w:p>
          <w:p w14:paraId="5C953001" w14:textId="77777777" w:rsidR="001B621F" w:rsidRDefault="001B621F" w:rsidP="001B621F">
            <w:pPr>
              <w:pStyle w:val="Normalgrey"/>
            </w:pPr>
            <w:r>
              <w:t xml:space="preserve">For the purposes of this FRD, the latest annual </w:t>
            </w:r>
            <w:r w:rsidRPr="001B621F">
              <w:rPr>
                <w:i/>
              </w:rPr>
              <w:t>Financial Report for the State of Victoria</w:t>
            </w:r>
            <w:r>
              <w:t xml:space="preserve"> lists the entities that are considered controlled by the State. This list is subject to regular updates. </w:t>
            </w:r>
          </w:p>
          <w:p w14:paraId="625F8674" w14:textId="77777777" w:rsidR="00A27243" w:rsidRPr="00A27243" w:rsidRDefault="001B621F" w:rsidP="001B621F">
            <w:pPr>
              <w:pStyle w:val="Normalgrey"/>
            </w:pPr>
            <w:r>
              <w:t xml:space="preserve">An entity that is not listed as a controlled entity in the latest </w:t>
            </w:r>
            <w:r w:rsidRPr="001B621F">
              <w:rPr>
                <w:i/>
              </w:rPr>
              <w:t>Financial Report for the State of Victoria</w:t>
            </w:r>
            <w:r>
              <w:t xml:space="preserve"> and wishes to apply this FRD must demonstrate to the Consolidation and Reporting Analysis Team of DTF that the entity is a public-sector entity.</w:t>
            </w:r>
          </w:p>
        </w:tc>
      </w:tr>
      <w:tr w:rsidR="00201F7F" w:rsidRPr="005828FE" w14:paraId="19548F66" w14:textId="77777777" w:rsidTr="00AD6BE8">
        <w:tc>
          <w:tcPr>
            <w:tcW w:w="2293" w:type="dxa"/>
          </w:tcPr>
          <w:p w14:paraId="3316E33B" w14:textId="77777777" w:rsidR="00201F7F" w:rsidRPr="005828FE" w:rsidRDefault="00201F7F" w:rsidP="00AD6BE8">
            <w:pPr>
              <w:pStyle w:val="Normalgrey"/>
            </w:pPr>
            <w:r w:rsidRPr="005828FE">
              <w:t>Guidance</w:t>
            </w:r>
          </w:p>
        </w:tc>
        <w:tc>
          <w:tcPr>
            <w:tcW w:w="270" w:type="dxa"/>
          </w:tcPr>
          <w:p w14:paraId="101818D7" w14:textId="77777777" w:rsidR="00201F7F" w:rsidRPr="005828FE" w:rsidRDefault="00201F7F" w:rsidP="00AD6BE8">
            <w:pPr>
              <w:pStyle w:val="Normalgrey"/>
            </w:pPr>
          </w:p>
        </w:tc>
        <w:tc>
          <w:tcPr>
            <w:tcW w:w="540" w:type="dxa"/>
          </w:tcPr>
          <w:p w14:paraId="077DB1BF" w14:textId="1AC9669F" w:rsidR="00201F7F" w:rsidRPr="005828FE" w:rsidRDefault="00F86A81" w:rsidP="00AD6BE8">
            <w:pPr>
              <w:pStyle w:val="Normalgrey"/>
            </w:pPr>
            <w:r>
              <w:t>6.1</w:t>
            </w:r>
          </w:p>
        </w:tc>
        <w:tc>
          <w:tcPr>
            <w:tcW w:w="6134" w:type="dxa"/>
          </w:tcPr>
          <w:p w14:paraId="7C18A45B" w14:textId="77777777" w:rsidR="00201F7F" w:rsidRDefault="00201F7F" w:rsidP="00201F7F">
            <w:pPr>
              <w:pStyle w:val="Normalgrey"/>
            </w:pPr>
            <w:r>
              <w:t xml:space="preserve">Consistent with the requirements in AASB 1004 </w:t>
            </w:r>
            <w:r w:rsidRPr="00201F7F">
              <w:rPr>
                <w:i/>
              </w:rPr>
              <w:t>Contributions</w:t>
            </w:r>
            <w:r>
              <w:t xml:space="preserve"> and AASB Interpretation 1038, transfers between entities wholly owned and controlled by the State can only be accounted for as contributions by or distributions to owners based on a government decision in the form of: </w:t>
            </w:r>
          </w:p>
          <w:p w14:paraId="58662B32" w14:textId="77777777" w:rsidR="00201F7F" w:rsidRDefault="00201F7F" w:rsidP="00201F7F">
            <w:pPr>
              <w:pStyle w:val="Listnumgrey"/>
              <w:numPr>
                <w:ilvl w:val="2"/>
                <w:numId w:val="33"/>
              </w:numPr>
            </w:pPr>
            <w:r>
              <w:t xml:space="preserve">restructures of administrative arrangements; </w:t>
            </w:r>
          </w:p>
          <w:p w14:paraId="62940BFB" w14:textId="77777777" w:rsidR="00201F7F" w:rsidRDefault="00201F7F" w:rsidP="00201F7F">
            <w:pPr>
              <w:pStyle w:val="Listnumgrey"/>
              <w:numPr>
                <w:ilvl w:val="2"/>
                <w:numId w:val="33"/>
              </w:numPr>
            </w:pPr>
            <w:r>
              <w:t xml:space="preserve">parliamentary appropriations; </w:t>
            </w:r>
          </w:p>
          <w:p w14:paraId="649C8ED2" w14:textId="3B72A486" w:rsidR="00201F7F" w:rsidRDefault="00201F7F" w:rsidP="00201F7F">
            <w:pPr>
              <w:pStyle w:val="Listnumgrey"/>
              <w:numPr>
                <w:ilvl w:val="2"/>
                <w:numId w:val="33"/>
              </w:numPr>
            </w:pPr>
            <w:r>
              <w:t xml:space="preserve">return of an asset or net assets to owners prior to sale, or transfer under FRD 117; and </w:t>
            </w:r>
          </w:p>
          <w:p w14:paraId="65200B0B" w14:textId="77777777" w:rsidR="00201F7F" w:rsidRPr="005828FE" w:rsidRDefault="00201F7F" w:rsidP="00201F7F">
            <w:pPr>
              <w:pStyle w:val="Listnumgrey"/>
              <w:numPr>
                <w:ilvl w:val="2"/>
                <w:numId w:val="33"/>
              </w:numPr>
            </w:pPr>
            <w:r>
              <w:t>‘other transfers’ designated by the transferor’s portfolio Minister.</w:t>
            </w:r>
          </w:p>
        </w:tc>
      </w:tr>
      <w:tr w:rsidR="00201F7F" w:rsidRPr="005828FE" w14:paraId="69764B71" w14:textId="77777777" w:rsidTr="00AD6BE8">
        <w:tc>
          <w:tcPr>
            <w:tcW w:w="2293" w:type="dxa"/>
          </w:tcPr>
          <w:p w14:paraId="5C0DECD5" w14:textId="77777777" w:rsidR="00201F7F" w:rsidRPr="005828FE" w:rsidRDefault="00201F7F" w:rsidP="00AD6BE8">
            <w:pPr>
              <w:pStyle w:val="Normalgrey"/>
            </w:pPr>
          </w:p>
        </w:tc>
        <w:tc>
          <w:tcPr>
            <w:tcW w:w="270" w:type="dxa"/>
          </w:tcPr>
          <w:p w14:paraId="1D438ABC" w14:textId="77777777" w:rsidR="00201F7F" w:rsidRPr="005828FE" w:rsidRDefault="00201F7F" w:rsidP="00AD6BE8">
            <w:pPr>
              <w:pStyle w:val="Normalgrey"/>
            </w:pPr>
          </w:p>
        </w:tc>
        <w:tc>
          <w:tcPr>
            <w:tcW w:w="540" w:type="dxa"/>
          </w:tcPr>
          <w:p w14:paraId="432E2297" w14:textId="381E7C73" w:rsidR="00201F7F" w:rsidRPr="005828FE" w:rsidRDefault="00F86A81" w:rsidP="00AD6BE8">
            <w:pPr>
              <w:pStyle w:val="Normalgrey"/>
            </w:pPr>
            <w:r>
              <w:t>6.2</w:t>
            </w:r>
          </w:p>
        </w:tc>
        <w:tc>
          <w:tcPr>
            <w:tcW w:w="6134" w:type="dxa"/>
          </w:tcPr>
          <w:p w14:paraId="5BF1E1F5" w14:textId="77777777" w:rsidR="00201F7F" w:rsidRPr="005828FE" w:rsidRDefault="00201F7F" w:rsidP="00AD6BE8">
            <w:pPr>
              <w:pStyle w:val="Normalgrey"/>
            </w:pPr>
            <w:r w:rsidRPr="00201F7F">
              <w:t>Appendix A outlines the evidence requirements of government decisions, and the related timing requirements to account for transfers as contributions by or distributions to owners. Failure to present the evidence of government decisions or adherence to the timing requirements of transfers will result in the transfer being accounted for as income or expense through the operating statement.</w:t>
            </w:r>
          </w:p>
        </w:tc>
      </w:tr>
      <w:tr w:rsidR="00201F7F" w:rsidRPr="005828FE" w14:paraId="6A068D4F" w14:textId="77777777" w:rsidTr="00AD6BE8">
        <w:tc>
          <w:tcPr>
            <w:tcW w:w="2293" w:type="dxa"/>
          </w:tcPr>
          <w:p w14:paraId="7A392D47" w14:textId="77777777" w:rsidR="00201F7F" w:rsidRPr="005828FE" w:rsidRDefault="00201F7F" w:rsidP="00AD6BE8">
            <w:pPr>
              <w:pStyle w:val="Normalgrey"/>
            </w:pPr>
          </w:p>
        </w:tc>
        <w:tc>
          <w:tcPr>
            <w:tcW w:w="270" w:type="dxa"/>
          </w:tcPr>
          <w:p w14:paraId="7E8AE6F6" w14:textId="77777777" w:rsidR="00201F7F" w:rsidRPr="005828FE" w:rsidRDefault="00201F7F" w:rsidP="00AD6BE8">
            <w:pPr>
              <w:pStyle w:val="Normalgrey"/>
            </w:pPr>
          </w:p>
        </w:tc>
        <w:tc>
          <w:tcPr>
            <w:tcW w:w="540" w:type="dxa"/>
          </w:tcPr>
          <w:p w14:paraId="31CB7A68" w14:textId="04992478" w:rsidR="00201F7F" w:rsidRPr="005828FE" w:rsidRDefault="00F86A81" w:rsidP="00AD6BE8">
            <w:pPr>
              <w:pStyle w:val="Normalgrey"/>
            </w:pPr>
            <w:r>
              <w:t>6.3</w:t>
            </w:r>
          </w:p>
        </w:tc>
        <w:tc>
          <w:tcPr>
            <w:tcW w:w="6134" w:type="dxa"/>
          </w:tcPr>
          <w:p w14:paraId="6623B82D" w14:textId="77777777" w:rsidR="00201F7F" w:rsidRPr="00201F7F" w:rsidRDefault="00201F7F" w:rsidP="00201F7F">
            <w:pPr>
              <w:pStyle w:val="Normalgrey"/>
              <w:rPr>
                <w:b/>
              </w:rPr>
            </w:pPr>
            <w:r w:rsidRPr="00201F7F">
              <w:rPr>
                <w:b/>
              </w:rPr>
              <w:t>Restructure of administrative arrangements</w:t>
            </w:r>
          </w:p>
          <w:p w14:paraId="035D92BC" w14:textId="77777777" w:rsidR="00201F7F" w:rsidRDefault="00201F7F" w:rsidP="00201F7F">
            <w:pPr>
              <w:pStyle w:val="Normalgrey"/>
            </w:pPr>
            <w:r>
              <w:t xml:space="preserve">Consistent with the requirements and definitions in AASB 1004 and AASB 3 </w:t>
            </w:r>
            <w:r w:rsidRPr="001529C8">
              <w:rPr>
                <w:i/>
              </w:rPr>
              <w:t>Business Combinations</w:t>
            </w:r>
            <w:r>
              <w:t>, restructure of administrative arrangements involves the transfers of activities that are considered businesses. Such reorganisation of activities between departments/entities wholly owned and controlled by the State does not include the transfer of an individual asset/liability or a group of assets/liabilities that are not a business.</w:t>
            </w:r>
          </w:p>
          <w:p w14:paraId="37D2D77E" w14:textId="77777777" w:rsidR="00201F7F" w:rsidRDefault="00201F7F" w:rsidP="00201F7F">
            <w:pPr>
              <w:pStyle w:val="Normalgrey"/>
            </w:pPr>
            <w:r>
              <w:t>The main forms of restructures of administrative arrangements are those arising from:</w:t>
            </w:r>
          </w:p>
          <w:p w14:paraId="2EA1C229" w14:textId="77777777" w:rsidR="00201F7F" w:rsidRDefault="00201F7F" w:rsidP="00201F7F">
            <w:pPr>
              <w:pStyle w:val="Listnumgrey"/>
              <w:numPr>
                <w:ilvl w:val="2"/>
                <w:numId w:val="34"/>
              </w:numPr>
            </w:pPr>
            <w:r>
              <w:t>changes in machinery of government – these are transfers of a business (including functions or programs) between entities usually effected by an Administrative Order; or</w:t>
            </w:r>
          </w:p>
          <w:p w14:paraId="0EA25A04" w14:textId="77777777" w:rsidR="00201F7F" w:rsidRDefault="00201F7F" w:rsidP="00201F7F">
            <w:pPr>
              <w:pStyle w:val="Listnumgrey"/>
            </w:pPr>
            <w:r>
              <w:t>one-off or partial restructures by way of legislative change which may result in the establishment of new statutory bodies or entities; and</w:t>
            </w:r>
          </w:p>
          <w:p w14:paraId="05640AFF" w14:textId="77777777" w:rsidR="00201F7F" w:rsidRPr="005828FE" w:rsidRDefault="00201F7F" w:rsidP="00201F7F">
            <w:pPr>
              <w:pStyle w:val="Listnumgrey"/>
            </w:pPr>
            <w:r>
              <w:t>any other activities transferred based on evidence of a government decision.</w:t>
            </w:r>
          </w:p>
        </w:tc>
      </w:tr>
      <w:tr w:rsidR="00637F72" w:rsidRPr="005828FE" w14:paraId="35C42068" w14:textId="77777777" w:rsidTr="00AD6BE8">
        <w:tc>
          <w:tcPr>
            <w:tcW w:w="2293" w:type="dxa"/>
          </w:tcPr>
          <w:p w14:paraId="70AB498C" w14:textId="77777777" w:rsidR="00637F72" w:rsidRPr="005828FE" w:rsidRDefault="00637F72" w:rsidP="00637F72">
            <w:pPr>
              <w:pStyle w:val="Normalgrey"/>
            </w:pPr>
          </w:p>
        </w:tc>
        <w:tc>
          <w:tcPr>
            <w:tcW w:w="270" w:type="dxa"/>
          </w:tcPr>
          <w:p w14:paraId="76316DA0" w14:textId="77777777" w:rsidR="00637F72" w:rsidRPr="005828FE" w:rsidRDefault="00637F72" w:rsidP="00637F72">
            <w:pPr>
              <w:pStyle w:val="Normalgrey"/>
            </w:pPr>
          </w:p>
        </w:tc>
        <w:tc>
          <w:tcPr>
            <w:tcW w:w="540" w:type="dxa"/>
          </w:tcPr>
          <w:p w14:paraId="6147975F" w14:textId="0218B729" w:rsidR="00637F72" w:rsidRPr="005828FE" w:rsidRDefault="00F86A81" w:rsidP="00637F72">
            <w:pPr>
              <w:pStyle w:val="Normalgrey"/>
            </w:pPr>
            <w:r>
              <w:t>6.4</w:t>
            </w:r>
          </w:p>
        </w:tc>
        <w:tc>
          <w:tcPr>
            <w:tcW w:w="6134" w:type="dxa"/>
          </w:tcPr>
          <w:p w14:paraId="420C57F2" w14:textId="77777777" w:rsidR="00F86A81" w:rsidRDefault="00F86A81" w:rsidP="00637F72">
            <w:pPr>
              <w:pStyle w:val="Normalgrey"/>
            </w:pPr>
            <w:r w:rsidRPr="00637F72">
              <w:rPr>
                <w:b/>
              </w:rPr>
              <w:t>Appropriations designated by this FRD as contributions by owners</w:t>
            </w:r>
            <w:r>
              <w:t xml:space="preserve"> </w:t>
            </w:r>
          </w:p>
          <w:p w14:paraId="12870848" w14:textId="1EE493F1" w:rsidR="00637F72" w:rsidRDefault="00637F72" w:rsidP="00637F72">
            <w:pPr>
              <w:pStyle w:val="Normalgrey"/>
            </w:pPr>
            <w:r>
              <w:t>In addition to ATNAB appropriations, appropriations designated by this FRD to meet the definition of contributions by owners are:</w:t>
            </w:r>
          </w:p>
          <w:p w14:paraId="615573CB" w14:textId="77777777" w:rsidR="00637F72" w:rsidRDefault="00637F72" w:rsidP="00637F72">
            <w:pPr>
              <w:pStyle w:val="Listnumgrey"/>
              <w:numPr>
                <w:ilvl w:val="2"/>
                <w:numId w:val="35"/>
              </w:numPr>
            </w:pPr>
            <w:r>
              <w:t xml:space="preserve">payments on behalf of the State (POBOS) for capital expenditure purposes; and </w:t>
            </w:r>
          </w:p>
          <w:p w14:paraId="26481115" w14:textId="77777777" w:rsidR="00637F72" w:rsidRPr="005828FE" w:rsidRDefault="00637F72" w:rsidP="00637F72">
            <w:pPr>
              <w:pStyle w:val="Listnumgrey"/>
            </w:pPr>
            <w:r>
              <w:t>special appropriations for capital expenditure purposes.</w:t>
            </w:r>
          </w:p>
        </w:tc>
      </w:tr>
      <w:tr w:rsidR="00637F72" w:rsidRPr="005828FE" w14:paraId="5DE12C29" w14:textId="77777777" w:rsidTr="00AD6BE8">
        <w:tc>
          <w:tcPr>
            <w:tcW w:w="2293" w:type="dxa"/>
          </w:tcPr>
          <w:p w14:paraId="401BFE16" w14:textId="77777777" w:rsidR="00637F72" w:rsidRPr="005828FE" w:rsidRDefault="00637F72" w:rsidP="00637F72">
            <w:pPr>
              <w:pStyle w:val="Normalgrey"/>
            </w:pPr>
          </w:p>
        </w:tc>
        <w:tc>
          <w:tcPr>
            <w:tcW w:w="270" w:type="dxa"/>
          </w:tcPr>
          <w:p w14:paraId="0CEF76B3" w14:textId="77777777" w:rsidR="00637F72" w:rsidRPr="005828FE" w:rsidRDefault="00637F72" w:rsidP="00637F72">
            <w:pPr>
              <w:pStyle w:val="Normalgrey"/>
            </w:pPr>
          </w:p>
        </w:tc>
        <w:tc>
          <w:tcPr>
            <w:tcW w:w="540" w:type="dxa"/>
          </w:tcPr>
          <w:p w14:paraId="59A9694C" w14:textId="09374FC7" w:rsidR="00637F72" w:rsidRPr="005828FE" w:rsidRDefault="00F86A81" w:rsidP="00637F72">
            <w:pPr>
              <w:pStyle w:val="Normalgrey"/>
            </w:pPr>
            <w:r>
              <w:t>6.5</w:t>
            </w:r>
          </w:p>
        </w:tc>
        <w:tc>
          <w:tcPr>
            <w:tcW w:w="6134" w:type="dxa"/>
          </w:tcPr>
          <w:p w14:paraId="53397242" w14:textId="77777777" w:rsidR="00637F72" w:rsidRPr="002F6583" w:rsidRDefault="00637F72" w:rsidP="00A20E84">
            <w:pPr>
              <w:pStyle w:val="Normalgrey"/>
            </w:pPr>
            <w:r w:rsidRPr="002F6583">
              <w:t>Consistent with the principles in AASB Interpretation 1038, funding that is on-passed directly to another entity wholly owned and controlled by the State shall be recognised as contributions by owners by the ultimate transferee as long as there is evidence of a direct line of sight between the original funding decision made by the government and the funds on passed.</w:t>
            </w:r>
          </w:p>
        </w:tc>
      </w:tr>
      <w:tr w:rsidR="00637F72" w:rsidRPr="005828FE" w14:paraId="28447625" w14:textId="77777777" w:rsidTr="00AD6BE8">
        <w:tc>
          <w:tcPr>
            <w:tcW w:w="2293" w:type="dxa"/>
          </w:tcPr>
          <w:p w14:paraId="22680719" w14:textId="77777777" w:rsidR="00637F72" w:rsidRPr="005828FE" w:rsidRDefault="00637F72" w:rsidP="00637F72">
            <w:pPr>
              <w:pStyle w:val="Normalgrey"/>
            </w:pPr>
          </w:p>
        </w:tc>
        <w:tc>
          <w:tcPr>
            <w:tcW w:w="270" w:type="dxa"/>
          </w:tcPr>
          <w:p w14:paraId="0BE51AA2" w14:textId="77777777" w:rsidR="00637F72" w:rsidRPr="005828FE" w:rsidRDefault="00637F72" w:rsidP="00637F72">
            <w:pPr>
              <w:pStyle w:val="Normalgrey"/>
            </w:pPr>
          </w:p>
        </w:tc>
        <w:tc>
          <w:tcPr>
            <w:tcW w:w="540" w:type="dxa"/>
          </w:tcPr>
          <w:p w14:paraId="6F3B7671" w14:textId="29FC3B65" w:rsidR="00637F72" w:rsidRPr="005828FE" w:rsidRDefault="00F86A81" w:rsidP="00637F72">
            <w:pPr>
              <w:pStyle w:val="Normalgrey"/>
            </w:pPr>
            <w:r>
              <w:t>6.6</w:t>
            </w:r>
          </w:p>
        </w:tc>
        <w:tc>
          <w:tcPr>
            <w:tcW w:w="6134" w:type="dxa"/>
          </w:tcPr>
          <w:p w14:paraId="573BB2BA" w14:textId="77777777" w:rsidR="00637F72" w:rsidRPr="002F6583" w:rsidRDefault="00637F72" w:rsidP="00637F72">
            <w:pPr>
              <w:pStyle w:val="Normalgrey"/>
            </w:pPr>
            <w:r w:rsidRPr="002F6583">
              <w:t>In circumstances where the appropriation funding is used to acquire or construct a non-financial asset that is subsequently transferred, such transfers no longer reflect ‘funding’ transfers, and therefore cannot be deemed as contribution by owners without further evidence of a government decision. Such transfers, if not part of a restructure of administrative arrangements, would require designation in accordance with the requirements for ‘other transfers’.</w:t>
            </w:r>
          </w:p>
        </w:tc>
      </w:tr>
      <w:tr w:rsidR="00637F72" w:rsidRPr="005828FE" w14:paraId="2889A771" w14:textId="77777777" w:rsidTr="00AD6BE8">
        <w:tc>
          <w:tcPr>
            <w:tcW w:w="2293" w:type="dxa"/>
          </w:tcPr>
          <w:p w14:paraId="2F16B41D" w14:textId="77777777" w:rsidR="00637F72" w:rsidRPr="005828FE" w:rsidRDefault="00637F72" w:rsidP="00637F72">
            <w:pPr>
              <w:pStyle w:val="Normalgrey"/>
            </w:pPr>
          </w:p>
        </w:tc>
        <w:tc>
          <w:tcPr>
            <w:tcW w:w="270" w:type="dxa"/>
          </w:tcPr>
          <w:p w14:paraId="15089ACC" w14:textId="77777777" w:rsidR="00637F72" w:rsidRPr="005828FE" w:rsidRDefault="00637F72" w:rsidP="00637F72">
            <w:pPr>
              <w:pStyle w:val="Normalgrey"/>
            </w:pPr>
          </w:p>
        </w:tc>
        <w:tc>
          <w:tcPr>
            <w:tcW w:w="540" w:type="dxa"/>
          </w:tcPr>
          <w:p w14:paraId="06274AEC" w14:textId="4C7F61B4" w:rsidR="00637F72" w:rsidRPr="005828FE" w:rsidRDefault="001943BA" w:rsidP="00637F72">
            <w:pPr>
              <w:pStyle w:val="Normalgrey"/>
            </w:pPr>
            <w:r>
              <w:t>6.7</w:t>
            </w:r>
          </w:p>
        </w:tc>
        <w:tc>
          <w:tcPr>
            <w:tcW w:w="6134" w:type="dxa"/>
          </w:tcPr>
          <w:p w14:paraId="374863F9" w14:textId="77777777" w:rsidR="00F86A81" w:rsidRDefault="00F86A81" w:rsidP="00637F72">
            <w:pPr>
              <w:pStyle w:val="Normalgrey"/>
            </w:pPr>
            <w:r w:rsidRPr="00637F72">
              <w:rPr>
                <w:b/>
              </w:rPr>
              <w:t>Designation by the transferor’s portfolio Minister</w:t>
            </w:r>
            <w:r w:rsidRPr="002F6583">
              <w:t xml:space="preserve"> </w:t>
            </w:r>
          </w:p>
          <w:p w14:paraId="2C71E5CD" w14:textId="0A31E5C5" w:rsidR="00637F72" w:rsidRPr="002F6583" w:rsidRDefault="00637F72" w:rsidP="00637F72">
            <w:pPr>
              <w:pStyle w:val="Normalgrey"/>
            </w:pPr>
            <w:r w:rsidRPr="002F6583">
              <w:t xml:space="preserve">Transfers of individual assets/liabilities or groups of assets/liabilities that do not meet the definition of a business for restructure of administrative arrangements are classified as ‘other transfers’, requiring designation as contributions by or distributions to owners by the transferor’s portfolio Minister </w:t>
            </w:r>
            <w:r w:rsidRPr="00882FF0">
              <w:rPr>
                <w:i/>
              </w:rPr>
              <w:t>at or before</w:t>
            </w:r>
            <w:r w:rsidRPr="002F6583">
              <w:t xml:space="preserve"> the date for the transfer.</w:t>
            </w:r>
          </w:p>
        </w:tc>
      </w:tr>
      <w:tr w:rsidR="00637F72" w:rsidRPr="005828FE" w14:paraId="6C1B4CDE" w14:textId="77777777" w:rsidTr="00AD6BE8">
        <w:tc>
          <w:tcPr>
            <w:tcW w:w="2293" w:type="dxa"/>
          </w:tcPr>
          <w:p w14:paraId="43E955D8" w14:textId="77777777" w:rsidR="00637F72" w:rsidRPr="005828FE" w:rsidRDefault="00637F72" w:rsidP="00637F72">
            <w:pPr>
              <w:pStyle w:val="Normalgrey"/>
            </w:pPr>
          </w:p>
        </w:tc>
        <w:tc>
          <w:tcPr>
            <w:tcW w:w="270" w:type="dxa"/>
          </w:tcPr>
          <w:p w14:paraId="698F175C" w14:textId="77777777" w:rsidR="00637F72" w:rsidRPr="005828FE" w:rsidRDefault="00637F72" w:rsidP="00637F72">
            <w:pPr>
              <w:pStyle w:val="Normalgrey"/>
            </w:pPr>
          </w:p>
        </w:tc>
        <w:tc>
          <w:tcPr>
            <w:tcW w:w="540" w:type="dxa"/>
          </w:tcPr>
          <w:p w14:paraId="318000BC" w14:textId="4DD4270B" w:rsidR="00637F72" w:rsidRPr="005828FE" w:rsidRDefault="001943BA" w:rsidP="00637F72">
            <w:pPr>
              <w:pStyle w:val="Normalgrey"/>
            </w:pPr>
            <w:r>
              <w:t>6.8</w:t>
            </w:r>
          </w:p>
        </w:tc>
        <w:tc>
          <w:tcPr>
            <w:tcW w:w="6134" w:type="dxa"/>
          </w:tcPr>
          <w:p w14:paraId="16A8FDBF" w14:textId="5EEAC1B0" w:rsidR="00637F72" w:rsidRPr="002F6583" w:rsidRDefault="00637F72" w:rsidP="00637F72">
            <w:pPr>
              <w:pStyle w:val="Normalgrey"/>
            </w:pPr>
            <w:r w:rsidRPr="002F6583">
              <w:t xml:space="preserve">This FRD does not prescribe the instrument used for obtaining the Ministerial designation. However, compliance with the timing and the minimum documentation requirements (refer to paragraph </w:t>
            </w:r>
            <w:r w:rsidR="00A20E84">
              <w:t>4.3</w:t>
            </w:r>
            <w:r w:rsidRPr="002F6583">
              <w:t>) must be evidenced for the transfer to be designated as contribution by or distributions to owners. Acceptable documentation could be in the form of briefs, memorandums etc.</w:t>
            </w:r>
          </w:p>
        </w:tc>
      </w:tr>
      <w:tr w:rsidR="00637F72" w:rsidRPr="005828FE" w14:paraId="63FEBA75" w14:textId="77777777" w:rsidTr="00AD6BE8">
        <w:tc>
          <w:tcPr>
            <w:tcW w:w="2293" w:type="dxa"/>
          </w:tcPr>
          <w:p w14:paraId="6E60E199" w14:textId="77777777" w:rsidR="00637F72" w:rsidRPr="005828FE" w:rsidRDefault="00637F72" w:rsidP="00637F72">
            <w:pPr>
              <w:pStyle w:val="Normalgrey"/>
            </w:pPr>
          </w:p>
        </w:tc>
        <w:tc>
          <w:tcPr>
            <w:tcW w:w="270" w:type="dxa"/>
          </w:tcPr>
          <w:p w14:paraId="15BB9BA7" w14:textId="77777777" w:rsidR="00637F72" w:rsidRPr="005828FE" w:rsidRDefault="00637F72" w:rsidP="00637F72">
            <w:pPr>
              <w:pStyle w:val="Normalgrey"/>
            </w:pPr>
          </w:p>
        </w:tc>
        <w:tc>
          <w:tcPr>
            <w:tcW w:w="540" w:type="dxa"/>
          </w:tcPr>
          <w:p w14:paraId="594F0CE4" w14:textId="6F155DF8" w:rsidR="00637F72" w:rsidRPr="005828FE" w:rsidRDefault="001943BA" w:rsidP="00637F72">
            <w:pPr>
              <w:pStyle w:val="Normalgrey"/>
            </w:pPr>
            <w:r>
              <w:t>6.9</w:t>
            </w:r>
          </w:p>
        </w:tc>
        <w:tc>
          <w:tcPr>
            <w:tcW w:w="6134" w:type="dxa"/>
          </w:tcPr>
          <w:p w14:paraId="48AE5BA6" w14:textId="4A874FC6" w:rsidR="00637F72" w:rsidRDefault="00637F72" w:rsidP="00637F72">
            <w:pPr>
              <w:pStyle w:val="Normalgrey"/>
            </w:pPr>
            <w:r w:rsidRPr="002F6583">
              <w:t xml:space="preserve">As precise transfer amounts are not required at the time of the designation by the relevant transferor Minister (this is a requirement of CFAOs, refer to paragraphs </w:t>
            </w:r>
            <w:r w:rsidR="00F86A81" w:rsidRPr="00DF40DF">
              <w:t>4.</w:t>
            </w:r>
            <w:r w:rsidR="00F86A81" w:rsidRPr="00A20E84">
              <w:t>4</w:t>
            </w:r>
            <w:r w:rsidRPr="001943BA">
              <w:t xml:space="preserve"> and 6.1</w:t>
            </w:r>
            <w:r w:rsidR="001943BA" w:rsidRPr="001943BA">
              <w:t>0</w:t>
            </w:r>
            <w:r w:rsidRPr="002F6583">
              <w:t>), the designation of ‘other transfers’ as contributions by or distributions to owners can be sought from the transferor’s portfolio Minister before the transferor/transferee reach agreement on the transfer amounts.</w:t>
            </w:r>
          </w:p>
        </w:tc>
      </w:tr>
      <w:tr w:rsidR="00A154D2" w:rsidRPr="005828FE" w14:paraId="1202F691" w14:textId="77777777" w:rsidTr="00AD6BE8">
        <w:tc>
          <w:tcPr>
            <w:tcW w:w="2293" w:type="dxa"/>
          </w:tcPr>
          <w:p w14:paraId="3E43FB76" w14:textId="77777777" w:rsidR="00A154D2" w:rsidRPr="005828FE" w:rsidRDefault="00A154D2" w:rsidP="00AD6BE8">
            <w:pPr>
              <w:pStyle w:val="Normalgrey"/>
            </w:pPr>
          </w:p>
        </w:tc>
        <w:tc>
          <w:tcPr>
            <w:tcW w:w="270" w:type="dxa"/>
          </w:tcPr>
          <w:p w14:paraId="5112B95B" w14:textId="77777777" w:rsidR="00A154D2" w:rsidRPr="005828FE" w:rsidRDefault="00A154D2" w:rsidP="00AD6BE8">
            <w:pPr>
              <w:pStyle w:val="Normalgrey"/>
            </w:pPr>
          </w:p>
        </w:tc>
        <w:tc>
          <w:tcPr>
            <w:tcW w:w="540" w:type="dxa"/>
          </w:tcPr>
          <w:p w14:paraId="565DA994" w14:textId="440C38B2" w:rsidR="00A154D2" w:rsidRPr="005828FE" w:rsidRDefault="001943BA" w:rsidP="00AD6BE8">
            <w:pPr>
              <w:pStyle w:val="Normalgrey"/>
            </w:pPr>
            <w:r>
              <w:t>6.10</w:t>
            </w:r>
          </w:p>
        </w:tc>
        <w:tc>
          <w:tcPr>
            <w:tcW w:w="6134" w:type="dxa"/>
          </w:tcPr>
          <w:p w14:paraId="623F8494" w14:textId="77777777" w:rsidR="00224B55" w:rsidRPr="00224B55" w:rsidRDefault="00224B55" w:rsidP="00A154D2">
            <w:pPr>
              <w:pStyle w:val="Normalgrey"/>
              <w:rPr>
                <w:b/>
              </w:rPr>
            </w:pPr>
            <w:r w:rsidRPr="00224B55">
              <w:rPr>
                <w:b/>
              </w:rPr>
              <w:t>Evidence of transfer amounts by CFAOs (including zero net assets transfers and return of existing non-financial assets to owners)</w:t>
            </w:r>
          </w:p>
          <w:p w14:paraId="39CE1E99" w14:textId="23E7CF5F" w:rsidR="00A154D2" w:rsidRDefault="00A154D2" w:rsidP="00A154D2">
            <w:pPr>
              <w:pStyle w:val="Normalgrey"/>
            </w:pPr>
            <w:r>
              <w:t xml:space="preserve">Approval of the transfer amounts is not required as part of a government decision to account for a transfer as contribution by or distribution to owners. However, the transferor and transferee CFAOs are expected to establish documentary evidence and sign-off on the agreed transfer amounts in accordance with the requirements in paragraph </w:t>
            </w:r>
            <w:r w:rsidR="00F86A81">
              <w:t>4.4</w:t>
            </w:r>
            <w:r>
              <w:t>. An example of such documentation is provided in Appendix B.</w:t>
            </w:r>
          </w:p>
          <w:p w14:paraId="33789E96" w14:textId="77777777" w:rsidR="00A154D2" w:rsidRDefault="00A154D2" w:rsidP="00A154D2">
            <w:pPr>
              <w:pStyle w:val="Normalgrey"/>
            </w:pPr>
            <w:r>
              <w:t>CFAOs are required to evidence all transfers, including:</w:t>
            </w:r>
          </w:p>
          <w:p w14:paraId="3568B384" w14:textId="77777777" w:rsidR="00A154D2" w:rsidRDefault="00A154D2" w:rsidP="00A154D2">
            <w:pPr>
              <w:pStyle w:val="Listnumgrey"/>
              <w:numPr>
                <w:ilvl w:val="2"/>
                <w:numId w:val="36"/>
              </w:numPr>
            </w:pPr>
            <w:r>
              <w:t>those that result in zero net asset transfers; and</w:t>
            </w:r>
          </w:p>
          <w:p w14:paraId="0CBB8C53" w14:textId="0F0B26AA" w:rsidR="00A154D2" w:rsidRPr="005828FE" w:rsidRDefault="00A154D2" w:rsidP="00A154D2">
            <w:pPr>
              <w:pStyle w:val="Listnumgrey"/>
            </w:pPr>
            <w:r>
              <w:t>where an entity must return non-financial assets to owners prior to the sale, or transfer under FRD 117.</w:t>
            </w:r>
          </w:p>
        </w:tc>
      </w:tr>
      <w:tr w:rsidR="00A154D2" w:rsidRPr="005828FE" w14:paraId="7E630EB1" w14:textId="77777777" w:rsidTr="00AD6BE8">
        <w:tc>
          <w:tcPr>
            <w:tcW w:w="2293" w:type="dxa"/>
          </w:tcPr>
          <w:p w14:paraId="39ED662C" w14:textId="77777777" w:rsidR="00A154D2" w:rsidRPr="005828FE" w:rsidRDefault="00A154D2" w:rsidP="00AD6BE8">
            <w:pPr>
              <w:pStyle w:val="Normalgrey"/>
            </w:pPr>
          </w:p>
        </w:tc>
        <w:tc>
          <w:tcPr>
            <w:tcW w:w="270" w:type="dxa"/>
          </w:tcPr>
          <w:p w14:paraId="6375691E" w14:textId="77777777" w:rsidR="00A154D2" w:rsidRPr="005828FE" w:rsidRDefault="00A154D2" w:rsidP="00AD6BE8">
            <w:pPr>
              <w:pStyle w:val="Normalgrey"/>
            </w:pPr>
          </w:p>
        </w:tc>
        <w:tc>
          <w:tcPr>
            <w:tcW w:w="540" w:type="dxa"/>
          </w:tcPr>
          <w:p w14:paraId="2A4E9A83" w14:textId="39D6EF3F" w:rsidR="00A154D2" w:rsidRPr="005828FE" w:rsidRDefault="001943BA" w:rsidP="00AD6BE8">
            <w:pPr>
              <w:pStyle w:val="Normalgrey"/>
            </w:pPr>
            <w:r>
              <w:t>6.11</w:t>
            </w:r>
          </w:p>
        </w:tc>
        <w:tc>
          <w:tcPr>
            <w:tcW w:w="6134" w:type="dxa"/>
          </w:tcPr>
          <w:p w14:paraId="33647E62" w14:textId="77777777" w:rsidR="001943BA" w:rsidRDefault="001943BA" w:rsidP="00A154D2">
            <w:pPr>
              <w:pStyle w:val="Normalgrey"/>
              <w:rPr>
                <w:b/>
              </w:rPr>
            </w:pPr>
            <w:r w:rsidRPr="00A154D2">
              <w:rPr>
                <w:b/>
              </w:rPr>
              <w:t>Insufficient contributed capital for distributions to owners (reclassification of equity)</w:t>
            </w:r>
          </w:p>
          <w:p w14:paraId="248A5BAC" w14:textId="05A5132A" w:rsidR="00A154D2" w:rsidRDefault="00A154D2" w:rsidP="00A154D2">
            <w:pPr>
              <w:pStyle w:val="Normalgrey"/>
            </w:pPr>
            <w:r>
              <w:t>Under FRD 119, CFAOs can reclassify equity without further ministerial approval to the extent required to effect the following distributions to owners:</w:t>
            </w:r>
          </w:p>
          <w:p w14:paraId="6AEBA548" w14:textId="77777777" w:rsidR="00A154D2" w:rsidRDefault="00A154D2" w:rsidP="00A154D2">
            <w:pPr>
              <w:pStyle w:val="Listnumgrey"/>
              <w:numPr>
                <w:ilvl w:val="2"/>
                <w:numId w:val="37"/>
              </w:numPr>
            </w:pPr>
            <w:r>
              <w:t xml:space="preserve">where the transferor has insufficient contributed capital to transfer an asset or net assets; or </w:t>
            </w:r>
          </w:p>
          <w:p w14:paraId="6D30A627" w14:textId="77777777" w:rsidR="00A154D2" w:rsidRPr="005828FE" w:rsidRDefault="00A154D2" w:rsidP="00A154D2">
            <w:pPr>
              <w:pStyle w:val="Listnumgrey"/>
            </w:pPr>
            <w:r>
              <w:t>where a transferee has insufficient contributed capital to cover the receipt of a liability or net liabilities.</w:t>
            </w:r>
          </w:p>
        </w:tc>
      </w:tr>
      <w:tr w:rsidR="00A154D2" w:rsidRPr="005828FE" w14:paraId="0E98D018" w14:textId="77777777" w:rsidTr="00AD6BE8">
        <w:tc>
          <w:tcPr>
            <w:tcW w:w="2293" w:type="dxa"/>
          </w:tcPr>
          <w:p w14:paraId="39378520" w14:textId="77777777" w:rsidR="00A154D2" w:rsidRPr="005828FE" w:rsidRDefault="00A154D2" w:rsidP="00A154D2">
            <w:pPr>
              <w:pStyle w:val="Normalgrey"/>
            </w:pPr>
          </w:p>
        </w:tc>
        <w:tc>
          <w:tcPr>
            <w:tcW w:w="270" w:type="dxa"/>
          </w:tcPr>
          <w:p w14:paraId="21FAFAF6" w14:textId="77777777" w:rsidR="00A154D2" w:rsidRPr="005828FE" w:rsidRDefault="00A154D2" w:rsidP="00A154D2">
            <w:pPr>
              <w:pStyle w:val="Normalgrey"/>
            </w:pPr>
          </w:p>
        </w:tc>
        <w:tc>
          <w:tcPr>
            <w:tcW w:w="540" w:type="dxa"/>
          </w:tcPr>
          <w:p w14:paraId="347A7D25" w14:textId="28DCEC7B" w:rsidR="00A154D2" w:rsidRPr="00A45DD9" w:rsidRDefault="001943BA" w:rsidP="00A154D2">
            <w:r>
              <w:t>6.12</w:t>
            </w:r>
          </w:p>
        </w:tc>
        <w:tc>
          <w:tcPr>
            <w:tcW w:w="6134" w:type="dxa"/>
          </w:tcPr>
          <w:p w14:paraId="5A1FBCBF" w14:textId="3E68E354" w:rsidR="00A154D2" w:rsidRDefault="00A154D2" w:rsidP="00A154D2">
            <w:pPr>
              <w:pStyle w:val="Normalgrey"/>
            </w:pPr>
            <w:r w:rsidRPr="00A45DD9">
              <w:t>In accordance with the Guidance on the application of FRD 103, for distributions of non-financial physical assets, entities must first reclassify any related revaluation surplus to the accumulated surplus, irrespective of the sufficiency of contributed capital balance. If the asset revaluation surplus included in equity is not known, management will need to apply judgement and document the methodology used to determine an appropriate estimation of the related amount.</w:t>
            </w:r>
          </w:p>
        </w:tc>
      </w:tr>
      <w:tr w:rsidR="00A154D2" w:rsidRPr="005828FE" w14:paraId="1EE04162" w14:textId="77777777" w:rsidTr="00AD6BE8">
        <w:tc>
          <w:tcPr>
            <w:tcW w:w="2293" w:type="dxa"/>
          </w:tcPr>
          <w:p w14:paraId="1773E0FE" w14:textId="77777777" w:rsidR="00A154D2" w:rsidRPr="005828FE" w:rsidRDefault="00A154D2" w:rsidP="00AD6BE8">
            <w:pPr>
              <w:pStyle w:val="Normalgrey"/>
            </w:pPr>
          </w:p>
        </w:tc>
        <w:tc>
          <w:tcPr>
            <w:tcW w:w="270" w:type="dxa"/>
          </w:tcPr>
          <w:p w14:paraId="538B338F" w14:textId="77777777" w:rsidR="00A154D2" w:rsidRPr="005828FE" w:rsidRDefault="00A154D2" w:rsidP="00AD6BE8">
            <w:pPr>
              <w:pStyle w:val="Normalgrey"/>
            </w:pPr>
          </w:p>
        </w:tc>
        <w:tc>
          <w:tcPr>
            <w:tcW w:w="540" w:type="dxa"/>
          </w:tcPr>
          <w:p w14:paraId="1E45D323" w14:textId="58E5F3A4" w:rsidR="00A154D2" w:rsidRPr="005828FE" w:rsidRDefault="001943BA" w:rsidP="00AD6BE8">
            <w:pPr>
              <w:pStyle w:val="Normalgrey"/>
            </w:pPr>
            <w:r>
              <w:t>6.13</w:t>
            </w:r>
          </w:p>
        </w:tc>
        <w:tc>
          <w:tcPr>
            <w:tcW w:w="6134" w:type="dxa"/>
          </w:tcPr>
          <w:p w14:paraId="77C1A58D" w14:textId="08C0CA86" w:rsidR="00A154D2" w:rsidRDefault="00A154D2" w:rsidP="00A154D2">
            <w:pPr>
              <w:pStyle w:val="Normalgrey"/>
            </w:pPr>
            <w:r>
              <w:t xml:space="preserve">Subsequent to the reclassification in paragraph </w:t>
            </w:r>
            <w:r w:rsidR="00CF182E">
              <w:t>6</w:t>
            </w:r>
            <w:r>
              <w:t>.</w:t>
            </w:r>
            <w:r w:rsidR="00CF182E">
              <w:t>1</w:t>
            </w:r>
            <w:r>
              <w:t>2 above, where there is insufficient contributed capital for distributions to owners, the entity must reclassify its accumulated surplus to contributed capital to the extent required to effect the distribution.</w:t>
            </w:r>
          </w:p>
          <w:p w14:paraId="5AF90922" w14:textId="77777777" w:rsidR="00A154D2" w:rsidRPr="005828FE" w:rsidRDefault="00A154D2" w:rsidP="00A154D2">
            <w:pPr>
              <w:pStyle w:val="Normalgrey"/>
            </w:pPr>
            <w:r>
              <w:t>If there is still insufficient contributed capital after such reclassifications, the balance must be recognised as an expense.</w:t>
            </w:r>
          </w:p>
        </w:tc>
      </w:tr>
      <w:tr w:rsidR="00A154D2" w:rsidRPr="005828FE" w14:paraId="7A5CB9C4" w14:textId="77777777" w:rsidTr="00AD6BE8">
        <w:tc>
          <w:tcPr>
            <w:tcW w:w="2293" w:type="dxa"/>
          </w:tcPr>
          <w:p w14:paraId="780B5109" w14:textId="77777777" w:rsidR="00A154D2" w:rsidRPr="005828FE" w:rsidRDefault="00A154D2" w:rsidP="00A154D2">
            <w:pPr>
              <w:pStyle w:val="Normalgrey"/>
            </w:pPr>
          </w:p>
        </w:tc>
        <w:tc>
          <w:tcPr>
            <w:tcW w:w="270" w:type="dxa"/>
          </w:tcPr>
          <w:p w14:paraId="6530B0F7" w14:textId="77777777" w:rsidR="00A154D2" w:rsidRPr="005828FE" w:rsidRDefault="00A154D2" w:rsidP="00A154D2">
            <w:pPr>
              <w:pStyle w:val="Normalgrey"/>
            </w:pPr>
          </w:p>
        </w:tc>
        <w:tc>
          <w:tcPr>
            <w:tcW w:w="540" w:type="dxa"/>
          </w:tcPr>
          <w:p w14:paraId="1801E6C0" w14:textId="67263864" w:rsidR="00A154D2" w:rsidRPr="005828FE" w:rsidRDefault="001943BA" w:rsidP="00A154D2">
            <w:pPr>
              <w:pStyle w:val="Normalgrey"/>
            </w:pPr>
            <w:r>
              <w:t>6.14</w:t>
            </w:r>
          </w:p>
        </w:tc>
        <w:tc>
          <w:tcPr>
            <w:tcW w:w="6134" w:type="dxa"/>
          </w:tcPr>
          <w:p w14:paraId="4A26312B" w14:textId="77777777" w:rsidR="001943BA" w:rsidRDefault="001943BA" w:rsidP="00A154D2">
            <w:pPr>
              <w:pStyle w:val="Normalgrey"/>
            </w:pPr>
            <w:r w:rsidRPr="00A154D2">
              <w:rPr>
                <w:b/>
              </w:rPr>
              <w:t>Accounting pathways including return of non-financial assets to government as owners</w:t>
            </w:r>
            <w:r w:rsidRPr="00FE2EE3">
              <w:t xml:space="preserve"> </w:t>
            </w:r>
          </w:p>
          <w:p w14:paraId="1BFE0043" w14:textId="23172654" w:rsidR="00A154D2" w:rsidRPr="00FE2EE3" w:rsidRDefault="00A154D2" w:rsidP="00A154D2">
            <w:pPr>
              <w:pStyle w:val="Normalgrey"/>
            </w:pPr>
            <w:r w:rsidRPr="00FE2EE3">
              <w:t>Appendix C illustrates the accounting pathways between portfolio departments and entities for transfers designated as contributions by or distributions to owners.</w:t>
            </w:r>
          </w:p>
        </w:tc>
      </w:tr>
      <w:tr w:rsidR="00A154D2" w:rsidRPr="005828FE" w14:paraId="10190E8C" w14:textId="77777777" w:rsidTr="00AD6BE8">
        <w:tc>
          <w:tcPr>
            <w:tcW w:w="2293" w:type="dxa"/>
          </w:tcPr>
          <w:p w14:paraId="524F9395" w14:textId="77777777" w:rsidR="00A154D2" w:rsidRPr="005828FE" w:rsidRDefault="00A154D2" w:rsidP="00A154D2">
            <w:pPr>
              <w:pStyle w:val="Normalgrey"/>
            </w:pPr>
          </w:p>
        </w:tc>
        <w:tc>
          <w:tcPr>
            <w:tcW w:w="270" w:type="dxa"/>
          </w:tcPr>
          <w:p w14:paraId="51DD8CE0" w14:textId="77777777" w:rsidR="00A154D2" w:rsidRPr="005828FE" w:rsidRDefault="00A154D2" w:rsidP="00A154D2">
            <w:pPr>
              <w:pStyle w:val="Normalgrey"/>
            </w:pPr>
          </w:p>
        </w:tc>
        <w:tc>
          <w:tcPr>
            <w:tcW w:w="540" w:type="dxa"/>
          </w:tcPr>
          <w:p w14:paraId="3B724DBC" w14:textId="404E39A2" w:rsidR="00A154D2" w:rsidRPr="005828FE" w:rsidRDefault="001943BA" w:rsidP="00A154D2">
            <w:pPr>
              <w:pStyle w:val="Normalgrey"/>
            </w:pPr>
            <w:r>
              <w:t>6.15</w:t>
            </w:r>
          </w:p>
        </w:tc>
        <w:tc>
          <w:tcPr>
            <w:tcW w:w="6134" w:type="dxa"/>
          </w:tcPr>
          <w:p w14:paraId="2B1CEF67" w14:textId="35D2A977" w:rsidR="00A154D2" w:rsidRPr="00FE2EE3" w:rsidRDefault="00A154D2" w:rsidP="00A154D2">
            <w:pPr>
              <w:pStyle w:val="Normalgrey"/>
            </w:pPr>
            <w:r w:rsidRPr="00FE2EE3">
              <w:t xml:space="preserve">In particular, transfers across portfolio entities and those involving a sale, or contributions of non-financial assets under FRD 117, will involve transactions via the interposed parent departments. The evidence of government decision used by the ultimate transferor/transferee (refer to paragraph </w:t>
            </w:r>
            <w:r w:rsidR="00F86A81">
              <w:t>4.3</w:t>
            </w:r>
            <w:r w:rsidRPr="00FE2EE3">
              <w:t>, and Appendix A) can be also used as evidence for the accounting transactions of the interposed parent departments.</w:t>
            </w:r>
          </w:p>
        </w:tc>
      </w:tr>
      <w:tr w:rsidR="00A154D2" w:rsidRPr="005828FE" w14:paraId="6B1DC23A" w14:textId="77777777" w:rsidTr="00AD6BE8">
        <w:tc>
          <w:tcPr>
            <w:tcW w:w="2293" w:type="dxa"/>
          </w:tcPr>
          <w:p w14:paraId="2C4FD951" w14:textId="77777777" w:rsidR="00A154D2" w:rsidRPr="005828FE" w:rsidRDefault="00A154D2" w:rsidP="00A154D2">
            <w:pPr>
              <w:pStyle w:val="Normalgrey"/>
            </w:pPr>
          </w:p>
        </w:tc>
        <w:tc>
          <w:tcPr>
            <w:tcW w:w="270" w:type="dxa"/>
          </w:tcPr>
          <w:p w14:paraId="0E50C4B5" w14:textId="77777777" w:rsidR="00A154D2" w:rsidRPr="005828FE" w:rsidRDefault="00A154D2" w:rsidP="00A154D2">
            <w:pPr>
              <w:pStyle w:val="Normalgrey"/>
            </w:pPr>
          </w:p>
        </w:tc>
        <w:tc>
          <w:tcPr>
            <w:tcW w:w="540" w:type="dxa"/>
          </w:tcPr>
          <w:p w14:paraId="4B9703C8" w14:textId="6DBC0442" w:rsidR="00A154D2" w:rsidRPr="005828FE" w:rsidRDefault="001943BA" w:rsidP="00A154D2">
            <w:pPr>
              <w:pStyle w:val="Normalgrey"/>
            </w:pPr>
            <w:r>
              <w:t>6.16</w:t>
            </w:r>
          </w:p>
        </w:tc>
        <w:tc>
          <w:tcPr>
            <w:tcW w:w="6134" w:type="dxa"/>
          </w:tcPr>
          <w:p w14:paraId="7B78FA0D" w14:textId="2076EC9D" w:rsidR="00A154D2" w:rsidRPr="00FE2EE3" w:rsidRDefault="00A154D2" w:rsidP="00A154D2">
            <w:pPr>
              <w:pStyle w:val="Normalgrey"/>
            </w:pPr>
            <w:r w:rsidRPr="00FE2EE3">
              <w:t>Detailed guidance on the accounting transactions via interposed parent departments can be sourced from AASB Interpretation 1038</w:t>
            </w:r>
            <w:r w:rsidR="00DF40DF">
              <w:t>.</w:t>
            </w:r>
            <w:r w:rsidRPr="00FE2EE3">
              <w:t xml:space="preserve"> </w:t>
            </w:r>
          </w:p>
        </w:tc>
      </w:tr>
      <w:tr w:rsidR="00A154D2" w:rsidRPr="005828FE" w14:paraId="38B38654" w14:textId="77777777" w:rsidTr="00AD6BE8">
        <w:tc>
          <w:tcPr>
            <w:tcW w:w="2293" w:type="dxa"/>
          </w:tcPr>
          <w:p w14:paraId="6E8BA232" w14:textId="77777777" w:rsidR="00A154D2" w:rsidRPr="005828FE" w:rsidRDefault="00A154D2" w:rsidP="00AD6BE8">
            <w:pPr>
              <w:pStyle w:val="Normalgrey"/>
            </w:pPr>
          </w:p>
        </w:tc>
        <w:tc>
          <w:tcPr>
            <w:tcW w:w="270" w:type="dxa"/>
          </w:tcPr>
          <w:p w14:paraId="7DDA513F" w14:textId="77777777" w:rsidR="00A154D2" w:rsidRPr="005828FE" w:rsidRDefault="00A154D2" w:rsidP="00AD6BE8">
            <w:pPr>
              <w:pStyle w:val="Normalgrey"/>
            </w:pPr>
          </w:p>
        </w:tc>
        <w:tc>
          <w:tcPr>
            <w:tcW w:w="540" w:type="dxa"/>
          </w:tcPr>
          <w:p w14:paraId="3B6BCC1B" w14:textId="0D6014C9" w:rsidR="00A154D2" w:rsidRPr="005828FE" w:rsidRDefault="001943BA" w:rsidP="00AD6BE8">
            <w:pPr>
              <w:pStyle w:val="Normalgrey"/>
            </w:pPr>
            <w:r>
              <w:t>6.17</w:t>
            </w:r>
          </w:p>
        </w:tc>
        <w:tc>
          <w:tcPr>
            <w:tcW w:w="6134" w:type="dxa"/>
          </w:tcPr>
          <w:p w14:paraId="6B0D9433" w14:textId="77777777" w:rsidR="001943BA" w:rsidRDefault="001943BA" w:rsidP="00A154D2">
            <w:pPr>
              <w:pStyle w:val="Normalgrey"/>
            </w:pPr>
            <w:r w:rsidRPr="00A154D2">
              <w:rPr>
                <w:b/>
              </w:rPr>
              <w:t>Exclusions from accounting as contributions by owners or distributions to owners</w:t>
            </w:r>
            <w:r>
              <w:t xml:space="preserve"> </w:t>
            </w:r>
          </w:p>
          <w:p w14:paraId="31820924" w14:textId="1BD23A26" w:rsidR="00A154D2" w:rsidRDefault="00A154D2" w:rsidP="00A154D2">
            <w:pPr>
              <w:pStyle w:val="Normalgrey"/>
            </w:pPr>
            <w:r>
              <w:t>The following transfers are not accounted for through contributed capital, and must be recognised through income/expense:</w:t>
            </w:r>
          </w:p>
          <w:p w14:paraId="64A5820B" w14:textId="77777777" w:rsidR="00A154D2" w:rsidRDefault="00A154D2" w:rsidP="00224B55">
            <w:pPr>
              <w:pStyle w:val="Listnumgrey"/>
              <w:numPr>
                <w:ilvl w:val="2"/>
                <w:numId w:val="38"/>
              </w:numPr>
            </w:pPr>
            <w:r>
              <w:t>transfers made as consideration by the transferee for the provision of assets or services at fair value to the transferor; and</w:t>
            </w:r>
          </w:p>
          <w:p w14:paraId="3C7AC347" w14:textId="77777777" w:rsidR="00A154D2" w:rsidRDefault="00A154D2" w:rsidP="00224B55">
            <w:pPr>
              <w:pStyle w:val="Listnumgrey"/>
            </w:pPr>
            <w:r>
              <w:t>Parliamentary appropriations that are:</w:t>
            </w:r>
          </w:p>
          <w:p w14:paraId="4CA2481E" w14:textId="77777777" w:rsidR="00A154D2" w:rsidRDefault="00A154D2" w:rsidP="00224B55">
            <w:pPr>
              <w:pStyle w:val="Listnum2grey"/>
            </w:pPr>
            <w:r>
              <w:t>provisions for outputs; and</w:t>
            </w:r>
          </w:p>
          <w:p w14:paraId="08B59220" w14:textId="77777777" w:rsidR="00A154D2" w:rsidRPr="005828FE" w:rsidRDefault="00A154D2" w:rsidP="00224B55">
            <w:pPr>
              <w:pStyle w:val="Listnum2grey"/>
            </w:pPr>
            <w:r>
              <w:t>POBOS and special appropriations that are not for capital expenditure purposes</w:t>
            </w:r>
          </w:p>
        </w:tc>
      </w:tr>
      <w:tr w:rsidR="00637F72" w:rsidRPr="005828FE" w14:paraId="6D3ADD15" w14:textId="77777777" w:rsidTr="00AD6BE8">
        <w:tc>
          <w:tcPr>
            <w:tcW w:w="2293" w:type="dxa"/>
          </w:tcPr>
          <w:p w14:paraId="5A3520E7" w14:textId="77777777" w:rsidR="00637F72" w:rsidRPr="005828FE" w:rsidRDefault="00637F72" w:rsidP="00637F72">
            <w:pPr>
              <w:pStyle w:val="Normalgrey"/>
            </w:pPr>
          </w:p>
        </w:tc>
        <w:tc>
          <w:tcPr>
            <w:tcW w:w="270" w:type="dxa"/>
          </w:tcPr>
          <w:p w14:paraId="433C1655" w14:textId="77777777" w:rsidR="00637F72" w:rsidRPr="005828FE" w:rsidRDefault="00637F72" w:rsidP="00637F72">
            <w:pPr>
              <w:pStyle w:val="Normalgrey"/>
            </w:pPr>
          </w:p>
        </w:tc>
        <w:tc>
          <w:tcPr>
            <w:tcW w:w="540" w:type="dxa"/>
          </w:tcPr>
          <w:p w14:paraId="7331A19A" w14:textId="3A0A1D04" w:rsidR="00637F72" w:rsidRPr="005828FE" w:rsidRDefault="001943BA" w:rsidP="00637F72">
            <w:pPr>
              <w:pStyle w:val="Normalgrey"/>
            </w:pPr>
            <w:r>
              <w:t>6.18</w:t>
            </w:r>
          </w:p>
        </w:tc>
        <w:tc>
          <w:tcPr>
            <w:tcW w:w="6134" w:type="dxa"/>
          </w:tcPr>
          <w:p w14:paraId="52119245" w14:textId="77777777" w:rsidR="00224B55" w:rsidRDefault="00224B55" w:rsidP="00224B55">
            <w:pPr>
              <w:pStyle w:val="Normalgrey"/>
            </w:pPr>
            <w:r>
              <w:t xml:space="preserve">Re-assignments of responsibility for a portfolio entity from one department to another: </w:t>
            </w:r>
          </w:p>
          <w:p w14:paraId="07254EB1" w14:textId="77777777" w:rsidR="00224B55" w:rsidRDefault="00224B55" w:rsidP="00224B55">
            <w:pPr>
              <w:pStyle w:val="Listnumgrey"/>
              <w:numPr>
                <w:ilvl w:val="2"/>
                <w:numId w:val="39"/>
              </w:numPr>
            </w:pPr>
            <w:r>
              <w:t>Regardless of whether or not a change in ministerial responsibility is involved, the re assignment of responsibility for a portfolio entity from one department to another department does not constitute a transfer of administrative arrangements under this FRD. For the entity itself there is no change to its underlying structure and therefore, the re-assignment to another departmental portfolio does not require a roll-up of the other equity accounts to contributed capital as the State’s control over the entity has not changed.</w:t>
            </w:r>
          </w:p>
          <w:p w14:paraId="3D4885D0" w14:textId="77777777" w:rsidR="00224B55" w:rsidRDefault="00224B55" w:rsidP="00224B55">
            <w:pPr>
              <w:pStyle w:val="Listnumgrey"/>
            </w:pPr>
            <w:r>
              <w:t>The only instance in which the entity will need to roll up its other equity accounts into contributed capital would be when the entity had been consolidated into the transferring department’s financial report. In this case, the entity would be required to roll up the other equity accounts into contributed capital because in effect, there is a transfer of net assets from one department to another department.</w:t>
            </w:r>
          </w:p>
          <w:p w14:paraId="2242482B" w14:textId="180AF614" w:rsidR="00224B55" w:rsidRDefault="00224B55" w:rsidP="00224B55">
            <w:pPr>
              <w:pStyle w:val="Normalgrey"/>
            </w:pPr>
            <w:r>
              <w:t>Regardless of whether or not a change in ministerial responsibility is involved, the re-assignment of responsibility does not constitute a transfer of administrative arrangements under this FRD. The only accounting impact of this machinery of government change is that the investment in the agency being re-assigned is transferred between the departments’ respective administered entities. The amount of the adjustment is to be noted in the evidence of transfer amounts by CFAOs. (See para</w:t>
            </w:r>
            <w:r w:rsidR="00CF182E">
              <w:t>graph</w:t>
            </w:r>
            <w:r>
              <w:t xml:space="preserve">s </w:t>
            </w:r>
            <w:r w:rsidR="00CF182E">
              <w:t>4.4</w:t>
            </w:r>
            <w:r>
              <w:t xml:space="preserve"> to </w:t>
            </w:r>
            <w:r w:rsidR="00CF182E">
              <w:t>4.</w:t>
            </w:r>
            <w:r w:rsidR="00FA68F8">
              <w:t>5</w:t>
            </w:r>
            <w:r>
              <w:t xml:space="preserve"> above). For reporting purposes, the investment is reported in aggregate and reported in the receipting department’s administered balance sheet. </w:t>
            </w:r>
          </w:p>
          <w:p w14:paraId="63D757A9" w14:textId="77777777" w:rsidR="00224B55" w:rsidRDefault="00224B55" w:rsidP="00224B55">
            <w:pPr>
              <w:pStyle w:val="Normalgrey"/>
            </w:pPr>
            <w:r>
              <w:t>For the agency itself, there is no impact in relation to accounting for contributions by owners and therefore no adjustment to equity required because there is no transfer of the agency’s net assets. All that has changed is that the administration of the State’s control over the agency has been re-assigned between departments.</w:t>
            </w:r>
          </w:p>
          <w:p w14:paraId="574AD785" w14:textId="77777777" w:rsidR="00637F72" w:rsidRPr="005828FE" w:rsidRDefault="00224B55" w:rsidP="00224B55">
            <w:pPr>
              <w:pStyle w:val="Normalgrey"/>
            </w:pPr>
            <w:r>
              <w:t>When a reassignment occurs, DTF will notify the affected departments of the required changes to the SRIMs reporting hierarchy for that agency. Generally, this will involve the ‘transfer’ of the agency’s trial balance to a new entity code assigned to the new department’s hierarchy (for efficient administrative purposes only), as at the reassignment date specified in an administrative order.</w:t>
            </w:r>
          </w:p>
        </w:tc>
      </w:tr>
      <w:tr w:rsidR="00637F72" w:rsidRPr="005828FE" w14:paraId="27FBC203" w14:textId="77777777" w:rsidTr="00AD6BE8">
        <w:tc>
          <w:tcPr>
            <w:tcW w:w="2293" w:type="dxa"/>
          </w:tcPr>
          <w:p w14:paraId="064071AF" w14:textId="77777777" w:rsidR="00637F72" w:rsidRPr="005828FE" w:rsidRDefault="00637F72" w:rsidP="00637F72">
            <w:pPr>
              <w:pStyle w:val="Normalgrey"/>
            </w:pPr>
          </w:p>
        </w:tc>
        <w:tc>
          <w:tcPr>
            <w:tcW w:w="270" w:type="dxa"/>
          </w:tcPr>
          <w:p w14:paraId="7155EE35" w14:textId="77777777" w:rsidR="00637F72" w:rsidRPr="005828FE" w:rsidRDefault="00637F72" w:rsidP="00637F72">
            <w:pPr>
              <w:pStyle w:val="Normalgrey"/>
            </w:pPr>
          </w:p>
        </w:tc>
        <w:tc>
          <w:tcPr>
            <w:tcW w:w="540" w:type="dxa"/>
          </w:tcPr>
          <w:p w14:paraId="08A06AD5" w14:textId="778F25B8" w:rsidR="00637F72" w:rsidRPr="005828FE" w:rsidRDefault="001943BA" w:rsidP="00637F72">
            <w:pPr>
              <w:pStyle w:val="Normalgrey"/>
            </w:pPr>
            <w:r>
              <w:t>6.19</w:t>
            </w:r>
          </w:p>
        </w:tc>
        <w:tc>
          <w:tcPr>
            <w:tcW w:w="6134" w:type="dxa"/>
          </w:tcPr>
          <w:p w14:paraId="0D2F1F5C" w14:textId="77777777" w:rsidR="00637F72" w:rsidRPr="00224B55" w:rsidRDefault="00224B55" w:rsidP="00637F72">
            <w:pPr>
              <w:pStyle w:val="Normalgrey"/>
              <w:rPr>
                <w:b/>
              </w:rPr>
            </w:pPr>
            <w:r w:rsidRPr="00224B55">
              <w:rPr>
                <w:b/>
              </w:rPr>
              <w:t>Impairment</w:t>
            </w:r>
          </w:p>
          <w:p w14:paraId="63D2C5D1" w14:textId="77777777" w:rsidR="00224B55" w:rsidRPr="005828FE" w:rsidRDefault="00224B55" w:rsidP="00637F72">
            <w:pPr>
              <w:pStyle w:val="Normalgrey"/>
            </w:pPr>
            <w:r w:rsidRPr="00224B55">
              <w:t>The decision by owners to transfer assets is not an indication to the transferor that the asset is impaired. However, the transferor should consider whether there are any indications that the asset should be tested for impairment.</w:t>
            </w:r>
          </w:p>
        </w:tc>
      </w:tr>
      <w:tr w:rsidR="00637F72" w:rsidRPr="005828FE" w14:paraId="1AFD0DD8" w14:textId="77777777" w:rsidTr="00AD6BE8">
        <w:tc>
          <w:tcPr>
            <w:tcW w:w="2293" w:type="dxa"/>
          </w:tcPr>
          <w:p w14:paraId="004EB3D4" w14:textId="77777777" w:rsidR="00637F72" w:rsidRPr="005828FE" w:rsidRDefault="00637F72" w:rsidP="00637F72">
            <w:pPr>
              <w:pStyle w:val="Normalgrey"/>
            </w:pPr>
            <w:r w:rsidRPr="005828FE">
              <w:lastRenderedPageBreak/>
              <w:t>Relevant pronouncements</w:t>
            </w:r>
          </w:p>
        </w:tc>
        <w:tc>
          <w:tcPr>
            <w:tcW w:w="270" w:type="dxa"/>
          </w:tcPr>
          <w:p w14:paraId="66556B1C" w14:textId="77777777" w:rsidR="00637F72" w:rsidRPr="005828FE" w:rsidRDefault="00637F72" w:rsidP="00637F72">
            <w:pPr>
              <w:pStyle w:val="Normalgrey"/>
            </w:pPr>
          </w:p>
        </w:tc>
        <w:tc>
          <w:tcPr>
            <w:tcW w:w="540" w:type="dxa"/>
          </w:tcPr>
          <w:p w14:paraId="75FAF99F" w14:textId="01041CD2" w:rsidR="00637F72" w:rsidRPr="005828FE" w:rsidRDefault="001943BA" w:rsidP="00637F72">
            <w:pPr>
              <w:pStyle w:val="Normalgrey"/>
            </w:pPr>
            <w:r>
              <w:t>7.1</w:t>
            </w:r>
          </w:p>
        </w:tc>
        <w:tc>
          <w:tcPr>
            <w:tcW w:w="6134" w:type="dxa"/>
          </w:tcPr>
          <w:p w14:paraId="384738EE" w14:textId="49A6F67C" w:rsidR="00224B55" w:rsidRDefault="00224B55" w:rsidP="00224B55">
            <w:pPr>
              <w:pStyle w:val="Bullet1grey"/>
              <w:spacing w:before="160"/>
            </w:pPr>
            <w:r>
              <w:t xml:space="preserve">AASB Interpretation 1038 </w:t>
            </w:r>
            <w:r w:rsidRPr="00224B55">
              <w:rPr>
                <w:i/>
              </w:rPr>
              <w:t>Contributions by Owners Made to Wholly-Owned Public Sector Entities</w:t>
            </w:r>
            <w:r>
              <w:t>;</w:t>
            </w:r>
          </w:p>
          <w:p w14:paraId="1F5FD928" w14:textId="254AC997" w:rsidR="00224B55" w:rsidRDefault="00224B55" w:rsidP="00224B55">
            <w:pPr>
              <w:pStyle w:val="Bullet1grey"/>
            </w:pPr>
            <w:r>
              <w:t xml:space="preserve">AASB 1004 </w:t>
            </w:r>
            <w:r w:rsidRPr="00224B55">
              <w:rPr>
                <w:i/>
              </w:rPr>
              <w:t>Contributions</w:t>
            </w:r>
            <w:r>
              <w:t>;</w:t>
            </w:r>
          </w:p>
          <w:p w14:paraId="3B1A8D14" w14:textId="412477D4" w:rsidR="00224B55" w:rsidRDefault="00224B55" w:rsidP="00DF40DF">
            <w:pPr>
              <w:pStyle w:val="Bullet1grey"/>
            </w:pPr>
            <w:r w:rsidRPr="00DF40DF">
              <w:t>AASB</w:t>
            </w:r>
            <w:r>
              <w:t xml:space="preserve"> 3 </w:t>
            </w:r>
            <w:r w:rsidRPr="00224B55">
              <w:rPr>
                <w:i/>
              </w:rPr>
              <w:t>Business Combinations</w:t>
            </w:r>
            <w:r>
              <w:t>;</w:t>
            </w:r>
          </w:p>
          <w:p w14:paraId="04A2FEED" w14:textId="2F15CEEB" w:rsidR="00224B55" w:rsidRDefault="00224B55" w:rsidP="00224B55">
            <w:pPr>
              <w:pStyle w:val="Bullet1grey"/>
            </w:pPr>
            <w:r>
              <w:t xml:space="preserve">AASB 1049 </w:t>
            </w:r>
            <w:r w:rsidRPr="00224B55">
              <w:rPr>
                <w:i/>
              </w:rPr>
              <w:t>Whole of Government and General Government Sector Financial Reporting</w:t>
            </w:r>
            <w:r>
              <w:t>;</w:t>
            </w:r>
          </w:p>
          <w:p w14:paraId="7C1A8896" w14:textId="72AFCB1C" w:rsidR="00224B55" w:rsidRDefault="00224B55" w:rsidP="00224B55">
            <w:pPr>
              <w:pStyle w:val="Bullet1grey"/>
            </w:pPr>
            <w:r>
              <w:t xml:space="preserve">Interpretation 17 </w:t>
            </w:r>
            <w:r w:rsidRPr="00224B55">
              <w:rPr>
                <w:i/>
              </w:rPr>
              <w:t>Distributions of Non-Cash Assets to Owners</w:t>
            </w:r>
            <w:r>
              <w:t>;</w:t>
            </w:r>
          </w:p>
          <w:p w14:paraId="20F6CF11" w14:textId="45C8D759" w:rsidR="00224B55" w:rsidRDefault="00224B55" w:rsidP="00224B55">
            <w:pPr>
              <w:pStyle w:val="Bullet1grey"/>
            </w:pPr>
            <w:r>
              <w:t xml:space="preserve">FRD 103 </w:t>
            </w:r>
            <w:r w:rsidRPr="00224B55">
              <w:rPr>
                <w:i/>
              </w:rPr>
              <w:t>Non-Current Physical Assets</w:t>
            </w:r>
            <w:r>
              <w:t xml:space="preserve">; </w:t>
            </w:r>
            <w:r w:rsidR="00DF40DF">
              <w:t>and</w:t>
            </w:r>
          </w:p>
          <w:p w14:paraId="3DCA7526" w14:textId="3086DF5B" w:rsidR="00637F72" w:rsidRPr="005828FE" w:rsidRDefault="00224B55">
            <w:pPr>
              <w:pStyle w:val="Bullet1grey"/>
            </w:pPr>
            <w:r>
              <w:t xml:space="preserve">FRD 117 </w:t>
            </w:r>
            <w:r w:rsidRPr="00224B55">
              <w:rPr>
                <w:i/>
              </w:rPr>
              <w:t>Contributions of Existing Non-Financial Assets to Third Parties</w:t>
            </w:r>
            <w:r w:rsidR="00DF40DF">
              <w:t>.</w:t>
            </w:r>
          </w:p>
        </w:tc>
      </w:tr>
      <w:tr w:rsidR="00637F72" w:rsidRPr="005828FE" w14:paraId="1EB4C815" w14:textId="77777777" w:rsidTr="00AD6BE8">
        <w:tc>
          <w:tcPr>
            <w:tcW w:w="2293" w:type="dxa"/>
          </w:tcPr>
          <w:p w14:paraId="7908E58A" w14:textId="77777777" w:rsidR="00637F72" w:rsidRPr="005828FE" w:rsidRDefault="00637F72" w:rsidP="00637F72">
            <w:pPr>
              <w:pStyle w:val="Normalgrey"/>
            </w:pPr>
            <w:r w:rsidRPr="005828FE">
              <w:t>Background</w:t>
            </w:r>
          </w:p>
        </w:tc>
        <w:tc>
          <w:tcPr>
            <w:tcW w:w="270" w:type="dxa"/>
          </w:tcPr>
          <w:p w14:paraId="655AE9AC" w14:textId="77777777" w:rsidR="00637F72" w:rsidRPr="005828FE" w:rsidRDefault="00637F72" w:rsidP="00637F72">
            <w:pPr>
              <w:pStyle w:val="Normalgrey"/>
            </w:pPr>
          </w:p>
        </w:tc>
        <w:tc>
          <w:tcPr>
            <w:tcW w:w="540" w:type="dxa"/>
          </w:tcPr>
          <w:p w14:paraId="6BC36624" w14:textId="60F388A4" w:rsidR="00637F72" w:rsidRPr="005828FE" w:rsidRDefault="001943BA" w:rsidP="00637F72">
            <w:pPr>
              <w:pStyle w:val="Normalgrey"/>
            </w:pPr>
            <w:r>
              <w:t>8.1</w:t>
            </w:r>
          </w:p>
        </w:tc>
        <w:tc>
          <w:tcPr>
            <w:tcW w:w="6134" w:type="dxa"/>
          </w:tcPr>
          <w:p w14:paraId="42325A2E" w14:textId="77777777" w:rsidR="00224B55" w:rsidRDefault="00224B55" w:rsidP="00DF40DF">
            <w:pPr>
              <w:pStyle w:val="Normalgrey"/>
            </w:pPr>
            <w:r w:rsidRPr="00DF40DF">
              <w:t>AASB</w:t>
            </w:r>
            <w:r>
              <w:t xml:space="preserve"> Interpretation 1038 clarifies the circumstances for inter-governmental transfers that could be treated as contributions by owners (i.e. contributed capital).</w:t>
            </w:r>
          </w:p>
          <w:p w14:paraId="2B20A709" w14:textId="52103B4E" w:rsidR="00637F72" w:rsidRPr="005828FE" w:rsidRDefault="00224B55" w:rsidP="00224B55">
            <w:pPr>
              <w:pStyle w:val="Normalgrey"/>
            </w:pPr>
            <w:r>
              <w:t xml:space="preserve">AASB 1004 and AASB Interpretation 1038 were revised as a result of the AASB’s short-term review of Australian Accounting Standards (incorporating AAS 27, 29 and 31) affecting the public sector. AASB 1004 now requires that all restructures of administrative arrangements are contributions by or distributions to owners. </w:t>
            </w:r>
          </w:p>
        </w:tc>
      </w:tr>
      <w:tr w:rsidR="00DF40DF" w:rsidRPr="005828FE" w14:paraId="3C19F1E9" w14:textId="77777777" w:rsidTr="00AD6BE8">
        <w:tc>
          <w:tcPr>
            <w:tcW w:w="2293" w:type="dxa"/>
          </w:tcPr>
          <w:p w14:paraId="45EE681B" w14:textId="77777777" w:rsidR="00DF40DF" w:rsidRPr="005828FE" w:rsidRDefault="00DF40DF" w:rsidP="00637F72">
            <w:pPr>
              <w:pStyle w:val="Normalgrey"/>
            </w:pPr>
          </w:p>
        </w:tc>
        <w:tc>
          <w:tcPr>
            <w:tcW w:w="270" w:type="dxa"/>
          </w:tcPr>
          <w:p w14:paraId="661CA28E" w14:textId="77777777" w:rsidR="00DF40DF" w:rsidRPr="005828FE" w:rsidRDefault="00DF40DF" w:rsidP="00637F72">
            <w:pPr>
              <w:pStyle w:val="Normalgrey"/>
            </w:pPr>
          </w:p>
        </w:tc>
        <w:tc>
          <w:tcPr>
            <w:tcW w:w="540" w:type="dxa"/>
          </w:tcPr>
          <w:p w14:paraId="73951E1D" w14:textId="2259F75C" w:rsidR="00DF40DF" w:rsidRDefault="00DF40DF" w:rsidP="00637F72">
            <w:pPr>
              <w:pStyle w:val="Normalgrey"/>
            </w:pPr>
            <w:r>
              <w:t>8.2</w:t>
            </w:r>
          </w:p>
        </w:tc>
        <w:tc>
          <w:tcPr>
            <w:tcW w:w="6134" w:type="dxa"/>
          </w:tcPr>
          <w:p w14:paraId="302E010E" w14:textId="564017D3" w:rsidR="00DF40DF" w:rsidRPr="00432E46" w:rsidRDefault="00DF40DF" w:rsidP="009D514C">
            <w:pPr>
              <w:pStyle w:val="Normalgrey"/>
            </w:pPr>
            <w:r w:rsidRPr="00432E46">
              <w:t xml:space="preserve">FRD 119 was </w:t>
            </w:r>
            <w:r w:rsidR="00A20E84">
              <w:t xml:space="preserve">first </w:t>
            </w:r>
            <w:r w:rsidRPr="00432E46">
              <w:t>issued in December 2008 to update, clarify and simplify FRD 2</w:t>
            </w:r>
            <w:r w:rsidR="00A20E84">
              <w:t xml:space="preserve">. It was </w:t>
            </w:r>
            <w:r>
              <w:t xml:space="preserve">revised in: </w:t>
            </w:r>
          </w:p>
          <w:p w14:paraId="2DC5928B" w14:textId="6C095FFA" w:rsidR="00DF40DF" w:rsidRPr="00432E46" w:rsidRDefault="00DF40DF" w:rsidP="009D514C">
            <w:pPr>
              <w:pStyle w:val="Bullet1grey"/>
            </w:pPr>
            <w:r w:rsidRPr="00432E46">
              <w:t>July 2012</w:t>
            </w:r>
            <w:r>
              <w:t xml:space="preserve"> to </w:t>
            </w:r>
            <w:r w:rsidRPr="00432E46">
              <w:t xml:space="preserve">align with AASB 1004 </w:t>
            </w:r>
            <w:r>
              <w:t xml:space="preserve">in </w:t>
            </w:r>
            <w:r w:rsidRPr="00432E46">
              <w:t>account</w:t>
            </w:r>
            <w:r>
              <w:t>ing</w:t>
            </w:r>
            <w:r w:rsidRPr="00432E46">
              <w:t xml:space="preserve"> for transfers of liabilities under restructures of administrative/arrangements through contributed capital.</w:t>
            </w:r>
          </w:p>
          <w:p w14:paraId="0F93AC5A" w14:textId="7DDEEA65" w:rsidR="00DF40DF" w:rsidRPr="00432E46" w:rsidRDefault="00DF40DF" w:rsidP="009D514C">
            <w:pPr>
              <w:pStyle w:val="Bullet1grey"/>
            </w:pPr>
            <w:r w:rsidRPr="00432E46">
              <w:t>July 2013</w:t>
            </w:r>
            <w:r>
              <w:t xml:space="preserve"> to</w:t>
            </w:r>
            <w:r w:rsidRPr="00432E46">
              <w:t>:</w:t>
            </w:r>
          </w:p>
          <w:p w14:paraId="2F47A19C" w14:textId="4DA6CC2F" w:rsidR="00DF40DF" w:rsidRPr="00432E46" w:rsidRDefault="00DF40DF" w:rsidP="009D514C">
            <w:pPr>
              <w:pStyle w:val="Bullet2grey"/>
            </w:pPr>
            <w:r w:rsidRPr="00432E46">
              <w:t>No</w:t>
            </w:r>
            <w:r>
              <w:t xml:space="preserve"> longer</w:t>
            </w:r>
            <w:r w:rsidRPr="00432E46">
              <w:t xml:space="preserve"> prescrib</w:t>
            </w:r>
            <w:r>
              <w:t>e</w:t>
            </w:r>
            <w:r w:rsidRPr="00432E46">
              <w:t xml:space="preserve"> the instrument used for obtaining the Ministerial designation for ‘other transfers’, provided that the details required by this FRD are satisfied;</w:t>
            </w:r>
          </w:p>
          <w:p w14:paraId="6A0F97E4" w14:textId="0CE3FBD9" w:rsidR="00DF40DF" w:rsidRPr="00432E46" w:rsidRDefault="00DF40DF" w:rsidP="009D514C">
            <w:pPr>
              <w:pStyle w:val="Bullet2grey"/>
            </w:pPr>
            <w:r w:rsidRPr="00432E46">
              <w:t>allow the designation by a Minister based on an estimate of the transfer amounts if the precise amount of the transfer is not known at the time of the designation;</w:t>
            </w:r>
          </w:p>
          <w:p w14:paraId="7342E4D6" w14:textId="05A30A37" w:rsidR="00DF40DF" w:rsidRPr="00432E46" w:rsidRDefault="00DF40DF" w:rsidP="009D514C">
            <w:pPr>
              <w:pStyle w:val="Bullet2grey"/>
            </w:pPr>
            <w:r w:rsidRPr="00432E46">
              <w:t>allow transfers of net liabilities to be accounted for through owner’s equity, as long as there is evidence of a government decision that designates the transfer as contributions by or distributions to owners;</w:t>
            </w:r>
            <w:r>
              <w:t xml:space="preserve"> and</w:t>
            </w:r>
          </w:p>
          <w:p w14:paraId="3AB13A64" w14:textId="6FFF9E69" w:rsidR="00A20E84" w:rsidRPr="00DF40DF" w:rsidRDefault="00DF40DF" w:rsidP="009D514C">
            <w:pPr>
              <w:pStyle w:val="Bullet2grey"/>
            </w:pPr>
            <w:r w:rsidRPr="00432E46">
              <w:t>allow CFAOs to approve the details of the transfer amounts for restructures of administrative arrangements and ‘other transfers</w:t>
            </w:r>
            <w:r>
              <w:t>.</w:t>
            </w:r>
            <w:r w:rsidRPr="00432E46">
              <w:t>’</w:t>
            </w:r>
          </w:p>
        </w:tc>
      </w:tr>
      <w:tr w:rsidR="00637F72" w:rsidRPr="005828FE" w14:paraId="3E1C5452" w14:textId="77777777" w:rsidTr="00AD6BE8">
        <w:tc>
          <w:tcPr>
            <w:tcW w:w="2293" w:type="dxa"/>
          </w:tcPr>
          <w:p w14:paraId="186C8FDE" w14:textId="77777777" w:rsidR="00637F72" w:rsidRPr="005828FE" w:rsidRDefault="00890D56" w:rsidP="00637F72">
            <w:pPr>
              <w:pStyle w:val="Normalgrey"/>
            </w:pPr>
            <w:r>
              <w:t>Appendices</w:t>
            </w:r>
          </w:p>
        </w:tc>
        <w:tc>
          <w:tcPr>
            <w:tcW w:w="270" w:type="dxa"/>
          </w:tcPr>
          <w:p w14:paraId="17D80102" w14:textId="77777777" w:rsidR="00637F72" w:rsidRPr="005828FE" w:rsidRDefault="00637F72" w:rsidP="00637F72">
            <w:pPr>
              <w:pStyle w:val="Normalgrey"/>
            </w:pPr>
          </w:p>
        </w:tc>
        <w:tc>
          <w:tcPr>
            <w:tcW w:w="540" w:type="dxa"/>
          </w:tcPr>
          <w:p w14:paraId="54AB5688" w14:textId="297205DD" w:rsidR="00637F72" w:rsidRPr="005828FE" w:rsidRDefault="001943BA" w:rsidP="00637F72">
            <w:pPr>
              <w:pStyle w:val="Normalgrey"/>
            </w:pPr>
            <w:r>
              <w:t>9.1</w:t>
            </w:r>
          </w:p>
        </w:tc>
        <w:tc>
          <w:tcPr>
            <w:tcW w:w="6134" w:type="dxa"/>
          </w:tcPr>
          <w:p w14:paraId="4C239112" w14:textId="77777777" w:rsidR="00224B55" w:rsidRDefault="00224B55" w:rsidP="00224B55">
            <w:pPr>
              <w:pStyle w:val="Bullet1grey"/>
            </w:pPr>
            <w:r>
              <w:t xml:space="preserve">Appendix A – </w:t>
            </w:r>
            <w:r w:rsidRPr="00EF2A7E">
              <w:rPr>
                <w:i/>
              </w:rPr>
              <w:t>Evidence of government decisions and timing requirements for transfers through contributed capital</w:t>
            </w:r>
            <w:r>
              <w:t xml:space="preserve"> </w:t>
            </w:r>
          </w:p>
          <w:p w14:paraId="0B814E70" w14:textId="77777777" w:rsidR="00224B55" w:rsidRPr="00EF2A7E" w:rsidRDefault="00224B55" w:rsidP="00224B55">
            <w:pPr>
              <w:pStyle w:val="Bullet1grey"/>
              <w:rPr>
                <w:i/>
              </w:rPr>
            </w:pPr>
            <w:r>
              <w:t xml:space="preserve">Appendix B – </w:t>
            </w:r>
            <w:r w:rsidRPr="00EF2A7E">
              <w:rPr>
                <w:i/>
              </w:rPr>
              <w:t>Documentation example for CFAOs to evidence transfer amounts</w:t>
            </w:r>
          </w:p>
          <w:p w14:paraId="7AAACB91" w14:textId="77777777" w:rsidR="00224B55" w:rsidRDefault="00224B55" w:rsidP="00224B55">
            <w:pPr>
              <w:pStyle w:val="Bullet1grey"/>
            </w:pPr>
            <w:r>
              <w:t xml:space="preserve">Appendix C – </w:t>
            </w:r>
            <w:r w:rsidRPr="00EF2A7E">
              <w:rPr>
                <w:i/>
              </w:rPr>
              <w:t>Pathways of transfers accounted for through contributed capital</w:t>
            </w:r>
            <w:r>
              <w:t xml:space="preserve"> </w:t>
            </w:r>
          </w:p>
          <w:p w14:paraId="7A3E2B9E" w14:textId="45020867" w:rsidR="00637F72" w:rsidRPr="00382EE1" w:rsidRDefault="00224B55" w:rsidP="00DF40DF">
            <w:pPr>
              <w:pStyle w:val="Bullet1grey"/>
            </w:pPr>
            <w:r>
              <w:t xml:space="preserve">Appendix D – </w:t>
            </w:r>
            <w:r w:rsidRPr="00EF2A7E">
              <w:rPr>
                <w:i/>
              </w:rPr>
              <w:t>Decision tree on the classification and recognition of transfers through contributed capital</w:t>
            </w:r>
            <w:r>
              <w:t xml:space="preserve"> </w:t>
            </w:r>
          </w:p>
        </w:tc>
      </w:tr>
    </w:tbl>
    <w:p w14:paraId="5FDB9472" w14:textId="77777777" w:rsidR="00AD6BE8" w:rsidRDefault="00AD6BE8" w:rsidP="00FE782F"/>
    <w:p w14:paraId="05DABE45" w14:textId="77777777" w:rsidR="00AD6BE8" w:rsidRDefault="00AD6BE8" w:rsidP="00FE782F"/>
    <w:p w14:paraId="33C22346" w14:textId="77777777" w:rsidR="00582752" w:rsidRDefault="00582752" w:rsidP="00FE782F">
      <w:pPr>
        <w:sectPr w:rsidR="00582752" w:rsidSect="005828FE">
          <w:headerReference w:type="default" r:id="rId9"/>
          <w:footerReference w:type="even" r:id="rId10"/>
          <w:footerReference w:type="default" r:id="rId11"/>
          <w:pgSz w:w="11906" w:h="16838" w:code="9"/>
          <w:pgMar w:top="1802" w:right="1440" w:bottom="1350" w:left="1440" w:header="450" w:footer="461" w:gutter="0"/>
          <w:pgNumType w:start="1"/>
          <w:cols w:space="708"/>
          <w:docGrid w:linePitch="360"/>
        </w:sectPr>
      </w:pPr>
    </w:p>
    <w:p w14:paraId="39D015D6" w14:textId="77777777" w:rsidR="00582752" w:rsidRDefault="004B3F66" w:rsidP="00356E16">
      <w:pPr>
        <w:pStyle w:val="Heading1"/>
        <w:spacing w:after="300"/>
      </w:pPr>
      <w:r w:rsidRPr="004B3F66">
        <w:lastRenderedPageBreak/>
        <w:t>Appendix A – Evidence of government decisions and timing requirements for transfers through contributed capital</w:t>
      </w:r>
    </w:p>
    <w:tbl>
      <w:tblPr>
        <w:tblStyle w:val="DTFtexttable"/>
        <w:tblW w:w="0" w:type="auto"/>
        <w:tblLayout w:type="fixed"/>
        <w:tblLook w:val="04A0" w:firstRow="1" w:lastRow="0" w:firstColumn="1" w:lastColumn="0" w:noHBand="0" w:noVBand="1"/>
      </w:tblPr>
      <w:tblGrid>
        <w:gridCol w:w="3318"/>
        <w:gridCol w:w="3685"/>
        <w:gridCol w:w="2977"/>
        <w:gridCol w:w="3820"/>
      </w:tblGrid>
      <w:tr w:rsidR="004B3F66" w:rsidRPr="004B3F66" w14:paraId="523F1037" w14:textId="77777777" w:rsidTr="00356E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8" w:type="dxa"/>
          </w:tcPr>
          <w:p w14:paraId="7EE291AC" w14:textId="77777777" w:rsidR="004B3F66" w:rsidRPr="004B3F66" w:rsidRDefault="004B3F66" w:rsidP="004B3F66">
            <w:pPr>
              <w:spacing w:before="40" w:after="40"/>
            </w:pPr>
            <w:r w:rsidRPr="004B3F66">
              <w:t>Type of transfer</w:t>
            </w:r>
            <w:r w:rsidRPr="00C6242D">
              <w:rPr>
                <w:vertAlign w:val="superscript"/>
              </w:rPr>
              <w:t>1</w:t>
            </w:r>
          </w:p>
        </w:tc>
        <w:tc>
          <w:tcPr>
            <w:tcW w:w="3685" w:type="dxa"/>
          </w:tcPr>
          <w:p w14:paraId="54FB7901" w14:textId="77777777" w:rsidR="004B3F66" w:rsidRPr="004B3F66" w:rsidRDefault="004B3F66" w:rsidP="004B3F66">
            <w:pPr>
              <w:spacing w:before="40" w:after="40"/>
              <w:cnfStyle w:val="100000000000" w:firstRow="1" w:lastRow="0" w:firstColumn="0" w:lastColumn="0" w:oddVBand="0" w:evenVBand="0" w:oddHBand="0" w:evenHBand="0" w:firstRowFirstColumn="0" w:firstRowLastColumn="0" w:lastRowFirstColumn="0" w:lastRowLastColumn="0"/>
            </w:pPr>
            <w:r w:rsidRPr="004B3F66">
              <w:t>Evidence of government decision</w:t>
            </w:r>
          </w:p>
        </w:tc>
        <w:tc>
          <w:tcPr>
            <w:tcW w:w="2977" w:type="dxa"/>
          </w:tcPr>
          <w:p w14:paraId="4E5E0F94" w14:textId="77777777" w:rsidR="004B3F66" w:rsidRPr="004B3F66" w:rsidRDefault="004B3F66" w:rsidP="004B3F66">
            <w:pPr>
              <w:spacing w:before="40" w:after="40"/>
              <w:cnfStyle w:val="100000000000" w:firstRow="1" w:lastRow="0" w:firstColumn="0" w:lastColumn="0" w:oddVBand="0" w:evenVBand="0" w:oddHBand="0" w:evenHBand="0" w:firstRowFirstColumn="0" w:firstRowLastColumn="0" w:lastRowFirstColumn="0" w:lastRowLastColumn="0"/>
            </w:pPr>
            <w:r w:rsidRPr="004B3F66">
              <w:t>Date of government decision</w:t>
            </w:r>
          </w:p>
        </w:tc>
        <w:tc>
          <w:tcPr>
            <w:tcW w:w="3820" w:type="dxa"/>
          </w:tcPr>
          <w:p w14:paraId="0988700B" w14:textId="77777777" w:rsidR="004B3F66" w:rsidRPr="004B3F66" w:rsidRDefault="004B3F66" w:rsidP="004B3F66">
            <w:pPr>
              <w:spacing w:before="40" w:after="40"/>
              <w:cnfStyle w:val="100000000000" w:firstRow="1" w:lastRow="0" w:firstColumn="0" w:lastColumn="0" w:oddVBand="0" w:evenVBand="0" w:oddHBand="0" w:evenHBand="0" w:firstRowFirstColumn="0" w:firstRowLastColumn="0" w:lastRowFirstColumn="0" w:lastRowLastColumn="0"/>
            </w:pPr>
            <w:r w:rsidRPr="004B3F66">
              <w:t>Date of transfer</w:t>
            </w:r>
          </w:p>
        </w:tc>
      </w:tr>
      <w:tr w:rsidR="004B3F66" w14:paraId="69DE1B9A"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585DECFD" w14:textId="77777777" w:rsidR="004B3F66" w:rsidRDefault="004B3F66" w:rsidP="004B3F66">
            <w:pPr>
              <w:spacing w:before="40" w:after="40"/>
              <w:ind w:left="284" w:hanging="284"/>
            </w:pPr>
            <w:r>
              <w:t>1.</w:t>
            </w:r>
            <w:r>
              <w:tab/>
              <w:t>Restructures of administrative arrangements</w:t>
            </w:r>
          </w:p>
        </w:tc>
        <w:tc>
          <w:tcPr>
            <w:tcW w:w="3685" w:type="dxa"/>
          </w:tcPr>
          <w:p w14:paraId="26598C0A"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p>
        </w:tc>
        <w:tc>
          <w:tcPr>
            <w:tcW w:w="2977" w:type="dxa"/>
          </w:tcPr>
          <w:p w14:paraId="545E2536"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p>
        </w:tc>
        <w:tc>
          <w:tcPr>
            <w:tcW w:w="3820" w:type="dxa"/>
          </w:tcPr>
          <w:p w14:paraId="3AC670B1"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p>
        </w:tc>
      </w:tr>
      <w:tr w:rsidR="004B3F66" w14:paraId="4280F598"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8D5D2F8" w14:textId="77777777" w:rsidR="004B3F66" w:rsidRDefault="004B3F66" w:rsidP="004B3F66">
            <w:pPr>
              <w:pStyle w:val="NormalIndent"/>
              <w:spacing w:before="40" w:after="40"/>
            </w:pPr>
            <w:r w:rsidRPr="004B3F66">
              <w:t>(a)</w:t>
            </w:r>
            <w:r w:rsidRPr="004B3F66">
              <w:tab/>
              <w:t>Machinery of government changes (e.g. reallocation of a business, including functions/programs)</w:t>
            </w:r>
          </w:p>
        </w:tc>
        <w:tc>
          <w:tcPr>
            <w:tcW w:w="3685" w:type="dxa"/>
          </w:tcPr>
          <w:p w14:paraId="0E0B166A" w14:textId="77777777" w:rsidR="00E368E5"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Administrative Order;</w:t>
            </w:r>
            <w:r w:rsidR="00356E16">
              <w:br/>
            </w:r>
            <w:r w:rsidRPr="004B3F66">
              <w:t xml:space="preserve"> </w:t>
            </w:r>
            <w:r w:rsidR="00356E16">
              <w:br/>
            </w:r>
          </w:p>
          <w:p w14:paraId="5A679B53" w14:textId="77777777" w:rsidR="004B3F66"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or</w:t>
            </w:r>
          </w:p>
        </w:tc>
        <w:tc>
          <w:tcPr>
            <w:tcW w:w="2977" w:type="dxa"/>
          </w:tcPr>
          <w:p w14:paraId="53BEAF8B" w14:textId="77777777" w:rsidR="00E368E5"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 xml:space="preserve">On the date when the Order is signed; </w:t>
            </w:r>
            <w:r w:rsidR="00356E16">
              <w:br/>
            </w:r>
          </w:p>
          <w:p w14:paraId="55615304" w14:textId="77777777" w:rsidR="004B3F66"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or</w:t>
            </w:r>
          </w:p>
        </w:tc>
        <w:tc>
          <w:tcPr>
            <w:tcW w:w="3820" w:type="dxa"/>
          </w:tcPr>
          <w:p w14:paraId="11BAB365" w14:textId="77777777" w:rsidR="004B3F66"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 xml:space="preserve">The transfer is </w:t>
            </w:r>
            <w:r w:rsidRPr="004B3F66">
              <w:rPr>
                <w:i/>
              </w:rPr>
              <w:t>deemed</w:t>
            </w:r>
            <w:r w:rsidRPr="004B3F66">
              <w:t xml:space="preserve"> to occur on the date of gazettal or publication unless the order or a subsequent order specifies a separate effective date, in which case the transfer is </w:t>
            </w:r>
            <w:r w:rsidRPr="004B3F66">
              <w:rPr>
                <w:i/>
              </w:rPr>
              <w:t>deemed</w:t>
            </w:r>
            <w:r w:rsidRPr="004B3F66">
              <w:t xml:space="preserve"> to occur on the later date.</w:t>
            </w:r>
          </w:p>
        </w:tc>
      </w:tr>
      <w:tr w:rsidR="004B3F66" w14:paraId="018D3D0F"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685AA221" w14:textId="77777777" w:rsidR="004B3F66" w:rsidRDefault="004B3F66" w:rsidP="004B3F66">
            <w:pPr>
              <w:spacing w:before="40" w:after="40"/>
              <w:ind w:left="284" w:hanging="284"/>
            </w:pPr>
          </w:p>
        </w:tc>
        <w:tc>
          <w:tcPr>
            <w:tcW w:w="3685" w:type="dxa"/>
          </w:tcPr>
          <w:p w14:paraId="780ACAFD"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r w:rsidRPr="004B3F66">
              <w:t>Alternative evidence (e.g. Ministerial brief, Memorandum)</w:t>
            </w:r>
          </w:p>
        </w:tc>
        <w:tc>
          <w:tcPr>
            <w:tcW w:w="2977" w:type="dxa"/>
          </w:tcPr>
          <w:p w14:paraId="511A478B"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r w:rsidRPr="004B3F66">
              <w:t>On the date when the government decision is signed</w:t>
            </w:r>
          </w:p>
        </w:tc>
        <w:tc>
          <w:tcPr>
            <w:tcW w:w="3820" w:type="dxa"/>
          </w:tcPr>
          <w:p w14:paraId="78376E3E"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r w:rsidRPr="004B3F66">
              <w:t>As specified in the alternative evidence.</w:t>
            </w:r>
          </w:p>
        </w:tc>
      </w:tr>
      <w:tr w:rsidR="004B3F66" w14:paraId="11FCD7BE"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226C17BB" w14:textId="77777777" w:rsidR="004B3F66" w:rsidRDefault="004B3F66" w:rsidP="00E368E5">
            <w:pPr>
              <w:pStyle w:val="NormalIndent"/>
              <w:spacing w:before="40" w:after="40"/>
            </w:pPr>
            <w:r w:rsidRPr="004B3F66">
              <w:t>(b)</w:t>
            </w:r>
            <w:r w:rsidRPr="004B3F66">
              <w:tab/>
              <w:t>One-off or partial restructures (e.g. establishment of the statutory bodies or entities)</w:t>
            </w:r>
          </w:p>
        </w:tc>
        <w:tc>
          <w:tcPr>
            <w:tcW w:w="3685" w:type="dxa"/>
          </w:tcPr>
          <w:p w14:paraId="27D72C04"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4B3F66">
              <w:t>Legislation</w:t>
            </w:r>
          </w:p>
        </w:tc>
        <w:tc>
          <w:tcPr>
            <w:tcW w:w="2977" w:type="dxa"/>
          </w:tcPr>
          <w:p w14:paraId="04C05496"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4B3F66">
              <w:t>On the date when Royal Assent is received.</w:t>
            </w:r>
          </w:p>
        </w:tc>
        <w:tc>
          <w:tcPr>
            <w:tcW w:w="3820" w:type="dxa"/>
          </w:tcPr>
          <w:p w14:paraId="6179A005"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4B3F66">
              <w:t xml:space="preserve">The transfer is </w:t>
            </w:r>
            <w:r w:rsidRPr="004B3F66">
              <w:rPr>
                <w:i/>
              </w:rPr>
              <w:t>deemed</w:t>
            </w:r>
            <w:r w:rsidRPr="004B3F66">
              <w:t xml:space="preserve"> to occur on the date of gazettal or publication unless the order or a subsequent order specifies a separate effective date, in which case the transfer is </w:t>
            </w:r>
            <w:r w:rsidRPr="004B3F66">
              <w:rPr>
                <w:i/>
              </w:rPr>
              <w:t>deemed</w:t>
            </w:r>
            <w:r w:rsidRPr="004B3F66">
              <w:t xml:space="preserve"> to occur on the later date.</w:t>
            </w:r>
          </w:p>
        </w:tc>
      </w:tr>
      <w:tr w:rsidR="00E368E5" w14:paraId="048D9029"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bottom w:val="single" w:sz="4" w:space="0" w:color="auto"/>
            </w:tcBorders>
          </w:tcPr>
          <w:p w14:paraId="2BED4FD1" w14:textId="77777777" w:rsidR="00E368E5" w:rsidRPr="004B3F66" w:rsidRDefault="00E368E5" w:rsidP="00E368E5">
            <w:pPr>
              <w:spacing w:before="40" w:after="40"/>
              <w:ind w:left="568" w:hanging="284"/>
            </w:pPr>
            <w:r w:rsidRPr="00E368E5">
              <w:t>(c)</w:t>
            </w:r>
            <w:r>
              <w:tab/>
            </w:r>
            <w:r w:rsidRPr="00E368E5">
              <w:t>Any other activities transferred based on evidence of government decision</w:t>
            </w:r>
          </w:p>
        </w:tc>
        <w:tc>
          <w:tcPr>
            <w:tcW w:w="3685" w:type="dxa"/>
            <w:tcBorders>
              <w:bottom w:val="single" w:sz="4" w:space="0" w:color="auto"/>
            </w:tcBorders>
          </w:tcPr>
          <w:p w14:paraId="4A1BDCD1" w14:textId="77777777" w:rsidR="00E368E5" w:rsidRDefault="00E368E5" w:rsidP="00E368E5">
            <w:pPr>
              <w:spacing w:before="40" w:after="40"/>
              <w:cnfStyle w:val="000000100000" w:firstRow="0" w:lastRow="0" w:firstColumn="0" w:lastColumn="0" w:oddVBand="0" w:evenVBand="0" w:oddHBand="1" w:evenHBand="0" w:firstRowFirstColumn="0" w:firstRowLastColumn="0" w:lastRowFirstColumn="0" w:lastRowLastColumn="0"/>
            </w:pPr>
            <w:r w:rsidRPr="00E368E5">
              <w:t>Any form of evidence authorising government decision in relation to the activities transferred.</w:t>
            </w:r>
          </w:p>
        </w:tc>
        <w:tc>
          <w:tcPr>
            <w:tcW w:w="2977" w:type="dxa"/>
            <w:tcBorders>
              <w:bottom w:val="single" w:sz="4" w:space="0" w:color="auto"/>
            </w:tcBorders>
          </w:tcPr>
          <w:p w14:paraId="29F31A3D" w14:textId="77777777" w:rsidR="00E368E5" w:rsidRDefault="00E368E5" w:rsidP="00E368E5">
            <w:pPr>
              <w:spacing w:before="40" w:after="40"/>
              <w:cnfStyle w:val="000000100000" w:firstRow="0" w:lastRow="0" w:firstColumn="0" w:lastColumn="0" w:oddVBand="0" w:evenVBand="0" w:oddHBand="1" w:evenHBand="0" w:firstRowFirstColumn="0" w:firstRowLastColumn="0" w:lastRowFirstColumn="0" w:lastRowLastColumn="0"/>
            </w:pPr>
            <w:r w:rsidRPr="00E368E5">
              <w:t>On the date when the evidence of the government decision is signed.</w:t>
            </w:r>
          </w:p>
        </w:tc>
        <w:tc>
          <w:tcPr>
            <w:tcW w:w="3820" w:type="dxa"/>
            <w:tcBorders>
              <w:bottom w:val="single" w:sz="4" w:space="0" w:color="auto"/>
            </w:tcBorders>
          </w:tcPr>
          <w:p w14:paraId="6E42679B" w14:textId="77777777" w:rsidR="00E368E5" w:rsidRDefault="00E368E5" w:rsidP="00E368E5">
            <w:pPr>
              <w:spacing w:before="40" w:after="40"/>
              <w:cnfStyle w:val="000000100000" w:firstRow="0" w:lastRow="0" w:firstColumn="0" w:lastColumn="0" w:oddVBand="0" w:evenVBand="0" w:oddHBand="1" w:evenHBand="0" w:firstRowFirstColumn="0" w:firstRowLastColumn="0" w:lastRowFirstColumn="0" w:lastRowLastColumn="0"/>
            </w:pPr>
            <w:r w:rsidRPr="00E368E5">
              <w:t>On or after the date when the evidence of government decision is signed.</w:t>
            </w:r>
          </w:p>
        </w:tc>
      </w:tr>
      <w:tr w:rsidR="004B3F66" w14:paraId="4F7D95AF"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nil"/>
            </w:tcBorders>
          </w:tcPr>
          <w:p w14:paraId="45E02945" w14:textId="77777777" w:rsidR="004B3F66" w:rsidRDefault="004B3F66" w:rsidP="00356E16">
            <w:pPr>
              <w:spacing w:before="40" w:after="40"/>
              <w:ind w:left="284" w:hanging="284"/>
            </w:pPr>
            <w:r w:rsidRPr="004B3F66">
              <w:t>2.</w:t>
            </w:r>
            <w:r w:rsidRPr="004B3F66">
              <w:tab/>
              <w:t>Appropriations</w:t>
            </w:r>
          </w:p>
        </w:tc>
        <w:tc>
          <w:tcPr>
            <w:tcW w:w="3685" w:type="dxa"/>
            <w:tcBorders>
              <w:top w:val="single" w:sz="4" w:space="0" w:color="auto"/>
              <w:bottom w:val="nil"/>
            </w:tcBorders>
          </w:tcPr>
          <w:p w14:paraId="439C14A2"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c>
          <w:tcPr>
            <w:tcW w:w="2977" w:type="dxa"/>
            <w:tcBorders>
              <w:top w:val="single" w:sz="4" w:space="0" w:color="auto"/>
              <w:bottom w:val="nil"/>
            </w:tcBorders>
          </w:tcPr>
          <w:p w14:paraId="55D05927"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c>
          <w:tcPr>
            <w:tcW w:w="3820" w:type="dxa"/>
            <w:tcBorders>
              <w:top w:val="single" w:sz="4" w:space="0" w:color="auto"/>
              <w:bottom w:val="nil"/>
            </w:tcBorders>
          </w:tcPr>
          <w:p w14:paraId="34F8FFE4"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r>
      <w:tr w:rsidR="004B3F66" w14:paraId="3D2D08C5"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nil"/>
            </w:tcBorders>
          </w:tcPr>
          <w:p w14:paraId="1FE43BD5" w14:textId="77777777" w:rsidR="004B3F66" w:rsidRDefault="004B3F66" w:rsidP="00E368E5">
            <w:pPr>
              <w:pStyle w:val="NormalIndent"/>
              <w:spacing w:before="40" w:after="40"/>
            </w:pPr>
            <w:r w:rsidRPr="004B3F66">
              <w:t>(a)</w:t>
            </w:r>
            <w:r w:rsidRPr="004B3F66">
              <w:tab/>
              <w:t>ATNAB</w:t>
            </w:r>
            <w:r w:rsidRPr="00C6242D">
              <w:rPr>
                <w:vertAlign w:val="superscript"/>
              </w:rPr>
              <w:t>2</w:t>
            </w:r>
          </w:p>
        </w:tc>
        <w:tc>
          <w:tcPr>
            <w:tcW w:w="3685" w:type="dxa"/>
            <w:tcBorders>
              <w:top w:val="nil"/>
            </w:tcBorders>
          </w:tcPr>
          <w:p w14:paraId="11D82B61" w14:textId="77777777" w:rsidR="004B3F66" w:rsidRDefault="004B3F66" w:rsidP="00E368E5">
            <w:pPr>
              <w:spacing w:before="40" w:after="40"/>
              <w:cnfStyle w:val="000000100000" w:firstRow="0" w:lastRow="0" w:firstColumn="0" w:lastColumn="0" w:oddVBand="0" w:evenVBand="0" w:oddHBand="1" w:evenHBand="0" w:firstRowFirstColumn="0" w:firstRowLastColumn="0" w:lastRowFirstColumn="0" w:lastRowLastColumn="0"/>
            </w:pPr>
            <w:r w:rsidRPr="00D928ED">
              <w:t>Appropriation Act</w:t>
            </w:r>
          </w:p>
        </w:tc>
        <w:tc>
          <w:tcPr>
            <w:tcW w:w="2977" w:type="dxa"/>
            <w:tcBorders>
              <w:top w:val="nil"/>
            </w:tcBorders>
          </w:tcPr>
          <w:p w14:paraId="2D04E947" w14:textId="77777777" w:rsidR="004B3F66" w:rsidRPr="00732F7A" w:rsidRDefault="004B3F66" w:rsidP="00E368E5">
            <w:pPr>
              <w:spacing w:before="40" w:after="40"/>
              <w:cnfStyle w:val="000000100000" w:firstRow="0" w:lastRow="0" w:firstColumn="0" w:lastColumn="0" w:oddVBand="0" w:evenVBand="0" w:oddHBand="1" w:evenHBand="0" w:firstRowFirstColumn="0" w:firstRowLastColumn="0" w:lastRowFirstColumn="0" w:lastRowLastColumn="0"/>
            </w:pPr>
            <w:r>
              <w:t>On the date when Royal Assent is received.</w:t>
            </w:r>
          </w:p>
        </w:tc>
        <w:tc>
          <w:tcPr>
            <w:tcW w:w="3820" w:type="dxa"/>
            <w:tcBorders>
              <w:top w:val="nil"/>
            </w:tcBorders>
          </w:tcPr>
          <w:p w14:paraId="307615BF" w14:textId="77777777" w:rsidR="004B3F66" w:rsidRDefault="004B3F66" w:rsidP="00E368E5">
            <w:pPr>
              <w:spacing w:before="40" w:after="40"/>
              <w:cnfStyle w:val="000000100000" w:firstRow="0" w:lastRow="0" w:firstColumn="0" w:lastColumn="0" w:oddVBand="0" w:evenVBand="0" w:oddHBand="1" w:evenHBand="0" w:firstRowFirstColumn="0" w:firstRowLastColumn="0" w:lastRowFirstColumn="0" w:lastRowLastColumn="0"/>
            </w:pPr>
            <w:r w:rsidRPr="00F05D83">
              <w:t>During the financial year specified for the respective Appropriation Act, on date(s) when the cash is drawn down.</w:t>
            </w:r>
          </w:p>
        </w:tc>
      </w:tr>
      <w:tr w:rsidR="004B3F66" w14:paraId="47BBCF5F"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3B632E1" w14:textId="77777777" w:rsidR="004B3F66" w:rsidRDefault="00686684" w:rsidP="00E368E5">
            <w:pPr>
              <w:pStyle w:val="NormalIndent"/>
              <w:spacing w:before="40" w:after="40"/>
            </w:pPr>
            <w:r>
              <w:t>(b)</w:t>
            </w:r>
            <w:r>
              <w:tab/>
            </w:r>
            <w:r w:rsidRPr="00686684">
              <w:t>POBOS</w:t>
            </w:r>
            <w:r w:rsidRPr="004701A1">
              <w:rPr>
                <w:vertAlign w:val="superscript"/>
              </w:rPr>
              <w:t>3</w:t>
            </w:r>
            <w:r w:rsidRPr="00686684">
              <w:t xml:space="preserve"> for ‘capital expenditure purposes’</w:t>
            </w:r>
          </w:p>
        </w:tc>
        <w:tc>
          <w:tcPr>
            <w:tcW w:w="3685" w:type="dxa"/>
          </w:tcPr>
          <w:p w14:paraId="7FCA95E3"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D928ED">
              <w:t>Appropriation Act</w:t>
            </w:r>
          </w:p>
        </w:tc>
        <w:tc>
          <w:tcPr>
            <w:tcW w:w="2977" w:type="dxa"/>
          </w:tcPr>
          <w:p w14:paraId="19E50F7E" w14:textId="77777777" w:rsidR="004B3F66" w:rsidRPr="00732F7A"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732F7A">
              <w:t>On the date when Royal Assent is received.</w:t>
            </w:r>
          </w:p>
        </w:tc>
        <w:tc>
          <w:tcPr>
            <w:tcW w:w="3820" w:type="dxa"/>
          </w:tcPr>
          <w:p w14:paraId="03900927"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F05D83">
              <w:t>During the financial year specified for the respective Appropriation Act, on date(s) when the cash is drawn down.</w:t>
            </w:r>
          </w:p>
        </w:tc>
      </w:tr>
      <w:tr w:rsidR="004B3F66" w14:paraId="19D0D880"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B0F3DD1" w14:textId="77777777" w:rsidR="004B3F66" w:rsidRDefault="00686684" w:rsidP="00356E16">
            <w:pPr>
              <w:pStyle w:val="NormalIndent"/>
              <w:pageBreakBefore/>
              <w:spacing w:before="40" w:after="40"/>
            </w:pPr>
            <w:r w:rsidRPr="00686684">
              <w:lastRenderedPageBreak/>
              <w:t>(c)</w:t>
            </w:r>
            <w:r w:rsidRPr="00686684">
              <w:tab/>
              <w:t>Special appropriations for ‘capital expenditure purposes’</w:t>
            </w:r>
          </w:p>
        </w:tc>
        <w:tc>
          <w:tcPr>
            <w:tcW w:w="3685" w:type="dxa"/>
          </w:tcPr>
          <w:p w14:paraId="62C32748"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Specific sections in other Acts</w:t>
            </w:r>
          </w:p>
        </w:tc>
        <w:tc>
          <w:tcPr>
            <w:tcW w:w="2977" w:type="dxa"/>
          </w:tcPr>
          <w:p w14:paraId="73C6E35F"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the date when the Warrant is issued.</w:t>
            </w:r>
          </w:p>
        </w:tc>
        <w:tc>
          <w:tcPr>
            <w:tcW w:w="3820" w:type="dxa"/>
          </w:tcPr>
          <w:p w14:paraId="300DBB22"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date(s) when the cash is drawn down.</w:t>
            </w:r>
          </w:p>
        </w:tc>
      </w:tr>
      <w:tr w:rsidR="004B3F66" w14:paraId="495A841C"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7C0E7579" w14:textId="77777777" w:rsidR="004B3F66" w:rsidRDefault="00686684" w:rsidP="00356E16">
            <w:pPr>
              <w:pStyle w:val="NormalIndent"/>
              <w:spacing w:before="40" w:after="40"/>
            </w:pPr>
            <w:r w:rsidRPr="00686684">
              <w:t>(d)</w:t>
            </w:r>
            <w:r w:rsidRPr="00686684">
              <w:tab/>
              <w:t>On-passed funds drawn down from the appropriations for ‘capital expenditure purposes’</w:t>
            </w:r>
          </w:p>
        </w:tc>
        <w:tc>
          <w:tcPr>
            <w:tcW w:w="3685" w:type="dxa"/>
          </w:tcPr>
          <w:p w14:paraId="51BD8E07"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t>Same evidence as for the appropriations:</w:t>
            </w:r>
          </w:p>
        </w:tc>
        <w:tc>
          <w:tcPr>
            <w:tcW w:w="2977" w:type="dxa"/>
          </w:tcPr>
          <w:p w14:paraId="6FFE921C"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c>
          <w:tcPr>
            <w:tcW w:w="3820" w:type="dxa"/>
          </w:tcPr>
          <w:p w14:paraId="143827C6"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r>
      <w:tr w:rsidR="00686684" w14:paraId="7CF48324"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08B1451" w14:textId="77777777" w:rsidR="00686684" w:rsidRDefault="00686684" w:rsidP="00E368E5">
            <w:pPr>
              <w:spacing w:before="40" w:after="40"/>
            </w:pPr>
          </w:p>
        </w:tc>
        <w:tc>
          <w:tcPr>
            <w:tcW w:w="3685" w:type="dxa"/>
          </w:tcPr>
          <w:p w14:paraId="629741B6" w14:textId="77777777" w:rsidR="00686684" w:rsidRDefault="00686684" w:rsidP="00E368E5">
            <w:pPr>
              <w:pStyle w:val="Bullet1"/>
              <w:spacing w:before="40" w:after="40"/>
              <w:ind w:left="289" w:hanging="289"/>
              <w:contextualSpacing w:val="0"/>
              <w:cnfStyle w:val="000000100000" w:firstRow="0" w:lastRow="0" w:firstColumn="0" w:lastColumn="0" w:oddVBand="0" w:evenVBand="0" w:oddHBand="1" w:evenHBand="0" w:firstRowFirstColumn="0" w:firstRowLastColumn="0" w:lastRowFirstColumn="0" w:lastRowLastColumn="0"/>
            </w:pPr>
            <w:r w:rsidRPr="00686684">
              <w:t>Appropriation Act (On-passed from ATNAB appropriations)</w:t>
            </w:r>
          </w:p>
        </w:tc>
        <w:tc>
          <w:tcPr>
            <w:tcW w:w="2977" w:type="dxa"/>
          </w:tcPr>
          <w:p w14:paraId="5FC0DE99" w14:textId="77777777" w:rsidR="00686684" w:rsidRPr="00F23C47"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the date when Royal Assent is received.</w:t>
            </w:r>
          </w:p>
        </w:tc>
        <w:tc>
          <w:tcPr>
            <w:tcW w:w="3820" w:type="dxa"/>
          </w:tcPr>
          <w:p w14:paraId="05287A9D" w14:textId="77777777" w:rsidR="00686684"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During the financial year specified for the respective Appropriation Act, on date(s) when the cash is drawn down.</w:t>
            </w:r>
          </w:p>
        </w:tc>
      </w:tr>
      <w:tr w:rsidR="00686684" w14:paraId="1059E32F"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4B57FF6D" w14:textId="77777777" w:rsidR="00686684" w:rsidRDefault="00686684" w:rsidP="00E368E5">
            <w:pPr>
              <w:spacing w:before="40" w:after="40"/>
            </w:pPr>
          </w:p>
        </w:tc>
        <w:tc>
          <w:tcPr>
            <w:tcW w:w="3685" w:type="dxa"/>
          </w:tcPr>
          <w:p w14:paraId="09EEE27A" w14:textId="77777777" w:rsidR="00686684" w:rsidRDefault="00686684" w:rsidP="00E368E5">
            <w:pPr>
              <w:pStyle w:val="Bullet1"/>
              <w:spacing w:before="40" w:after="40"/>
              <w:ind w:left="289" w:hanging="289"/>
              <w:contextualSpacing w:val="0"/>
              <w:cnfStyle w:val="000000010000" w:firstRow="0" w:lastRow="0" w:firstColumn="0" w:lastColumn="0" w:oddVBand="0" w:evenVBand="0" w:oddHBand="0" w:evenHBand="1" w:firstRowFirstColumn="0" w:firstRowLastColumn="0" w:lastRowFirstColumn="0" w:lastRowLastColumn="0"/>
            </w:pPr>
            <w:r w:rsidRPr="00686684">
              <w:t>Appropriation Act (on-passed from POBOS appropriations for ‘capital expenditure purposes’)</w:t>
            </w:r>
          </w:p>
        </w:tc>
        <w:tc>
          <w:tcPr>
            <w:tcW w:w="2977" w:type="dxa"/>
          </w:tcPr>
          <w:p w14:paraId="2C7308AF" w14:textId="77777777" w:rsidR="00686684" w:rsidRPr="00F23C47"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23C47">
              <w:t>On the date when Royal Assent is received.</w:t>
            </w:r>
          </w:p>
        </w:tc>
        <w:tc>
          <w:tcPr>
            <w:tcW w:w="3820" w:type="dxa"/>
          </w:tcPr>
          <w:p w14:paraId="5420FB6A" w14:textId="77777777" w:rsidR="00686684"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t>During the financial year specified for the respective Appropriation Act, on date(s) when the cash is drawn down.</w:t>
            </w:r>
          </w:p>
        </w:tc>
      </w:tr>
      <w:tr w:rsidR="004B3F66" w14:paraId="45669578"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bottom w:val="single" w:sz="4" w:space="0" w:color="auto"/>
            </w:tcBorders>
          </w:tcPr>
          <w:p w14:paraId="636D3519" w14:textId="77777777" w:rsidR="004B3F66" w:rsidRDefault="004B3F66" w:rsidP="00E368E5">
            <w:pPr>
              <w:spacing w:before="40" w:after="40"/>
            </w:pPr>
          </w:p>
        </w:tc>
        <w:tc>
          <w:tcPr>
            <w:tcW w:w="3685" w:type="dxa"/>
            <w:tcBorders>
              <w:bottom w:val="single" w:sz="4" w:space="0" w:color="auto"/>
            </w:tcBorders>
          </w:tcPr>
          <w:p w14:paraId="6F9AF4AB" w14:textId="77777777" w:rsidR="004B3F66" w:rsidRDefault="00686684" w:rsidP="00E368E5">
            <w:pPr>
              <w:pStyle w:val="Bullet1"/>
              <w:spacing w:before="40" w:after="40"/>
              <w:ind w:left="289" w:hanging="289"/>
              <w:contextualSpacing w:val="0"/>
              <w:cnfStyle w:val="000000100000" w:firstRow="0" w:lastRow="0" w:firstColumn="0" w:lastColumn="0" w:oddVBand="0" w:evenVBand="0" w:oddHBand="1" w:evenHBand="0" w:firstRowFirstColumn="0" w:firstRowLastColumn="0" w:lastRowFirstColumn="0" w:lastRowLastColumn="0"/>
            </w:pPr>
            <w:r w:rsidRPr="00686684">
              <w:t>Other Acts (on-passed from special appropriations for ‘capital expenditure purposes’).</w:t>
            </w:r>
          </w:p>
        </w:tc>
        <w:tc>
          <w:tcPr>
            <w:tcW w:w="2977" w:type="dxa"/>
            <w:tcBorders>
              <w:bottom w:val="single" w:sz="4" w:space="0" w:color="auto"/>
            </w:tcBorders>
          </w:tcPr>
          <w:p w14:paraId="26A9363D"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the date when Warrant is issued.</w:t>
            </w:r>
          </w:p>
        </w:tc>
        <w:tc>
          <w:tcPr>
            <w:tcW w:w="3820" w:type="dxa"/>
            <w:tcBorders>
              <w:bottom w:val="single" w:sz="4" w:space="0" w:color="auto"/>
            </w:tcBorders>
          </w:tcPr>
          <w:p w14:paraId="44928E36"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date(s) when the cash is drawn down.</w:t>
            </w:r>
          </w:p>
        </w:tc>
      </w:tr>
      <w:tr w:rsidR="004B3F66" w14:paraId="11FD07B3"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0B80ECFF" w14:textId="77777777" w:rsidR="004B3F66" w:rsidRDefault="00686684" w:rsidP="00E368E5">
            <w:pPr>
              <w:spacing w:before="40" w:after="40"/>
              <w:ind w:left="284" w:hanging="284"/>
            </w:pPr>
            <w:r w:rsidRPr="00686684">
              <w:t>3.</w:t>
            </w:r>
            <w:r w:rsidRPr="00686684">
              <w:tab/>
              <w:t>Return of a non-financial asset to owners prior to sale</w:t>
            </w:r>
          </w:p>
        </w:tc>
        <w:tc>
          <w:tcPr>
            <w:tcW w:w="3685" w:type="dxa"/>
            <w:tcBorders>
              <w:top w:val="single" w:sz="4" w:space="0" w:color="auto"/>
              <w:bottom w:val="single" w:sz="4" w:space="0" w:color="auto"/>
            </w:tcBorders>
          </w:tcPr>
          <w:p w14:paraId="6C10A24A"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rPr>
                <w:i/>
              </w:rPr>
              <w:t>Constitution Act 1975</w:t>
            </w:r>
            <w:r w:rsidRPr="00686684">
              <w:t xml:space="preserve"> and </w:t>
            </w:r>
            <w:r w:rsidRPr="00686684">
              <w:rPr>
                <w:i/>
              </w:rPr>
              <w:t>Financial Management Act 1994</w:t>
            </w:r>
          </w:p>
        </w:tc>
        <w:tc>
          <w:tcPr>
            <w:tcW w:w="2977" w:type="dxa"/>
            <w:tcBorders>
              <w:top w:val="single" w:sz="4" w:space="0" w:color="auto"/>
              <w:bottom w:val="single" w:sz="4" w:space="0" w:color="auto"/>
            </w:tcBorders>
          </w:tcPr>
          <w:p w14:paraId="552EDECD"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t>Ongoing</w:t>
            </w:r>
          </w:p>
        </w:tc>
        <w:tc>
          <w:tcPr>
            <w:tcW w:w="3820" w:type="dxa"/>
            <w:tcBorders>
              <w:top w:val="single" w:sz="4" w:space="0" w:color="auto"/>
              <w:bottom w:val="single" w:sz="4" w:space="0" w:color="auto"/>
            </w:tcBorders>
          </w:tcPr>
          <w:p w14:paraId="02264A4C"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t>On the date when the sale is settled.</w:t>
            </w:r>
          </w:p>
        </w:tc>
      </w:tr>
      <w:tr w:rsidR="00686684" w14:paraId="48DD9B1E"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331D1973" w14:textId="68EE5DA8" w:rsidR="00686684" w:rsidRPr="00C549B7" w:rsidRDefault="00686684" w:rsidP="00E368E5">
            <w:pPr>
              <w:spacing w:before="40" w:after="40"/>
              <w:ind w:left="284" w:hanging="284"/>
            </w:pPr>
            <w:r w:rsidRPr="00686684">
              <w:t>4.</w:t>
            </w:r>
            <w:r w:rsidRPr="00686684">
              <w:tab/>
              <w:t>Return of a non-financial asset prior to transfer under FRD 117</w:t>
            </w:r>
          </w:p>
        </w:tc>
        <w:tc>
          <w:tcPr>
            <w:tcW w:w="3685" w:type="dxa"/>
            <w:tcBorders>
              <w:top w:val="single" w:sz="4" w:space="0" w:color="auto"/>
              <w:bottom w:val="single" w:sz="4" w:space="0" w:color="auto"/>
            </w:tcBorders>
          </w:tcPr>
          <w:p w14:paraId="7E661CD3" w14:textId="62CE54D7" w:rsidR="00686684" w:rsidRPr="0036600F"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36600F">
              <w:t xml:space="preserve">FRD 117 Contributions of Existing </w:t>
            </w:r>
            <w:r w:rsidR="00FA68F8" w:rsidRPr="0036600F">
              <w:t>Non</w:t>
            </w:r>
            <w:r w:rsidR="00FA68F8">
              <w:t>-</w:t>
            </w:r>
            <w:r w:rsidRPr="0036600F">
              <w:t>financial Assets to Third Parties</w:t>
            </w:r>
          </w:p>
        </w:tc>
        <w:tc>
          <w:tcPr>
            <w:tcW w:w="2977" w:type="dxa"/>
            <w:tcBorders>
              <w:top w:val="single" w:sz="4" w:space="0" w:color="auto"/>
              <w:bottom w:val="single" w:sz="4" w:space="0" w:color="auto"/>
            </w:tcBorders>
          </w:tcPr>
          <w:p w14:paraId="2E6CD8DE" w14:textId="77777777" w:rsidR="00686684" w:rsidRPr="0036600F"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36600F">
              <w:t>Ongoing</w:t>
            </w:r>
          </w:p>
        </w:tc>
        <w:tc>
          <w:tcPr>
            <w:tcW w:w="3820" w:type="dxa"/>
            <w:tcBorders>
              <w:top w:val="single" w:sz="4" w:space="0" w:color="auto"/>
              <w:bottom w:val="single" w:sz="4" w:space="0" w:color="auto"/>
            </w:tcBorders>
          </w:tcPr>
          <w:p w14:paraId="20C88D33" w14:textId="77777777" w:rsidR="00686684"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36600F">
              <w:t>On the date determined by the government.</w:t>
            </w:r>
          </w:p>
        </w:tc>
      </w:tr>
      <w:tr w:rsidR="00686684" w14:paraId="0696172D"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tcBorders>
          </w:tcPr>
          <w:p w14:paraId="7894B393" w14:textId="77777777" w:rsidR="00686684" w:rsidRDefault="00686684" w:rsidP="00E368E5">
            <w:pPr>
              <w:spacing w:before="40" w:after="40"/>
              <w:ind w:left="284" w:hanging="284"/>
            </w:pPr>
            <w:r w:rsidRPr="00686684">
              <w:t>5.</w:t>
            </w:r>
            <w:r w:rsidRPr="00686684">
              <w:tab/>
              <w:t>‘Other transfers’ requiring formal designation by the transferor portfolio Minister.</w:t>
            </w:r>
          </w:p>
        </w:tc>
        <w:tc>
          <w:tcPr>
            <w:tcW w:w="3685" w:type="dxa"/>
            <w:tcBorders>
              <w:top w:val="single" w:sz="4" w:space="0" w:color="auto"/>
            </w:tcBorders>
          </w:tcPr>
          <w:p w14:paraId="7BB9FAE5" w14:textId="20999A38" w:rsidR="00686684" w:rsidRPr="00FE6403"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E6403">
              <w:t xml:space="preserve">A document signed by the relevant portfolio Minister in accordance with the requirements in paragraph </w:t>
            </w:r>
            <w:r w:rsidR="00F86A81">
              <w:t>4.3</w:t>
            </w:r>
            <w:r w:rsidRPr="00FE6403">
              <w:t xml:space="preserve"> of this FRD.</w:t>
            </w:r>
          </w:p>
        </w:tc>
        <w:tc>
          <w:tcPr>
            <w:tcW w:w="2977" w:type="dxa"/>
            <w:tcBorders>
              <w:top w:val="single" w:sz="4" w:space="0" w:color="auto"/>
            </w:tcBorders>
          </w:tcPr>
          <w:p w14:paraId="28DB23FF" w14:textId="77777777" w:rsidR="00686684" w:rsidRPr="00FE6403"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E6403">
              <w:t>The date of designation by the transferor portfolio Minister on or before the date of the transfer.</w:t>
            </w:r>
          </w:p>
        </w:tc>
        <w:tc>
          <w:tcPr>
            <w:tcW w:w="3820" w:type="dxa"/>
            <w:tcBorders>
              <w:top w:val="single" w:sz="4" w:space="0" w:color="auto"/>
            </w:tcBorders>
          </w:tcPr>
          <w:p w14:paraId="7A00AA66" w14:textId="77777777" w:rsidR="00686684"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E6403">
              <w:t>Transfer date specified which should be on or after the date of authorisation.</w:t>
            </w:r>
          </w:p>
        </w:tc>
      </w:tr>
    </w:tbl>
    <w:p w14:paraId="4703C03C" w14:textId="77777777" w:rsidR="00E368E5" w:rsidRDefault="00E368E5" w:rsidP="00E368E5">
      <w:pPr>
        <w:pStyle w:val="NoteNormal"/>
        <w:tabs>
          <w:tab w:val="left" w:pos="284"/>
        </w:tabs>
      </w:pPr>
      <w:r>
        <w:t>Notes:</w:t>
      </w:r>
    </w:p>
    <w:p w14:paraId="75F2A20C" w14:textId="77777777" w:rsidR="00E368E5" w:rsidRDefault="00E368E5" w:rsidP="00E368E5">
      <w:pPr>
        <w:pStyle w:val="NoteNormal"/>
        <w:tabs>
          <w:tab w:val="left" w:pos="284"/>
        </w:tabs>
      </w:pPr>
      <w:r>
        <w:t>1.</w:t>
      </w:r>
      <w:r>
        <w:tab/>
        <w:t>The above transfers are taken to meet the definition of contributions by owners.</w:t>
      </w:r>
    </w:p>
    <w:p w14:paraId="783FA7E8" w14:textId="77777777" w:rsidR="00E368E5" w:rsidRDefault="00E368E5" w:rsidP="00E368E5">
      <w:pPr>
        <w:pStyle w:val="NoteNormal"/>
        <w:tabs>
          <w:tab w:val="left" w:pos="284"/>
        </w:tabs>
      </w:pPr>
      <w:r>
        <w:t>2.</w:t>
      </w:r>
      <w:r>
        <w:tab/>
        <w:t>Abbreviation for Additions to Net Asset Base.</w:t>
      </w:r>
    </w:p>
    <w:p w14:paraId="3D1971BB" w14:textId="77777777" w:rsidR="004B3F66" w:rsidRDefault="00E368E5" w:rsidP="00E368E5">
      <w:pPr>
        <w:pStyle w:val="NoteNormal"/>
        <w:tabs>
          <w:tab w:val="left" w:pos="284"/>
        </w:tabs>
      </w:pPr>
      <w:r>
        <w:t>3.</w:t>
      </w:r>
      <w:r>
        <w:tab/>
        <w:t>Abbreviation for Payments on Behalf of State.</w:t>
      </w:r>
    </w:p>
    <w:p w14:paraId="142CF5EB" w14:textId="77777777" w:rsidR="004B3F66" w:rsidRDefault="004B3F66" w:rsidP="00FE782F"/>
    <w:p w14:paraId="1BE2E9D4" w14:textId="77777777" w:rsidR="004B3F66" w:rsidRDefault="004B3F66" w:rsidP="00FE782F"/>
    <w:p w14:paraId="6B3118FE" w14:textId="77777777" w:rsidR="004B3F66" w:rsidRDefault="004B3F66" w:rsidP="00FE782F">
      <w:pPr>
        <w:sectPr w:rsidR="004B3F66" w:rsidSect="00344DD1">
          <w:footerReference w:type="default" r:id="rId12"/>
          <w:pgSz w:w="16838" w:h="11906" w:orient="landscape" w:code="9"/>
          <w:pgMar w:top="851" w:right="1803" w:bottom="851" w:left="1349" w:header="448" w:footer="459" w:gutter="0"/>
          <w:cols w:space="708"/>
          <w:docGrid w:linePitch="360"/>
        </w:sectPr>
      </w:pPr>
    </w:p>
    <w:p w14:paraId="5598C434" w14:textId="77777777" w:rsidR="00356E16" w:rsidRDefault="00356E16" w:rsidP="003A70D7">
      <w:pPr>
        <w:pStyle w:val="Heading1"/>
        <w:spacing w:after="300"/>
      </w:pPr>
      <w:r>
        <w:lastRenderedPageBreak/>
        <w:t>Appendix B – Documentation example for CFAOs to evidence transfer amounts</w:t>
      </w:r>
    </w:p>
    <w:p w14:paraId="60ABE983" w14:textId="77777777" w:rsidR="00356E16" w:rsidRPr="00356E16" w:rsidRDefault="00356E16" w:rsidP="00356E16">
      <w:pPr>
        <w:tabs>
          <w:tab w:val="left" w:pos="1985"/>
        </w:tabs>
        <w:rPr>
          <w:b/>
          <w:sz w:val="20"/>
        </w:rPr>
      </w:pPr>
      <w:r w:rsidRPr="00356E16">
        <w:rPr>
          <w:b/>
          <w:sz w:val="20"/>
        </w:rPr>
        <w:t xml:space="preserve">Transfer from: </w:t>
      </w:r>
      <w:r w:rsidRPr="00356E16">
        <w:rPr>
          <w:b/>
          <w:sz w:val="20"/>
        </w:rPr>
        <w:tab/>
      </w:r>
      <w:r w:rsidRPr="00356E16">
        <w:rPr>
          <w:b/>
          <w:color w:val="0063A6" w:themeColor="accent1"/>
          <w:sz w:val="20"/>
        </w:rPr>
        <w:t>&lt;insert name of transferor department/entity&gt;</w:t>
      </w:r>
    </w:p>
    <w:p w14:paraId="3E2A32A3" w14:textId="77777777" w:rsidR="00356E16" w:rsidRPr="00356E16" w:rsidRDefault="00356E16" w:rsidP="00356E16">
      <w:pPr>
        <w:tabs>
          <w:tab w:val="left" w:pos="1985"/>
        </w:tabs>
        <w:rPr>
          <w:b/>
          <w:sz w:val="20"/>
        </w:rPr>
      </w:pPr>
      <w:r w:rsidRPr="00356E16">
        <w:rPr>
          <w:b/>
          <w:sz w:val="20"/>
        </w:rPr>
        <w:t xml:space="preserve">Transfer to: </w:t>
      </w:r>
      <w:r w:rsidRPr="00356E16">
        <w:rPr>
          <w:b/>
          <w:sz w:val="20"/>
        </w:rPr>
        <w:tab/>
      </w:r>
      <w:r w:rsidRPr="00356E16">
        <w:rPr>
          <w:b/>
          <w:color w:val="0063A6" w:themeColor="accent1"/>
          <w:sz w:val="20"/>
        </w:rPr>
        <w:t>&lt;insert name of transferor department/entity&gt;</w:t>
      </w:r>
    </w:p>
    <w:p w14:paraId="73E56E34" w14:textId="77777777" w:rsidR="00356E16" w:rsidRPr="00356E16" w:rsidRDefault="00356E16" w:rsidP="00356E16">
      <w:pPr>
        <w:tabs>
          <w:tab w:val="left" w:pos="1985"/>
        </w:tabs>
        <w:rPr>
          <w:b/>
          <w:sz w:val="20"/>
        </w:rPr>
      </w:pPr>
      <w:r w:rsidRPr="00356E16">
        <w:rPr>
          <w:b/>
          <w:sz w:val="20"/>
        </w:rPr>
        <w:t xml:space="preserve">On: </w:t>
      </w:r>
      <w:r w:rsidRPr="00356E16">
        <w:rPr>
          <w:b/>
          <w:sz w:val="20"/>
        </w:rPr>
        <w:tab/>
      </w:r>
      <w:r w:rsidRPr="00356E16">
        <w:rPr>
          <w:b/>
          <w:color w:val="0063A6" w:themeColor="accent1"/>
          <w:sz w:val="20"/>
        </w:rPr>
        <w:t>&lt; insert date of transfer i.e. dd/mm/yyyy&gt;</w:t>
      </w:r>
    </w:p>
    <w:p w14:paraId="43C1BCAC" w14:textId="3FBE0F37" w:rsidR="00356E16" w:rsidRDefault="00356E16" w:rsidP="00356E16">
      <w:r>
        <w:t xml:space="preserve">This Statement is made pursuant to FRD 119 </w:t>
      </w:r>
      <w:r w:rsidRPr="00356E16">
        <w:rPr>
          <w:i/>
        </w:rPr>
        <w:t xml:space="preserve">Transfers through Contributed Capital </w:t>
      </w:r>
      <w:r w:rsidRPr="00356E16">
        <w:t>under the</w:t>
      </w:r>
      <w:r w:rsidRPr="00356E16">
        <w:rPr>
          <w:i/>
        </w:rPr>
        <w:t xml:space="preserve"> Financial Management Act 1994</w:t>
      </w:r>
      <w:r>
        <w:t>.</w:t>
      </w:r>
    </w:p>
    <w:p w14:paraId="7A6FEF04" w14:textId="77777777" w:rsidR="00356E16" w:rsidRDefault="00356E16" w:rsidP="00356E16">
      <w:r>
        <w:t xml:space="preserve">These transfers are to be accounted for as contributions by </w:t>
      </w:r>
      <w:r w:rsidRPr="00356E16">
        <w:rPr>
          <w:color w:val="0063A6" w:themeColor="accent1"/>
        </w:rPr>
        <w:t>[distributions to]</w:t>
      </w:r>
      <w:r>
        <w:t xml:space="preserve"> owners based on [‘Restructure of administrative arrangements’ </w:t>
      </w:r>
      <w:r w:rsidRPr="00356E16">
        <w:rPr>
          <w:i/>
        </w:rPr>
        <w:t>OR</w:t>
      </w:r>
      <w:r>
        <w:t xml:space="preserve"> ‘Other transfers’ designated by the Minister for &lt;insert portfolio name&gt;].</w:t>
      </w:r>
    </w:p>
    <w:p w14:paraId="3331792B" w14:textId="77777777" w:rsidR="00356E16" w:rsidRPr="00356E16" w:rsidRDefault="00356E16" w:rsidP="00356E16">
      <w:pPr>
        <w:rPr>
          <w:color w:val="0063A6" w:themeColor="accent1"/>
        </w:rPr>
      </w:pPr>
      <w:r w:rsidRPr="00356E16">
        <w:rPr>
          <w:color w:val="0063A6" w:themeColor="accent1"/>
        </w:rPr>
        <w:t>[Attach a copy of the evidence of the government decision as outlined in Appendix A]</w:t>
      </w:r>
    </w:p>
    <w:p w14:paraId="0C024542" w14:textId="77777777" w:rsidR="00356E16" w:rsidRPr="00356E16" w:rsidRDefault="00356E16" w:rsidP="00356E16">
      <w:pPr>
        <w:rPr>
          <w:b/>
        </w:rPr>
      </w:pPr>
      <w:r w:rsidRPr="00356E16">
        <w:rPr>
          <w:b/>
        </w:rPr>
        <w:t>Transfer details</w:t>
      </w:r>
    </w:p>
    <w:p w14:paraId="4E27B843" w14:textId="77777777" w:rsidR="00356E16" w:rsidRDefault="00356E16" w:rsidP="00356E16">
      <w:r>
        <w:t xml:space="preserve">The value of the amounts being transferred is </w:t>
      </w:r>
      <w:r w:rsidRPr="00356E16">
        <w:rPr>
          <w:color w:val="0063A6" w:themeColor="accent1"/>
        </w:rPr>
        <w:t>&lt;insert amount $NNNN&gt;</w:t>
      </w:r>
      <w:r>
        <w:t>.</w:t>
      </w:r>
    </w:p>
    <w:p w14:paraId="64D4C086" w14:textId="77777777" w:rsidR="008C63EE" w:rsidRDefault="00356E16" w:rsidP="00356E16">
      <w:pPr>
        <w:rPr>
          <w:color w:val="0063A6" w:themeColor="accent1"/>
        </w:rPr>
      </w:pPr>
      <w:r>
        <w:t xml:space="preserve">Description </w:t>
      </w:r>
      <w:r w:rsidRPr="00356E16">
        <w:rPr>
          <w:color w:val="0063A6" w:themeColor="accent1"/>
        </w:rPr>
        <w:t>&lt;insert name of Output/Function/assets/liabilities as appropriate&gt;</w:t>
      </w:r>
    </w:p>
    <w:tbl>
      <w:tblPr>
        <w:tblStyle w:val="DTFtexttable"/>
        <w:tblW w:w="0" w:type="auto"/>
        <w:tblLook w:val="04A0" w:firstRow="1" w:lastRow="0" w:firstColumn="1" w:lastColumn="0" w:noHBand="0" w:noVBand="1"/>
      </w:tblPr>
      <w:tblGrid>
        <w:gridCol w:w="3885"/>
        <w:gridCol w:w="1134"/>
      </w:tblGrid>
      <w:tr w:rsidR="00356E16" w14:paraId="028D0443" w14:textId="77777777" w:rsidTr="002B76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85" w:type="dxa"/>
          </w:tcPr>
          <w:p w14:paraId="50EABAE2" w14:textId="77777777" w:rsidR="00356E16" w:rsidRDefault="00356E16" w:rsidP="00356E16">
            <w:pPr>
              <w:spacing w:before="40" w:after="40"/>
            </w:pPr>
          </w:p>
        </w:tc>
        <w:tc>
          <w:tcPr>
            <w:tcW w:w="1134" w:type="dxa"/>
          </w:tcPr>
          <w:p w14:paraId="581040A6" w14:textId="77777777" w:rsidR="00356E16" w:rsidRDefault="00356E16" w:rsidP="00356E16">
            <w:pPr>
              <w:spacing w:before="40" w:after="40"/>
              <w:jc w:val="right"/>
              <w:cnfStyle w:val="100000000000" w:firstRow="1" w:lastRow="0" w:firstColumn="0" w:lastColumn="0" w:oddVBand="0" w:evenVBand="0" w:oddHBand="0" w:evenHBand="0" w:firstRowFirstColumn="0" w:firstRowLastColumn="0" w:lastRowFirstColumn="0" w:lastRowLastColumn="0"/>
            </w:pPr>
            <w:r>
              <w:t>$ ‘000</w:t>
            </w:r>
          </w:p>
        </w:tc>
      </w:tr>
      <w:tr w:rsidR="00356E16" w:rsidRPr="002B768B" w14:paraId="2C1868C7"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76E93DA7" w14:textId="77777777" w:rsidR="00356E16" w:rsidRPr="002B768B" w:rsidRDefault="00356E16" w:rsidP="00356E16">
            <w:pPr>
              <w:spacing w:before="40" w:after="40"/>
              <w:rPr>
                <w:b/>
              </w:rPr>
            </w:pPr>
            <w:r w:rsidRPr="002B768B">
              <w:rPr>
                <w:b/>
              </w:rPr>
              <w:t>Assets</w:t>
            </w:r>
          </w:p>
        </w:tc>
        <w:tc>
          <w:tcPr>
            <w:tcW w:w="1134" w:type="dxa"/>
          </w:tcPr>
          <w:p w14:paraId="6CEF1C2A" w14:textId="77777777" w:rsidR="00356E16" w:rsidRPr="002B768B" w:rsidRDefault="00356E16" w:rsidP="00356E16">
            <w:pPr>
              <w:spacing w:before="40" w:after="40"/>
              <w:jc w:val="right"/>
              <w:cnfStyle w:val="000000100000" w:firstRow="0" w:lastRow="0" w:firstColumn="0" w:lastColumn="0" w:oddVBand="0" w:evenVBand="0" w:oddHBand="1" w:evenHBand="0" w:firstRowFirstColumn="0" w:firstRowLastColumn="0" w:lastRowFirstColumn="0" w:lastRowLastColumn="0"/>
              <w:rPr>
                <w:b/>
              </w:rPr>
            </w:pPr>
          </w:p>
        </w:tc>
      </w:tr>
      <w:tr w:rsidR="002B768B" w14:paraId="3616C30E"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3F7854F6" w14:textId="77777777" w:rsidR="00356E16" w:rsidRPr="00AE406E" w:rsidRDefault="00356E16" w:rsidP="00356E16">
            <w:pPr>
              <w:spacing w:before="40" w:after="40"/>
            </w:pPr>
            <w:r w:rsidRPr="00AE406E">
              <w:t>Cash</w:t>
            </w:r>
          </w:p>
        </w:tc>
        <w:tc>
          <w:tcPr>
            <w:tcW w:w="1134" w:type="dxa"/>
          </w:tcPr>
          <w:p w14:paraId="066043D4" w14:textId="77777777" w:rsidR="00356E16" w:rsidRDefault="002B768B" w:rsidP="00356E16">
            <w:pPr>
              <w:spacing w:before="40" w:after="40"/>
              <w:jc w:val="right"/>
              <w:cnfStyle w:val="000000010000" w:firstRow="0" w:lastRow="0" w:firstColumn="0" w:lastColumn="0" w:oddVBand="0" w:evenVBand="0" w:oddHBand="0" w:evenHBand="1" w:firstRowFirstColumn="0" w:firstRowLastColumn="0" w:lastRowFirstColumn="0" w:lastRowLastColumn="0"/>
            </w:pPr>
            <w:r>
              <w:t>n nnn</w:t>
            </w:r>
          </w:p>
        </w:tc>
      </w:tr>
      <w:tr w:rsidR="00356E16" w14:paraId="0017B768"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245BBEA" w14:textId="77777777" w:rsidR="00356E16" w:rsidRPr="00AE406E" w:rsidRDefault="00356E16" w:rsidP="00356E16">
            <w:pPr>
              <w:spacing w:before="40" w:after="40"/>
            </w:pPr>
            <w:r w:rsidRPr="00AE406E">
              <w:t>Other financial assets</w:t>
            </w:r>
          </w:p>
        </w:tc>
        <w:tc>
          <w:tcPr>
            <w:tcW w:w="1134" w:type="dxa"/>
          </w:tcPr>
          <w:p w14:paraId="6846D2F4" w14:textId="77777777" w:rsidR="00356E16"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pPr>
            <w:r w:rsidRPr="002B768B">
              <w:t>n nnn</w:t>
            </w:r>
          </w:p>
        </w:tc>
      </w:tr>
      <w:tr w:rsidR="002B768B" w14:paraId="61A51F8C"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8E3BF50" w14:textId="77777777" w:rsidR="00356E16" w:rsidRPr="00AE406E" w:rsidRDefault="00356E16" w:rsidP="00356E16">
            <w:pPr>
              <w:spacing w:before="40" w:after="40"/>
            </w:pPr>
            <w:r w:rsidRPr="00AE406E">
              <w:t>Intangibles</w:t>
            </w:r>
          </w:p>
        </w:tc>
        <w:tc>
          <w:tcPr>
            <w:tcW w:w="1134" w:type="dxa"/>
          </w:tcPr>
          <w:p w14:paraId="442F322F" w14:textId="77777777" w:rsidR="00356E16" w:rsidRDefault="002B768B" w:rsidP="00356E16">
            <w:pPr>
              <w:spacing w:before="40" w:after="40"/>
              <w:jc w:val="right"/>
              <w:cnfStyle w:val="000000010000" w:firstRow="0" w:lastRow="0" w:firstColumn="0" w:lastColumn="0" w:oddVBand="0" w:evenVBand="0" w:oddHBand="0" w:evenHBand="1" w:firstRowFirstColumn="0" w:firstRowLastColumn="0" w:lastRowFirstColumn="0" w:lastRowLastColumn="0"/>
            </w:pPr>
            <w:r w:rsidRPr="002B768B">
              <w:t>n nnn</w:t>
            </w:r>
          </w:p>
        </w:tc>
      </w:tr>
      <w:tr w:rsidR="00356E16" w14:paraId="5118E32F"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16B81BF9" w14:textId="77777777" w:rsidR="00356E16" w:rsidRPr="00AE406E" w:rsidRDefault="00356E16" w:rsidP="00356E16">
            <w:pPr>
              <w:spacing w:before="40" w:after="40"/>
            </w:pPr>
            <w:r w:rsidRPr="00AE406E">
              <w:t>Property, plant and equipment</w:t>
            </w:r>
          </w:p>
        </w:tc>
        <w:tc>
          <w:tcPr>
            <w:tcW w:w="1134" w:type="dxa"/>
          </w:tcPr>
          <w:p w14:paraId="3015D854" w14:textId="77777777" w:rsidR="00356E16"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pPr>
            <w:r w:rsidRPr="002B768B">
              <w:t>n nnn</w:t>
            </w:r>
          </w:p>
        </w:tc>
      </w:tr>
      <w:tr w:rsidR="002B768B" w:rsidRPr="002B768B" w14:paraId="44A03F63"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42D065A7" w14:textId="77777777" w:rsidR="00356E16" w:rsidRPr="002B768B" w:rsidRDefault="00356E16" w:rsidP="00356E16">
            <w:pPr>
              <w:spacing w:before="40" w:after="40"/>
              <w:rPr>
                <w:b/>
              </w:rPr>
            </w:pPr>
            <w:r w:rsidRPr="002B768B">
              <w:rPr>
                <w:b/>
              </w:rPr>
              <w:t>Liabilities</w:t>
            </w:r>
          </w:p>
        </w:tc>
        <w:tc>
          <w:tcPr>
            <w:tcW w:w="1134" w:type="dxa"/>
          </w:tcPr>
          <w:p w14:paraId="4FD8A0DE" w14:textId="77777777" w:rsidR="00356E16" w:rsidRPr="002B768B" w:rsidRDefault="00356E16" w:rsidP="00356E16">
            <w:pPr>
              <w:spacing w:before="40" w:after="40"/>
              <w:jc w:val="right"/>
              <w:cnfStyle w:val="000000010000" w:firstRow="0" w:lastRow="0" w:firstColumn="0" w:lastColumn="0" w:oddVBand="0" w:evenVBand="0" w:oddHBand="0" w:evenHBand="1" w:firstRowFirstColumn="0" w:firstRowLastColumn="0" w:lastRowFirstColumn="0" w:lastRowLastColumn="0"/>
              <w:rPr>
                <w:b/>
              </w:rPr>
            </w:pPr>
          </w:p>
        </w:tc>
      </w:tr>
      <w:tr w:rsidR="00356E16" w14:paraId="62BADE79"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52AC9187" w14:textId="77777777" w:rsidR="00356E16" w:rsidRPr="00AE406E" w:rsidRDefault="00356E16" w:rsidP="00356E16">
            <w:pPr>
              <w:spacing w:before="40" w:after="40"/>
            </w:pPr>
            <w:r w:rsidRPr="00AE406E">
              <w:t>Employee benefits</w:t>
            </w:r>
          </w:p>
        </w:tc>
        <w:tc>
          <w:tcPr>
            <w:tcW w:w="1134" w:type="dxa"/>
          </w:tcPr>
          <w:p w14:paraId="4157DCB5" w14:textId="77777777" w:rsidR="00356E16"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pPr>
            <w:r>
              <w:t>(</w:t>
            </w:r>
            <w:r w:rsidRPr="002B768B">
              <w:t>n nnn</w:t>
            </w:r>
            <w:r>
              <w:t>)</w:t>
            </w:r>
          </w:p>
        </w:tc>
      </w:tr>
      <w:tr w:rsidR="002B768B" w14:paraId="6A28B44E"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bottom w:val="single" w:sz="4" w:space="0" w:color="auto"/>
            </w:tcBorders>
          </w:tcPr>
          <w:p w14:paraId="35F5B62D" w14:textId="77777777" w:rsidR="00356E16" w:rsidRPr="00AE406E" w:rsidRDefault="00356E16" w:rsidP="00356E16">
            <w:pPr>
              <w:spacing w:before="40" w:after="40"/>
            </w:pPr>
            <w:r w:rsidRPr="00AE406E">
              <w:t>Other liabilities</w:t>
            </w:r>
          </w:p>
        </w:tc>
        <w:tc>
          <w:tcPr>
            <w:tcW w:w="1134" w:type="dxa"/>
            <w:tcBorders>
              <w:bottom w:val="single" w:sz="4" w:space="0" w:color="auto"/>
            </w:tcBorders>
          </w:tcPr>
          <w:p w14:paraId="2E5ABD9B" w14:textId="77777777" w:rsidR="00356E16" w:rsidRDefault="002B768B" w:rsidP="00356E16">
            <w:pPr>
              <w:spacing w:before="40" w:after="40"/>
              <w:jc w:val="right"/>
              <w:cnfStyle w:val="000000010000" w:firstRow="0" w:lastRow="0" w:firstColumn="0" w:lastColumn="0" w:oddVBand="0" w:evenVBand="0" w:oddHBand="0" w:evenHBand="1" w:firstRowFirstColumn="0" w:firstRowLastColumn="0" w:lastRowFirstColumn="0" w:lastRowLastColumn="0"/>
            </w:pPr>
            <w:r>
              <w:t>(</w:t>
            </w:r>
            <w:r w:rsidRPr="002B768B">
              <w:t>n nnn</w:t>
            </w:r>
            <w:r>
              <w:t>)</w:t>
            </w:r>
          </w:p>
        </w:tc>
      </w:tr>
      <w:tr w:rsidR="002B768B" w:rsidRPr="002B768B" w14:paraId="65E3A56A"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top w:val="single" w:sz="4" w:space="0" w:color="auto"/>
              <w:bottom w:val="single" w:sz="12" w:space="0" w:color="auto"/>
            </w:tcBorders>
          </w:tcPr>
          <w:p w14:paraId="3699FBBD" w14:textId="77777777" w:rsidR="00356E16" w:rsidRPr="002B768B" w:rsidRDefault="00356E16" w:rsidP="00356E16">
            <w:pPr>
              <w:spacing w:before="40" w:after="40"/>
              <w:rPr>
                <w:b/>
              </w:rPr>
            </w:pPr>
            <w:r w:rsidRPr="002B768B">
              <w:rPr>
                <w:b/>
              </w:rPr>
              <w:t>Net assets/Net liabilities</w:t>
            </w:r>
          </w:p>
        </w:tc>
        <w:tc>
          <w:tcPr>
            <w:tcW w:w="1134" w:type="dxa"/>
            <w:tcBorders>
              <w:top w:val="single" w:sz="4" w:space="0" w:color="auto"/>
              <w:bottom w:val="single" w:sz="12" w:space="0" w:color="auto"/>
            </w:tcBorders>
          </w:tcPr>
          <w:p w14:paraId="4C5B4E9C" w14:textId="77777777" w:rsidR="00356E16" w:rsidRPr="002B768B"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rPr>
                <w:b/>
              </w:rPr>
            </w:pPr>
            <w:r w:rsidRPr="002B768B">
              <w:rPr>
                <w:b/>
              </w:rPr>
              <w:t>n nnn</w:t>
            </w:r>
          </w:p>
        </w:tc>
      </w:tr>
    </w:tbl>
    <w:p w14:paraId="694DBF2D" w14:textId="77777777" w:rsidR="00356E16" w:rsidRDefault="00356E16" w:rsidP="00356E16"/>
    <w:p w14:paraId="66AC2239" w14:textId="77777777" w:rsidR="003A70D7" w:rsidRPr="003A70D7" w:rsidRDefault="003A70D7" w:rsidP="003A70D7">
      <w:pPr>
        <w:rPr>
          <w:color w:val="0063A6" w:themeColor="accent1"/>
        </w:rPr>
      </w:pPr>
      <w:r w:rsidRPr="003A70D7">
        <w:rPr>
          <w:color w:val="0063A6" w:themeColor="accent1"/>
        </w:rPr>
        <w:t>[Attach a list of the assets and / or liabilities transferred]</w:t>
      </w:r>
    </w:p>
    <w:p w14:paraId="74A9CEBA" w14:textId="77777777" w:rsidR="00435F57" w:rsidRPr="00435F57" w:rsidRDefault="00435F57">
      <w:pPr>
        <w:spacing w:before="0" w:after="200"/>
      </w:pPr>
      <w:r w:rsidRPr="00435F57">
        <w:br w:type="page"/>
      </w:r>
    </w:p>
    <w:p w14:paraId="316CB699" w14:textId="77777777" w:rsidR="003A70D7" w:rsidRPr="003A70D7" w:rsidRDefault="003A70D7" w:rsidP="003A70D7">
      <w:pPr>
        <w:rPr>
          <w:color w:val="0063A6" w:themeColor="accent1"/>
        </w:rPr>
      </w:pPr>
      <w:r w:rsidRPr="003A70D7">
        <w:rPr>
          <w:color w:val="0063A6" w:themeColor="accent1"/>
        </w:rPr>
        <w:lastRenderedPageBreak/>
        <w:t>[Complete/delete the following table as appropriate]</w:t>
      </w:r>
    </w:p>
    <w:p w14:paraId="32A5DD54" w14:textId="77777777" w:rsidR="003A70D7" w:rsidRPr="003A70D7" w:rsidRDefault="003A70D7" w:rsidP="003A70D7">
      <w:pPr>
        <w:rPr>
          <w:b/>
        </w:rPr>
      </w:pPr>
      <w:r w:rsidRPr="003A70D7">
        <w:rPr>
          <w:b/>
        </w:rPr>
        <w:t>Reclassifications of equity and resultant income/expense impact</w:t>
      </w:r>
    </w:p>
    <w:tbl>
      <w:tblPr>
        <w:tblStyle w:val="DTFtexttable"/>
        <w:tblW w:w="0" w:type="auto"/>
        <w:tblLook w:val="04A0" w:firstRow="1" w:lastRow="0" w:firstColumn="1" w:lastColumn="0" w:noHBand="0" w:noVBand="1"/>
      </w:tblPr>
      <w:tblGrid>
        <w:gridCol w:w="3885"/>
        <w:gridCol w:w="1275"/>
        <w:gridCol w:w="2977"/>
        <w:gridCol w:w="992"/>
      </w:tblGrid>
      <w:tr w:rsidR="003A70D7" w14:paraId="0AC11F51" w14:textId="77777777" w:rsidTr="003A70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85" w:type="dxa"/>
          </w:tcPr>
          <w:p w14:paraId="2028BFE0" w14:textId="77777777" w:rsidR="003A70D7" w:rsidRDefault="003A70D7" w:rsidP="003A70D7">
            <w:pPr>
              <w:spacing w:before="40" w:after="40"/>
            </w:pPr>
            <w:r>
              <w:t xml:space="preserve">Transferor of net assets </w:t>
            </w:r>
          </w:p>
          <w:p w14:paraId="5655BE7A" w14:textId="77777777" w:rsidR="003A70D7" w:rsidRDefault="003A70D7" w:rsidP="003A70D7">
            <w:pPr>
              <w:spacing w:before="40" w:after="40"/>
            </w:pPr>
            <w:r>
              <w:t>[Transferee of net liabilities]</w:t>
            </w:r>
          </w:p>
        </w:tc>
        <w:tc>
          <w:tcPr>
            <w:tcW w:w="1275" w:type="dxa"/>
          </w:tcPr>
          <w:p w14:paraId="327940D0" w14:textId="77777777" w:rsidR="003A70D7" w:rsidRDefault="003A70D7" w:rsidP="006435D9">
            <w:pPr>
              <w:spacing w:before="40" w:after="40"/>
              <w:jc w:val="right"/>
              <w:cnfStyle w:val="100000000000" w:firstRow="1" w:lastRow="0" w:firstColumn="0" w:lastColumn="0" w:oddVBand="0" w:evenVBand="0" w:oddHBand="0" w:evenHBand="0" w:firstRowFirstColumn="0" w:firstRowLastColumn="0" w:lastRowFirstColumn="0" w:lastRowLastColumn="0"/>
            </w:pPr>
            <w:r>
              <w:t>$ ‘000</w:t>
            </w:r>
          </w:p>
        </w:tc>
        <w:tc>
          <w:tcPr>
            <w:tcW w:w="2977" w:type="dxa"/>
          </w:tcPr>
          <w:p w14:paraId="70B83404" w14:textId="77777777" w:rsidR="003A70D7" w:rsidRDefault="003A70D7" w:rsidP="003A70D7">
            <w:pPr>
              <w:spacing w:before="40" w:after="40"/>
              <w:ind w:left="170"/>
              <w:cnfStyle w:val="100000000000" w:firstRow="1" w:lastRow="0" w:firstColumn="0" w:lastColumn="0" w:oddVBand="0" w:evenVBand="0" w:oddHBand="0" w:evenHBand="0" w:firstRowFirstColumn="0" w:firstRowLastColumn="0" w:lastRowFirstColumn="0" w:lastRowLastColumn="0"/>
            </w:pPr>
            <w:r>
              <w:t xml:space="preserve">Transferee of net assets </w:t>
            </w:r>
          </w:p>
          <w:p w14:paraId="65B07017" w14:textId="77777777" w:rsidR="003A70D7" w:rsidRDefault="003A70D7" w:rsidP="003A70D7">
            <w:pPr>
              <w:spacing w:before="40" w:after="40"/>
              <w:ind w:left="170"/>
              <w:cnfStyle w:val="100000000000" w:firstRow="1" w:lastRow="0" w:firstColumn="0" w:lastColumn="0" w:oddVBand="0" w:evenVBand="0" w:oddHBand="0" w:evenHBand="0" w:firstRowFirstColumn="0" w:firstRowLastColumn="0" w:lastRowFirstColumn="0" w:lastRowLastColumn="0"/>
            </w:pPr>
            <w:r>
              <w:t>[Transferor of net liabilities]</w:t>
            </w:r>
          </w:p>
        </w:tc>
        <w:tc>
          <w:tcPr>
            <w:tcW w:w="992" w:type="dxa"/>
          </w:tcPr>
          <w:p w14:paraId="3CC91F43" w14:textId="77777777" w:rsidR="003A70D7" w:rsidRDefault="003A70D7" w:rsidP="006435D9">
            <w:pPr>
              <w:spacing w:before="40" w:after="40"/>
              <w:jc w:val="right"/>
              <w:cnfStyle w:val="100000000000" w:firstRow="1" w:lastRow="0" w:firstColumn="0" w:lastColumn="0" w:oddVBand="0" w:evenVBand="0" w:oddHBand="0" w:evenHBand="0" w:firstRowFirstColumn="0" w:firstRowLastColumn="0" w:lastRowFirstColumn="0" w:lastRowLastColumn="0"/>
            </w:pPr>
            <w:r w:rsidRPr="003A70D7">
              <w:t>$ ‘000</w:t>
            </w:r>
          </w:p>
        </w:tc>
      </w:tr>
      <w:tr w:rsidR="003A70D7" w:rsidRPr="002B768B" w14:paraId="4845916A" w14:textId="77777777" w:rsidTr="003A7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DDB0EF7" w14:textId="77777777" w:rsidR="003A70D7" w:rsidRPr="002B768B" w:rsidRDefault="003A70D7" w:rsidP="006435D9">
            <w:pPr>
              <w:spacing w:before="40" w:after="40"/>
              <w:rPr>
                <w:b/>
              </w:rPr>
            </w:pPr>
            <w:r>
              <w:rPr>
                <w:b/>
              </w:rPr>
              <w:t>Equity</w:t>
            </w:r>
          </w:p>
        </w:tc>
        <w:tc>
          <w:tcPr>
            <w:tcW w:w="1275" w:type="dxa"/>
          </w:tcPr>
          <w:p w14:paraId="47D9D779" w14:textId="77777777" w:rsidR="003A70D7" w:rsidRPr="002B768B"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p>
        </w:tc>
        <w:tc>
          <w:tcPr>
            <w:tcW w:w="2977" w:type="dxa"/>
          </w:tcPr>
          <w:p w14:paraId="0B2C0A36" w14:textId="77777777" w:rsidR="003A70D7" w:rsidRPr="002B768B" w:rsidRDefault="003A70D7" w:rsidP="003A70D7">
            <w:pPr>
              <w:spacing w:before="40" w:after="40"/>
              <w:ind w:left="170"/>
              <w:cnfStyle w:val="000000100000" w:firstRow="0" w:lastRow="0" w:firstColumn="0" w:lastColumn="0" w:oddVBand="0" w:evenVBand="0" w:oddHBand="1" w:evenHBand="0" w:firstRowFirstColumn="0" w:firstRowLastColumn="0" w:lastRowFirstColumn="0" w:lastRowLastColumn="0"/>
              <w:rPr>
                <w:b/>
              </w:rPr>
            </w:pPr>
            <w:r>
              <w:rPr>
                <w:b/>
              </w:rPr>
              <w:t>Equity</w:t>
            </w:r>
          </w:p>
        </w:tc>
        <w:tc>
          <w:tcPr>
            <w:tcW w:w="992" w:type="dxa"/>
          </w:tcPr>
          <w:p w14:paraId="33907782" w14:textId="77777777" w:rsidR="003A70D7" w:rsidRPr="002B768B"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p>
        </w:tc>
      </w:tr>
      <w:tr w:rsidR="003A70D7" w14:paraId="2F4D9C10" w14:textId="77777777" w:rsidTr="003A70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FE86B85" w14:textId="77777777" w:rsidR="003A70D7" w:rsidRPr="00AE406E" w:rsidRDefault="003A70D7" w:rsidP="006435D9">
            <w:pPr>
              <w:spacing w:before="40" w:after="40"/>
            </w:pPr>
            <w:r w:rsidRPr="003A70D7">
              <w:t>Increase in accumulated surplus from revaluation surplus</w:t>
            </w:r>
            <w:r w:rsidRPr="003A70D7">
              <w:rPr>
                <w:vertAlign w:val="superscript"/>
              </w:rPr>
              <w:t>1</w:t>
            </w:r>
          </w:p>
        </w:tc>
        <w:tc>
          <w:tcPr>
            <w:tcW w:w="1275" w:type="dxa"/>
          </w:tcPr>
          <w:p w14:paraId="0271A942" w14:textId="77777777" w:rsidR="003A70D7"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r>
              <w:t>x xxx</w:t>
            </w:r>
          </w:p>
        </w:tc>
        <w:tc>
          <w:tcPr>
            <w:tcW w:w="2977" w:type="dxa"/>
          </w:tcPr>
          <w:p w14:paraId="5D76F795" w14:textId="77777777" w:rsidR="003A70D7" w:rsidRDefault="003A70D7" w:rsidP="003A70D7">
            <w:pPr>
              <w:spacing w:before="40" w:after="40"/>
              <w:ind w:left="170"/>
              <w:cnfStyle w:val="000000010000" w:firstRow="0" w:lastRow="0" w:firstColumn="0" w:lastColumn="0" w:oddVBand="0" w:evenVBand="0" w:oddHBand="0" w:evenHBand="1" w:firstRowFirstColumn="0" w:firstRowLastColumn="0" w:lastRowFirstColumn="0" w:lastRowLastColumn="0"/>
            </w:pPr>
            <w:r w:rsidRPr="003A70D7">
              <w:t>Increase in contributed capital</w:t>
            </w:r>
            <w:r w:rsidR="00435F57" w:rsidRPr="00435F57">
              <w:rPr>
                <w:vertAlign w:val="superscript"/>
              </w:rPr>
              <w:t>2</w:t>
            </w:r>
          </w:p>
        </w:tc>
        <w:tc>
          <w:tcPr>
            <w:tcW w:w="992" w:type="dxa"/>
          </w:tcPr>
          <w:p w14:paraId="3804E839" w14:textId="77777777" w:rsidR="003A70D7"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r>
              <w:t>n nnn</w:t>
            </w:r>
          </w:p>
        </w:tc>
      </w:tr>
      <w:tr w:rsidR="003A70D7" w14:paraId="4E420332" w14:textId="77777777" w:rsidTr="003A7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4F68E4FB" w14:textId="77777777" w:rsidR="003A70D7" w:rsidRPr="00AE406E" w:rsidRDefault="003A70D7" w:rsidP="006435D9">
            <w:pPr>
              <w:spacing w:before="40" w:after="40"/>
            </w:pPr>
            <w:r w:rsidRPr="003A70D7">
              <w:t>Reduction in contributed capital</w:t>
            </w:r>
            <w:r w:rsidR="00435F57" w:rsidRPr="00435F57">
              <w:rPr>
                <w:vertAlign w:val="superscript"/>
              </w:rPr>
              <w:t>3</w:t>
            </w:r>
          </w:p>
        </w:tc>
        <w:tc>
          <w:tcPr>
            <w:tcW w:w="1275" w:type="dxa"/>
          </w:tcPr>
          <w:p w14:paraId="062562DB" w14:textId="77777777" w:rsidR="003A70D7"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pPr>
            <w:r>
              <w:t>(n nnn)</w:t>
            </w:r>
          </w:p>
        </w:tc>
        <w:tc>
          <w:tcPr>
            <w:tcW w:w="2977" w:type="dxa"/>
          </w:tcPr>
          <w:p w14:paraId="634E0DB9" w14:textId="77777777" w:rsidR="003A70D7" w:rsidRPr="002B768B" w:rsidRDefault="003A70D7" w:rsidP="003A70D7">
            <w:pPr>
              <w:spacing w:before="40" w:after="40"/>
              <w:ind w:left="170"/>
              <w:cnfStyle w:val="000000100000" w:firstRow="0" w:lastRow="0" w:firstColumn="0" w:lastColumn="0" w:oddVBand="0" w:evenVBand="0" w:oddHBand="1" w:evenHBand="0" w:firstRowFirstColumn="0" w:firstRowLastColumn="0" w:lastRowFirstColumn="0" w:lastRowLastColumn="0"/>
            </w:pPr>
          </w:p>
        </w:tc>
        <w:tc>
          <w:tcPr>
            <w:tcW w:w="992" w:type="dxa"/>
          </w:tcPr>
          <w:p w14:paraId="44716BD1" w14:textId="77777777" w:rsidR="003A70D7" w:rsidRPr="002B768B"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pPr>
          </w:p>
        </w:tc>
      </w:tr>
      <w:tr w:rsidR="003A70D7" w14:paraId="554776E8" w14:textId="77777777" w:rsidTr="003A70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bottom w:val="single" w:sz="4" w:space="0" w:color="auto"/>
            </w:tcBorders>
          </w:tcPr>
          <w:p w14:paraId="55817FF0" w14:textId="77777777" w:rsidR="003A70D7" w:rsidRPr="00AE406E" w:rsidRDefault="003A70D7" w:rsidP="006435D9">
            <w:pPr>
              <w:spacing w:before="40" w:after="40"/>
            </w:pPr>
            <w:r w:rsidRPr="003A70D7">
              <w:t>Reduction in accumulated surplus</w:t>
            </w:r>
            <w:r w:rsidR="00435F57" w:rsidRPr="00435F57">
              <w:rPr>
                <w:vertAlign w:val="superscript"/>
              </w:rPr>
              <w:t>4</w:t>
            </w:r>
          </w:p>
        </w:tc>
        <w:tc>
          <w:tcPr>
            <w:tcW w:w="1275" w:type="dxa"/>
            <w:tcBorders>
              <w:bottom w:val="single" w:sz="4" w:space="0" w:color="auto"/>
            </w:tcBorders>
          </w:tcPr>
          <w:p w14:paraId="6415EDCE" w14:textId="77777777" w:rsidR="003A70D7"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r>
              <w:t>(n nnn)</w:t>
            </w:r>
          </w:p>
        </w:tc>
        <w:tc>
          <w:tcPr>
            <w:tcW w:w="2977" w:type="dxa"/>
            <w:tcBorders>
              <w:bottom w:val="single" w:sz="4" w:space="0" w:color="auto"/>
            </w:tcBorders>
          </w:tcPr>
          <w:p w14:paraId="3850ECF3" w14:textId="77777777" w:rsidR="003A70D7" w:rsidRPr="002B768B" w:rsidRDefault="003A70D7" w:rsidP="003A70D7">
            <w:pPr>
              <w:spacing w:before="40" w:after="40"/>
              <w:ind w:left="170"/>
              <w:cnfStyle w:val="000000010000" w:firstRow="0" w:lastRow="0" w:firstColumn="0" w:lastColumn="0" w:oddVBand="0" w:evenVBand="0" w:oddHBand="0" w:evenHBand="1" w:firstRowFirstColumn="0" w:firstRowLastColumn="0" w:lastRowFirstColumn="0" w:lastRowLastColumn="0"/>
            </w:pPr>
          </w:p>
        </w:tc>
        <w:tc>
          <w:tcPr>
            <w:tcW w:w="992" w:type="dxa"/>
            <w:tcBorders>
              <w:bottom w:val="single" w:sz="4" w:space="0" w:color="auto"/>
            </w:tcBorders>
          </w:tcPr>
          <w:p w14:paraId="139EFC73" w14:textId="77777777" w:rsidR="003A70D7" w:rsidRPr="002B768B"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p>
        </w:tc>
      </w:tr>
      <w:tr w:rsidR="003A70D7" w:rsidRPr="003A70D7" w14:paraId="2F0FA39C" w14:textId="77777777" w:rsidTr="003A7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top w:val="single" w:sz="4" w:space="0" w:color="auto"/>
              <w:bottom w:val="single" w:sz="4" w:space="0" w:color="auto"/>
            </w:tcBorders>
          </w:tcPr>
          <w:p w14:paraId="31A985CA" w14:textId="77777777" w:rsidR="003A70D7" w:rsidRPr="003A70D7" w:rsidRDefault="003A70D7" w:rsidP="006435D9">
            <w:pPr>
              <w:spacing w:before="40" w:after="40"/>
              <w:rPr>
                <w:b/>
              </w:rPr>
            </w:pPr>
            <w:r w:rsidRPr="003A70D7">
              <w:rPr>
                <w:b/>
              </w:rPr>
              <w:t>Expense</w:t>
            </w:r>
            <w:r w:rsidR="00435F57" w:rsidRPr="00435F57">
              <w:rPr>
                <w:b/>
                <w:vertAlign w:val="superscript"/>
              </w:rPr>
              <w:t>5</w:t>
            </w:r>
          </w:p>
        </w:tc>
        <w:tc>
          <w:tcPr>
            <w:tcW w:w="1275" w:type="dxa"/>
            <w:tcBorders>
              <w:top w:val="single" w:sz="4" w:space="0" w:color="auto"/>
              <w:bottom w:val="single" w:sz="4" w:space="0" w:color="auto"/>
            </w:tcBorders>
          </w:tcPr>
          <w:p w14:paraId="4F7E5240" w14:textId="77777777" w:rsidR="003A70D7" w:rsidRPr="003A70D7"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r w:rsidRPr="003A70D7">
              <w:rPr>
                <w:b/>
              </w:rPr>
              <w:t>y yyy</w:t>
            </w:r>
          </w:p>
        </w:tc>
        <w:tc>
          <w:tcPr>
            <w:tcW w:w="2977" w:type="dxa"/>
            <w:tcBorders>
              <w:top w:val="single" w:sz="4" w:space="0" w:color="auto"/>
              <w:bottom w:val="single" w:sz="4" w:space="0" w:color="auto"/>
            </w:tcBorders>
          </w:tcPr>
          <w:p w14:paraId="3C26401C" w14:textId="77777777" w:rsidR="003A70D7" w:rsidRPr="003A70D7" w:rsidRDefault="003A70D7" w:rsidP="003A70D7">
            <w:pPr>
              <w:spacing w:before="40" w:after="40"/>
              <w:ind w:left="170"/>
              <w:cnfStyle w:val="000000100000" w:firstRow="0" w:lastRow="0" w:firstColumn="0" w:lastColumn="0" w:oddVBand="0" w:evenVBand="0" w:oddHBand="1" w:evenHBand="0" w:firstRowFirstColumn="0" w:firstRowLastColumn="0" w:lastRowFirstColumn="0" w:lastRowLastColumn="0"/>
              <w:rPr>
                <w:b/>
              </w:rPr>
            </w:pPr>
            <w:r w:rsidRPr="003A70D7">
              <w:rPr>
                <w:b/>
              </w:rPr>
              <w:t>Income</w:t>
            </w:r>
          </w:p>
        </w:tc>
        <w:tc>
          <w:tcPr>
            <w:tcW w:w="992" w:type="dxa"/>
            <w:tcBorders>
              <w:top w:val="single" w:sz="4" w:space="0" w:color="auto"/>
              <w:bottom w:val="single" w:sz="4" w:space="0" w:color="auto"/>
            </w:tcBorders>
          </w:tcPr>
          <w:p w14:paraId="22764A5D" w14:textId="77777777" w:rsidR="003A70D7" w:rsidRPr="003A70D7"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r w:rsidRPr="003A70D7">
              <w:rPr>
                <w:b/>
              </w:rPr>
              <w:t>y yyy</w:t>
            </w:r>
          </w:p>
        </w:tc>
      </w:tr>
    </w:tbl>
    <w:p w14:paraId="060458A3" w14:textId="77777777" w:rsidR="003A70D7" w:rsidRDefault="00435F57" w:rsidP="00435F57">
      <w:pPr>
        <w:pStyle w:val="NoteNormal"/>
        <w:tabs>
          <w:tab w:val="left" w:pos="284"/>
        </w:tabs>
        <w:ind w:left="284" w:hanging="284"/>
      </w:pPr>
      <w:r>
        <w:t>Notes:</w:t>
      </w:r>
    </w:p>
    <w:p w14:paraId="6FC92B32" w14:textId="795A85A5" w:rsidR="00435F57" w:rsidRDefault="00435F57" w:rsidP="00435F57">
      <w:pPr>
        <w:pStyle w:val="NoteNormal"/>
        <w:tabs>
          <w:tab w:val="left" w:pos="284"/>
        </w:tabs>
        <w:ind w:left="284" w:hanging="284"/>
      </w:pPr>
      <w:r>
        <w:t>1.</w:t>
      </w:r>
      <w:r>
        <w:tab/>
        <w:t>The transferor of an asset or net assets should first reclassify any related revaluation surplus to accumulated surplus prior to the distribution in accordance with the, Guidance on the application of FRD 103.</w:t>
      </w:r>
    </w:p>
    <w:p w14:paraId="138B1008" w14:textId="77777777" w:rsidR="00435F57" w:rsidRDefault="00435F57" w:rsidP="00435F57">
      <w:pPr>
        <w:pStyle w:val="NoteNormal"/>
        <w:tabs>
          <w:tab w:val="left" w:pos="284"/>
        </w:tabs>
        <w:ind w:left="284" w:hanging="284"/>
      </w:pPr>
      <w:r>
        <w:t>2.</w:t>
      </w:r>
      <w:r>
        <w:tab/>
        <w:t>Equals the reduction in contributed capital and/or reduction in accumulated surplus.</w:t>
      </w:r>
    </w:p>
    <w:p w14:paraId="58F2C7EA" w14:textId="77777777" w:rsidR="00435F57" w:rsidRDefault="00435F57" w:rsidP="00435F57">
      <w:pPr>
        <w:pStyle w:val="NoteNormal"/>
        <w:tabs>
          <w:tab w:val="left" w:pos="284"/>
        </w:tabs>
        <w:ind w:left="284" w:hanging="284"/>
      </w:pPr>
      <w:r>
        <w:t>3.</w:t>
      </w:r>
      <w:r>
        <w:tab/>
        <w:t>For transferee receiving liabilities or net liabilities, adjustments should be made via contributed capital until reaching a zero balance, with any remainder of the transferred liabilities being adjusted against accumulated surplus then expense. No adjustments are allowed to be made through revaluation surplus account as no relevant revaluation surplus exists prior to the transfer.</w:t>
      </w:r>
    </w:p>
    <w:p w14:paraId="74EC4102" w14:textId="77777777" w:rsidR="00435F57" w:rsidRDefault="00435F57" w:rsidP="00435F57">
      <w:pPr>
        <w:pStyle w:val="NoteNormal"/>
        <w:tabs>
          <w:tab w:val="left" w:pos="284"/>
        </w:tabs>
        <w:ind w:left="284" w:hanging="284"/>
      </w:pPr>
      <w:r>
        <w:t>4.</w:t>
      </w:r>
      <w:r>
        <w:tab/>
        <w:t>Only required when there is insufficient contributed capital.</w:t>
      </w:r>
    </w:p>
    <w:p w14:paraId="2686E43C" w14:textId="77777777" w:rsidR="00435F57" w:rsidRDefault="00435F57" w:rsidP="00435F57">
      <w:pPr>
        <w:pStyle w:val="NoteNormal"/>
        <w:tabs>
          <w:tab w:val="left" w:pos="284"/>
        </w:tabs>
        <w:ind w:left="284" w:hanging="284"/>
      </w:pPr>
      <w:r>
        <w:t>5.</w:t>
      </w:r>
      <w:r>
        <w:tab/>
        <w:t>Only required when there is insufficient contributed capital and accumulated surplus.</w:t>
      </w:r>
    </w:p>
    <w:p w14:paraId="1FEEAB0A" w14:textId="77777777" w:rsidR="00435F57" w:rsidRDefault="00435F57" w:rsidP="003A70D7"/>
    <w:tbl>
      <w:tblPr>
        <w:tblStyle w:val="DTFtexttable"/>
        <w:tblW w:w="0" w:type="auto"/>
        <w:tblLook w:val="04A0" w:firstRow="1" w:lastRow="0" w:firstColumn="1" w:lastColumn="0" w:noHBand="0" w:noVBand="1"/>
      </w:tblPr>
      <w:tblGrid>
        <w:gridCol w:w="5586"/>
        <w:gridCol w:w="1559"/>
        <w:gridCol w:w="1984"/>
      </w:tblGrid>
      <w:tr w:rsidR="008E7779" w14:paraId="121648D3" w14:textId="77777777" w:rsidTr="008E7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86" w:type="dxa"/>
          </w:tcPr>
          <w:p w14:paraId="22245EEC" w14:textId="77777777" w:rsidR="008E7779" w:rsidRDefault="008E7779" w:rsidP="006435D9">
            <w:pPr>
              <w:spacing w:before="40" w:after="40"/>
            </w:pPr>
            <w:r>
              <w:t>Approved by</w:t>
            </w:r>
          </w:p>
        </w:tc>
        <w:tc>
          <w:tcPr>
            <w:tcW w:w="1559" w:type="dxa"/>
          </w:tcPr>
          <w:p w14:paraId="685A57BA" w14:textId="77777777" w:rsidR="008E7779" w:rsidRDefault="008E7779" w:rsidP="006435D9">
            <w:pPr>
              <w:spacing w:before="40" w:after="40"/>
              <w:jc w:val="right"/>
              <w:cnfStyle w:val="100000000000" w:firstRow="1" w:lastRow="0" w:firstColumn="0" w:lastColumn="0" w:oddVBand="0" w:evenVBand="0" w:oddHBand="0" w:evenHBand="0" w:firstRowFirstColumn="0" w:firstRowLastColumn="0" w:lastRowFirstColumn="0" w:lastRowLastColumn="0"/>
            </w:pPr>
          </w:p>
        </w:tc>
        <w:tc>
          <w:tcPr>
            <w:tcW w:w="1984" w:type="dxa"/>
          </w:tcPr>
          <w:p w14:paraId="6CE46C29" w14:textId="77777777" w:rsidR="008E7779" w:rsidRDefault="008E7779" w:rsidP="006435D9">
            <w:pPr>
              <w:spacing w:before="40" w:after="40"/>
              <w:jc w:val="right"/>
              <w:cnfStyle w:val="100000000000" w:firstRow="1" w:lastRow="0" w:firstColumn="0" w:lastColumn="0" w:oddVBand="0" w:evenVBand="0" w:oddHBand="0" w:evenHBand="0" w:firstRowFirstColumn="0" w:firstRowLastColumn="0" w:lastRowFirstColumn="0" w:lastRowLastColumn="0"/>
            </w:pPr>
          </w:p>
        </w:tc>
      </w:tr>
      <w:tr w:rsidR="008E7779" w:rsidRPr="00435F57" w14:paraId="2524127C" w14:textId="77777777" w:rsidTr="00435F5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586" w:type="dxa"/>
            <w:vAlign w:val="bottom"/>
          </w:tcPr>
          <w:p w14:paraId="7BF477BA" w14:textId="77777777" w:rsidR="008E7779" w:rsidRPr="00435F57" w:rsidRDefault="008E7779" w:rsidP="00435F57">
            <w:pPr>
              <w:spacing w:before="40" w:after="40"/>
              <w:rPr>
                <w:color w:val="0063A6" w:themeColor="accent1"/>
              </w:rPr>
            </w:pPr>
            <w:r w:rsidRPr="00435F57">
              <w:rPr>
                <w:color w:val="0063A6" w:themeColor="accent1"/>
              </w:rPr>
              <w:t>&lt;insert CFAO signature of transferor department/entity&gt;</w:t>
            </w:r>
          </w:p>
          <w:p w14:paraId="6CA219CC" w14:textId="77777777" w:rsidR="008E7779" w:rsidRPr="00435F57" w:rsidRDefault="008E7779" w:rsidP="00435F57">
            <w:pPr>
              <w:spacing w:before="40" w:after="40"/>
            </w:pPr>
            <w:r w:rsidRPr="00435F57">
              <w:rPr>
                <w:b/>
              </w:rPr>
              <w:t>Chief Financial and Accounting Officer</w:t>
            </w:r>
            <w:r w:rsidRPr="00435F57">
              <w:t xml:space="preserve"> </w:t>
            </w:r>
            <w:r w:rsidRPr="00435F57">
              <w:rPr>
                <w:color w:val="0063A6" w:themeColor="accent1"/>
              </w:rPr>
              <w:t>&lt;insert name&gt;</w:t>
            </w:r>
          </w:p>
        </w:tc>
        <w:tc>
          <w:tcPr>
            <w:tcW w:w="1559" w:type="dxa"/>
            <w:vAlign w:val="bottom"/>
          </w:tcPr>
          <w:p w14:paraId="21C4916F" w14:textId="77777777" w:rsidR="008E7779" w:rsidRPr="00435F57" w:rsidRDefault="008E7779" w:rsidP="00435F57">
            <w:pPr>
              <w:spacing w:before="40" w:after="40"/>
              <w:jc w:val="right"/>
              <w:cnfStyle w:val="000000100000" w:firstRow="0" w:lastRow="0" w:firstColumn="0" w:lastColumn="0" w:oddVBand="0" w:evenVBand="0" w:oddHBand="1" w:evenHBand="0" w:firstRowFirstColumn="0" w:firstRowLastColumn="0" w:lastRowFirstColumn="0" w:lastRowLastColumn="0"/>
            </w:pPr>
            <w:r w:rsidRPr="00435F57">
              <w:t>Date:</w:t>
            </w:r>
          </w:p>
        </w:tc>
        <w:tc>
          <w:tcPr>
            <w:tcW w:w="1984" w:type="dxa"/>
            <w:vAlign w:val="bottom"/>
          </w:tcPr>
          <w:p w14:paraId="0D0C1F93" w14:textId="77777777" w:rsidR="008E7779" w:rsidRPr="00435F57" w:rsidRDefault="008E7779" w:rsidP="00435F57">
            <w:pPr>
              <w:spacing w:before="40" w:after="40"/>
              <w:cnfStyle w:val="000000100000" w:firstRow="0" w:lastRow="0" w:firstColumn="0" w:lastColumn="0" w:oddVBand="0" w:evenVBand="0" w:oddHBand="1" w:evenHBand="0" w:firstRowFirstColumn="0" w:firstRowLastColumn="0" w:lastRowFirstColumn="0" w:lastRowLastColumn="0"/>
            </w:pPr>
          </w:p>
        </w:tc>
      </w:tr>
      <w:tr w:rsidR="008E7779" w14:paraId="23E71994" w14:textId="77777777" w:rsidTr="00435F57">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586" w:type="dxa"/>
            <w:vAlign w:val="bottom"/>
          </w:tcPr>
          <w:p w14:paraId="73E5EED8" w14:textId="77777777" w:rsidR="008E7779" w:rsidRPr="00435F57" w:rsidRDefault="008E7779" w:rsidP="00435F57">
            <w:pPr>
              <w:spacing w:before="40" w:after="40"/>
              <w:rPr>
                <w:color w:val="0063A6" w:themeColor="accent1"/>
              </w:rPr>
            </w:pPr>
            <w:r w:rsidRPr="00435F57">
              <w:rPr>
                <w:color w:val="0063A6" w:themeColor="accent1"/>
              </w:rPr>
              <w:t>&lt;insert CFAO signature of transferee department/entity&gt;</w:t>
            </w:r>
          </w:p>
          <w:p w14:paraId="5708BF77" w14:textId="77777777" w:rsidR="008E7779" w:rsidRPr="00AE406E" w:rsidRDefault="008E7779" w:rsidP="00435F57">
            <w:pPr>
              <w:spacing w:before="40" w:after="40"/>
            </w:pPr>
            <w:r w:rsidRPr="00435F57">
              <w:rPr>
                <w:b/>
              </w:rPr>
              <w:t>Chief Financial and Accounting Officer</w:t>
            </w:r>
            <w:r>
              <w:t xml:space="preserve"> </w:t>
            </w:r>
            <w:r w:rsidRPr="00435F57">
              <w:rPr>
                <w:color w:val="0063A6" w:themeColor="accent1"/>
              </w:rPr>
              <w:t>&lt;insert name&gt;</w:t>
            </w:r>
          </w:p>
        </w:tc>
        <w:tc>
          <w:tcPr>
            <w:tcW w:w="1559" w:type="dxa"/>
            <w:vAlign w:val="bottom"/>
          </w:tcPr>
          <w:p w14:paraId="05A620C2" w14:textId="77777777" w:rsidR="008E7779" w:rsidRDefault="008E7779" w:rsidP="00435F57">
            <w:pPr>
              <w:spacing w:before="40" w:after="40"/>
              <w:jc w:val="right"/>
              <w:cnfStyle w:val="000000010000" w:firstRow="0" w:lastRow="0" w:firstColumn="0" w:lastColumn="0" w:oddVBand="0" w:evenVBand="0" w:oddHBand="0" w:evenHBand="1" w:firstRowFirstColumn="0" w:firstRowLastColumn="0" w:lastRowFirstColumn="0" w:lastRowLastColumn="0"/>
            </w:pPr>
            <w:r>
              <w:t>Date:</w:t>
            </w:r>
          </w:p>
        </w:tc>
        <w:tc>
          <w:tcPr>
            <w:tcW w:w="1984" w:type="dxa"/>
            <w:vAlign w:val="bottom"/>
          </w:tcPr>
          <w:p w14:paraId="514374DD" w14:textId="77777777" w:rsidR="008E7779" w:rsidRDefault="008E7779" w:rsidP="00435F57">
            <w:pPr>
              <w:spacing w:before="40" w:after="40"/>
              <w:cnfStyle w:val="000000010000" w:firstRow="0" w:lastRow="0" w:firstColumn="0" w:lastColumn="0" w:oddVBand="0" w:evenVBand="0" w:oddHBand="0" w:evenHBand="1" w:firstRowFirstColumn="0" w:firstRowLastColumn="0" w:lastRowFirstColumn="0" w:lastRowLastColumn="0"/>
            </w:pPr>
          </w:p>
        </w:tc>
      </w:tr>
    </w:tbl>
    <w:p w14:paraId="73CD0DB1" w14:textId="77777777" w:rsidR="00435F57" w:rsidRDefault="00435F57" w:rsidP="00435F57"/>
    <w:p w14:paraId="1C9331B8" w14:textId="77777777" w:rsidR="00435F57" w:rsidRDefault="00435F57" w:rsidP="00435F57">
      <w:pPr>
        <w:sectPr w:rsidR="00435F57" w:rsidSect="00432E46">
          <w:headerReference w:type="default" r:id="rId13"/>
          <w:footerReference w:type="even" r:id="rId14"/>
          <w:footerReference w:type="default" r:id="rId15"/>
          <w:pgSz w:w="11906" w:h="16838" w:code="9"/>
          <w:pgMar w:top="1802" w:right="1440" w:bottom="1350" w:left="1440" w:header="450" w:footer="461" w:gutter="0"/>
          <w:cols w:space="708"/>
          <w:docGrid w:linePitch="360"/>
        </w:sectPr>
      </w:pPr>
    </w:p>
    <w:p w14:paraId="55E72168" w14:textId="77777777" w:rsidR="00435F57" w:rsidRDefault="00435F57" w:rsidP="00B93DA8">
      <w:pPr>
        <w:pStyle w:val="Heading1"/>
        <w:spacing w:before="300" w:after="300"/>
      </w:pPr>
      <w:r w:rsidRPr="00435F57">
        <w:lastRenderedPageBreak/>
        <w:t>Appendix C – Pathways of transfers accounted for through contributed capital</w:t>
      </w:r>
    </w:p>
    <w:tbl>
      <w:tblPr>
        <w:tblStyle w:val="DTFtexttable"/>
        <w:tblW w:w="0" w:type="auto"/>
        <w:tblLayout w:type="fixed"/>
        <w:tblLook w:val="04A0" w:firstRow="1" w:lastRow="0" w:firstColumn="1" w:lastColumn="0" w:noHBand="0" w:noVBand="1"/>
      </w:tblPr>
      <w:tblGrid>
        <w:gridCol w:w="3318"/>
        <w:gridCol w:w="5244"/>
        <w:gridCol w:w="5238"/>
      </w:tblGrid>
      <w:tr w:rsidR="002B3D01" w:rsidRPr="00344DD1" w14:paraId="5C1F3C03" w14:textId="77777777" w:rsidTr="002B3D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8" w:type="dxa"/>
          </w:tcPr>
          <w:p w14:paraId="1EF96A26" w14:textId="77777777" w:rsidR="002B3D01" w:rsidRPr="00344DD1" w:rsidRDefault="002B3D01" w:rsidP="006435D9">
            <w:pPr>
              <w:spacing w:before="40" w:after="40"/>
              <w:rPr>
                <w:sz w:val="17"/>
                <w:szCs w:val="17"/>
              </w:rPr>
            </w:pPr>
            <w:r w:rsidRPr="00344DD1">
              <w:rPr>
                <w:sz w:val="17"/>
                <w:szCs w:val="17"/>
              </w:rPr>
              <w:t>Type of transfer</w:t>
            </w:r>
          </w:p>
        </w:tc>
        <w:tc>
          <w:tcPr>
            <w:tcW w:w="5244" w:type="dxa"/>
          </w:tcPr>
          <w:p w14:paraId="616A05B3" w14:textId="77777777" w:rsidR="002B3D01" w:rsidRPr="00344DD1" w:rsidRDefault="002B3D01" w:rsidP="006435D9">
            <w:pPr>
              <w:spacing w:before="40" w:after="40"/>
              <w:cnfStyle w:val="100000000000" w:firstRow="1" w:lastRow="0" w:firstColumn="0" w:lastColumn="0" w:oddVBand="0" w:evenVBand="0" w:oddHBand="0" w:evenHBand="0" w:firstRowFirstColumn="0" w:firstRowLastColumn="0" w:lastRowFirstColumn="0" w:lastRowLastColumn="0"/>
              <w:rPr>
                <w:sz w:val="17"/>
                <w:szCs w:val="17"/>
              </w:rPr>
            </w:pPr>
            <w:r w:rsidRPr="00344DD1">
              <w:rPr>
                <w:sz w:val="17"/>
                <w:szCs w:val="17"/>
              </w:rPr>
              <w:t>Pathway</w:t>
            </w:r>
          </w:p>
        </w:tc>
        <w:tc>
          <w:tcPr>
            <w:tcW w:w="5238" w:type="dxa"/>
          </w:tcPr>
          <w:p w14:paraId="3B699253" w14:textId="77777777" w:rsidR="002B3D01" w:rsidRPr="00344DD1" w:rsidRDefault="002B3D01" w:rsidP="006435D9">
            <w:pPr>
              <w:spacing w:before="40" w:after="40"/>
              <w:cnfStyle w:val="100000000000" w:firstRow="1" w:lastRow="0" w:firstColumn="0" w:lastColumn="0" w:oddVBand="0" w:evenVBand="0" w:oddHBand="0" w:evenHBand="0" w:firstRowFirstColumn="0" w:firstRowLastColumn="0" w:lastRowFirstColumn="0" w:lastRowLastColumn="0"/>
              <w:rPr>
                <w:sz w:val="17"/>
                <w:szCs w:val="17"/>
              </w:rPr>
            </w:pPr>
            <w:r w:rsidRPr="00344DD1">
              <w:rPr>
                <w:sz w:val="17"/>
                <w:szCs w:val="17"/>
              </w:rPr>
              <w:t>Explanation</w:t>
            </w:r>
          </w:p>
        </w:tc>
      </w:tr>
      <w:tr w:rsidR="002B3D01" w:rsidRPr="00344DD1" w14:paraId="50266AC6" w14:textId="77777777" w:rsidTr="002B3D01">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54E3255" w14:textId="77777777" w:rsidR="002B3D01" w:rsidRPr="00344DD1" w:rsidRDefault="002B3D01" w:rsidP="002B3D01">
            <w:pPr>
              <w:ind w:left="284" w:hanging="284"/>
              <w:rPr>
                <w:sz w:val="17"/>
                <w:szCs w:val="17"/>
              </w:rPr>
            </w:pPr>
            <w:r w:rsidRPr="00344DD1">
              <w:rPr>
                <w:sz w:val="17"/>
                <w:szCs w:val="17"/>
              </w:rPr>
              <w:t>1.</w:t>
            </w:r>
            <w:r w:rsidRPr="00344DD1">
              <w:rPr>
                <w:sz w:val="17"/>
                <w:szCs w:val="17"/>
              </w:rPr>
              <w:tab/>
              <w:t xml:space="preserve">Authorised through appropriations </w:t>
            </w:r>
          </w:p>
          <w:p w14:paraId="13EDA84B" w14:textId="77777777" w:rsidR="002B3D01" w:rsidRPr="00344DD1" w:rsidRDefault="002B3D01" w:rsidP="002B3D01">
            <w:pPr>
              <w:pStyle w:val="Bullet1"/>
              <w:ind w:left="568" w:hanging="284"/>
              <w:rPr>
                <w:sz w:val="17"/>
                <w:szCs w:val="17"/>
              </w:rPr>
            </w:pPr>
            <w:r w:rsidRPr="00344DD1">
              <w:rPr>
                <w:sz w:val="17"/>
                <w:szCs w:val="17"/>
              </w:rPr>
              <w:t>ATNAB, POBOS and special appropriations for capital expenditure purposes</w:t>
            </w:r>
          </w:p>
        </w:tc>
        <w:tc>
          <w:tcPr>
            <w:tcW w:w="5244" w:type="dxa"/>
            <w:vAlign w:val="center"/>
          </w:tcPr>
          <w:p w14:paraId="1F5E0EAE" w14:textId="77777777" w:rsidR="002B3D01" w:rsidRPr="00344DD1" w:rsidRDefault="002B3D01" w:rsidP="00B93DA8">
            <w:pPr>
              <w:spacing w:before="40" w:after="40"/>
              <w:jc w:val="center"/>
              <w:cnfStyle w:val="000000100000" w:firstRow="0" w:lastRow="0" w:firstColumn="0" w:lastColumn="0" w:oddVBand="0" w:evenVBand="0" w:oddHBand="1" w:evenHBand="0" w:firstRowFirstColumn="0" w:firstRowLastColumn="0" w:lastRowFirstColumn="0" w:lastRowLastColumn="0"/>
              <w:rPr>
                <w:i/>
                <w:sz w:val="17"/>
                <w:szCs w:val="17"/>
              </w:rPr>
            </w:pPr>
            <w:r w:rsidRPr="00344DD1">
              <w:rPr>
                <w:i/>
                <w:sz w:val="17"/>
                <w:szCs w:val="17"/>
              </w:rPr>
              <w:t>Appropriations</w:t>
            </w:r>
          </w:p>
          <w:p w14:paraId="7665DCFC" w14:textId="77777777" w:rsidR="002B3D01" w:rsidRPr="00344DD1" w:rsidRDefault="00B93DA8" w:rsidP="00B93DA8">
            <w:pPr>
              <w:tabs>
                <w:tab w:val="center" w:pos="1221"/>
                <w:tab w:val="center" w:pos="2639"/>
                <w:tab w:val="center" w:pos="4056"/>
              </w:tabs>
              <w:spacing w:before="40" w:after="4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r>
            <w:r w:rsidR="002B3D01" w:rsidRPr="00344DD1">
              <w:rPr>
                <w:sz w:val="17"/>
                <w:szCs w:val="17"/>
              </w:rPr>
              <w:t>Government</w:t>
            </w:r>
            <w:r w:rsidR="002B3D01" w:rsidRPr="00344DD1">
              <w:rPr>
                <w:sz w:val="17"/>
                <w:szCs w:val="17"/>
              </w:rPr>
              <w:tab/>
            </w:r>
            <w:r w:rsidR="002B3D01" w:rsidRPr="00344DD1">
              <w:rPr>
                <w:rFonts w:cstheme="minorHAnsi"/>
                <w:sz w:val="17"/>
                <w:szCs w:val="17"/>
              </w:rPr>
              <w:t>►</w:t>
            </w:r>
            <w:r w:rsidR="002B3D01" w:rsidRPr="00344DD1">
              <w:rPr>
                <w:rFonts w:cstheme="minorHAnsi"/>
                <w:sz w:val="17"/>
                <w:szCs w:val="17"/>
              </w:rPr>
              <w:tab/>
              <w:t>Departments</w:t>
            </w:r>
          </w:p>
        </w:tc>
        <w:tc>
          <w:tcPr>
            <w:tcW w:w="5238" w:type="dxa"/>
          </w:tcPr>
          <w:p w14:paraId="3CDB9D18" w14:textId="77777777" w:rsidR="002B3D01" w:rsidRPr="00344DD1" w:rsidRDefault="002B3D01" w:rsidP="006435D9">
            <w:pPr>
              <w:spacing w:before="40" w:after="4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Appropriations authorised through Appropriation Acts or other Acts are appropriated to departments only. No transfers of appropriations are allowed between departments.</w:t>
            </w:r>
          </w:p>
        </w:tc>
      </w:tr>
      <w:tr w:rsidR="002B3D01" w:rsidRPr="00344DD1" w14:paraId="32B73B3E" w14:textId="77777777" w:rsidTr="00B93DA8">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6CDB0B96" w14:textId="77777777" w:rsidR="002B3D01" w:rsidRPr="00344DD1" w:rsidRDefault="002B3D01" w:rsidP="002B3D01">
            <w:pPr>
              <w:pStyle w:val="Bullet1"/>
              <w:ind w:left="568" w:hanging="284"/>
              <w:rPr>
                <w:sz w:val="17"/>
                <w:szCs w:val="17"/>
              </w:rPr>
            </w:pPr>
            <w:r w:rsidRPr="00344DD1">
              <w:rPr>
                <w:sz w:val="17"/>
                <w:szCs w:val="17"/>
              </w:rPr>
              <w:t>On-passed funds from appropriations for capital expenditure purposes to an entity</w:t>
            </w:r>
          </w:p>
        </w:tc>
        <w:tc>
          <w:tcPr>
            <w:tcW w:w="5244" w:type="dxa"/>
          </w:tcPr>
          <w:p w14:paraId="2A587BA5" w14:textId="77777777" w:rsidR="00E93DEC" w:rsidRPr="00344DD1" w:rsidRDefault="00E93DEC" w:rsidP="00B93DA8">
            <w:pPr>
              <w:tabs>
                <w:tab w:val="center" w:pos="1221"/>
                <w:tab w:val="center" w:pos="2355"/>
                <w:tab w:val="center" w:pos="3489"/>
              </w:tabs>
              <w:spacing w:after="40"/>
              <w:jc w:val="center"/>
              <w:cnfStyle w:val="000000010000" w:firstRow="0" w:lastRow="0" w:firstColumn="0" w:lastColumn="0" w:oddVBand="0" w:evenVBand="0" w:oddHBand="0" w:evenHBand="1" w:firstRowFirstColumn="0" w:firstRowLastColumn="0" w:lastRowFirstColumn="0" w:lastRowLastColumn="0"/>
              <w:rPr>
                <w:i/>
                <w:sz w:val="17"/>
                <w:szCs w:val="17"/>
              </w:rPr>
            </w:pPr>
            <w:r w:rsidRPr="00344DD1">
              <w:rPr>
                <w:i/>
                <w:sz w:val="17"/>
                <w:szCs w:val="17"/>
              </w:rPr>
              <w:t>Appropriations</w:t>
            </w:r>
            <w:r w:rsidRPr="00344DD1">
              <w:rPr>
                <w:i/>
                <w:sz w:val="17"/>
                <w:szCs w:val="17"/>
              </w:rPr>
              <w:tab/>
            </w:r>
            <w:r w:rsidRPr="00344DD1">
              <w:rPr>
                <w:i/>
                <w:sz w:val="17"/>
                <w:szCs w:val="17"/>
              </w:rPr>
              <w:tab/>
              <w:t>On-passed funds</w:t>
            </w:r>
          </w:p>
          <w:p w14:paraId="1F8C300D" w14:textId="77777777" w:rsidR="002B3D01" w:rsidRPr="00344DD1" w:rsidRDefault="00D85C54" w:rsidP="00D85C54">
            <w:pPr>
              <w:tabs>
                <w:tab w:val="center" w:pos="796"/>
                <w:tab w:val="center" w:pos="1647"/>
                <w:tab w:val="center" w:pos="2564"/>
                <w:tab w:val="center" w:pos="3432"/>
                <w:tab w:val="center" w:pos="4286"/>
              </w:tabs>
              <w:spacing w:before="40" w:after="40"/>
              <w:cnfStyle w:val="000000010000" w:firstRow="0" w:lastRow="0" w:firstColumn="0" w:lastColumn="0" w:oddVBand="0" w:evenVBand="0" w:oddHBand="0" w:evenHBand="1" w:firstRowFirstColumn="0" w:firstRowLastColumn="0" w:lastRowFirstColumn="0" w:lastRowLastColumn="0"/>
              <w:rPr>
                <w:i/>
                <w:sz w:val="17"/>
                <w:szCs w:val="17"/>
              </w:rPr>
            </w:pPr>
            <w:r>
              <w:rPr>
                <w:sz w:val="17"/>
                <w:szCs w:val="17"/>
              </w:rPr>
              <w:tab/>
            </w:r>
            <w:r w:rsidR="00E93DEC" w:rsidRPr="00344DD1">
              <w:rPr>
                <w:sz w:val="17"/>
                <w:szCs w:val="17"/>
              </w:rPr>
              <w:t>Government</w:t>
            </w:r>
            <w:r w:rsidR="00E93DEC" w:rsidRPr="00344DD1">
              <w:rPr>
                <w:sz w:val="17"/>
                <w:szCs w:val="17"/>
              </w:rPr>
              <w:tab/>
              <w:t>►</w:t>
            </w:r>
            <w:r w:rsidR="00E93DEC" w:rsidRPr="00344DD1">
              <w:rPr>
                <w:sz w:val="17"/>
                <w:szCs w:val="17"/>
              </w:rPr>
              <w:tab/>
              <w:t>A department</w:t>
            </w:r>
            <w:r w:rsidR="00E93DEC" w:rsidRPr="00344DD1">
              <w:rPr>
                <w:sz w:val="17"/>
                <w:szCs w:val="17"/>
              </w:rPr>
              <w:tab/>
            </w:r>
            <w:r w:rsidRPr="00344DD1">
              <w:rPr>
                <w:sz w:val="17"/>
                <w:szCs w:val="17"/>
              </w:rPr>
              <w:t>►</w:t>
            </w:r>
            <w:r w:rsidRPr="00344DD1">
              <w:rPr>
                <w:sz w:val="17"/>
                <w:szCs w:val="17"/>
              </w:rPr>
              <w:tab/>
            </w:r>
            <w:r w:rsidR="00E93DEC" w:rsidRPr="00344DD1">
              <w:rPr>
                <w:sz w:val="17"/>
                <w:szCs w:val="17"/>
              </w:rPr>
              <w:t>Transferee entity</w:t>
            </w:r>
          </w:p>
        </w:tc>
        <w:tc>
          <w:tcPr>
            <w:tcW w:w="5238" w:type="dxa"/>
          </w:tcPr>
          <w:p w14:paraId="601C24A8" w14:textId="77777777" w:rsidR="002B3D01" w:rsidRPr="00344DD1" w:rsidRDefault="00B93DA8" w:rsidP="002B3D01">
            <w:pPr>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These transfers occur in circumstances where the department and the transferee entity are wholly-owned and controlled by the State and where the department does not have control over the transferee entity. In these circumstances, the department, on behalf of the State, on-passes the funds to the transferee entity.</w:t>
            </w:r>
          </w:p>
        </w:tc>
      </w:tr>
      <w:tr w:rsidR="002B3D01" w:rsidRPr="00344DD1" w14:paraId="7C4D2FF4" w14:textId="77777777" w:rsidTr="002B3D01">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A6876D1" w14:textId="77777777" w:rsidR="002B3D01" w:rsidRPr="00344DD1" w:rsidRDefault="00B93DA8" w:rsidP="00D85C54">
            <w:pPr>
              <w:spacing w:before="60"/>
              <w:ind w:left="284" w:hanging="284"/>
              <w:rPr>
                <w:sz w:val="17"/>
                <w:szCs w:val="17"/>
              </w:rPr>
            </w:pPr>
            <w:r w:rsidRPr="00344DD1">
              <w:rPr>
                <w:sz w:val="17"/>
                <w:szCs w:val="17"/>
              </w:rPr>
              <w:t>2.</w:t>
            </w:r>
            <w:r w:rsidRPr="00344DD1">
              <w:rPr>
                <w:sz w:val="17"/>
                <w:szCs w:val="17"/>
              </w:rPr>
              <w:tab/>
              <w:t>Authorised through restructures of administrative arrangements or ‘other transfers’</w:t>
            </w:r>
          </w:p>
        </w:tc>
        <w:tc>
          <w:tcPr>
            <w:tcW w:w="5244" w:type="dxa"/>
          </w:tcPr>
          <w:p w14:paraId="54A2F9BB" w14:textId="77777777" w:rsidR="00B93DA8" w:rsidRPr="00344DD1" w:rsidRDefault="00B93DA8" w:rsidP="00D85C54">
            <w:pPr>
              <w:tabs>
                <w:tab w:val="left" w:pos="3348"/>
              </w:tabs>
              <w:spacing w:before="6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w:t>
            </w:r>
            <w:r w:rsidRPr="00344DD1">
              <w:rPr>
                <w:sz w:val="17"/>
                <w:szCs w:val="17"/>
              </w:rPr>
              <w:tab/>
              <w:t xml:space="preserve">Portfolio entity 1 of Department 1 </w:t>
            </w:r>
            <w:r w:rsidRPr="00344DD1">
              <w:rPr>
                <w:sz w:val="17"/>
                <w:szCs w:val="17"/>
              </w:rPr>
              <w:tab/>
              <w:t>►</w:t>
            </w:r>
          </w:p>
          <w:p w14:paraId="0B53518E"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t xml:space="preserve">Department 1 (administered entity) </w:t>
            </w:r>
            <w:r w:rsidRPr="00344DD1">
              <w:rPr>
                <w:sz w:val="17"/>
                <w:szCs w:val="17"/>
              </w:rPr>
              <w:tab/>
              <w:t>►</w:t>
            </w:r>
          </w:p>
          <w:p w14:paraId="166C672A"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t xml:space="preserve">Department 2 (administered entity) </w:t>
            </w:r>
            <w:r w:rsidRPr="00344DD1">
              <w:rPr>
                <w:sz w:val="17"/>
                <w:szCs w:val="17"/>
              </w:rPr>
              <w:tab/>
              <w:t>►</w:t>
            </w:r>
          </w:p>
          <w:p w14:paraId="57BE8109"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t>Portfolio entity 2 of Department 2;</w:t>
            </w:r>
          </w:p>
          <w:p w14:paraId="42691AC0" w14:textId="77777777" w:rsidR="00B93DA8" w:rsidRPr="00344DD1" w:rsidRDefault="00B93DA8" w:rsidP="00B93DA8">
            <w:pPr>
              <w:tabs>
                <w:tab w:val="left" w:pos="3348"/>
              </w:tabs>
              <w:ind w:left="284" w:hanging="284"/>
              <w:cnfStyle w:val="000000100000" w:firstRow="0" w:lastRow="0" w:firstColumn="0" w:lastColumn="0" w:oddVBand="0" w:evenVBand="0" w:oddHBand="1" w:evenHBand="0" w:firstRowFirstColumn="0" w:firstRowLastColumn="0" w:lastRowFirstColumn="0" w:lastRowLastColumn="0"/>
              <w:rPr>
                <w:sz w:val="17"/>
                <w:szCs w:val="17"/>
              </w:rPr>
            </w:pPr>
          </w:p>
          <w:p w14:paraId="5534017A" w14:textId="77777777" w:rsidR="002B3D01" w:rsidRPr="00344DD1" w:rsidRDefault="00B93DA8" w:rsidP="00B93DA8">
            <w:pPr>
              <w:tabs>
                <w:tab w:val="left" w:pos="3348"/>
              </w:tabs>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or</w:t>
            </w:r>
          </w:p>
        </w:tc>
        <w:tc>
          <w:tcPr>
            <w:tcW w:w="5238" w:type="dxa"/>
          </w:tcPr>
          <w:p w14:paraId="47299B55" w14:textId="77777777" w:rsidR="00B93DA8" w:rsidRPr="00344DD1" w:rsidRDefault="00B93DA8" w:rsidP="00D85C54">
            <w:pPr>
              <w:spacing w:before="6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Transfers between portfolio entities of two departments will need to be returned to and contributed by the State (i.e. through the administered entities of the departments on behalf of the State).</w:t>
            </w:r>
          </w:p>
          <w:p w14:paraId="2238E8F1" w14:textId="067FAAA1" w:rsidR="002B3D01" w:rsidRPr="00344DD1" w:rsidRDefault="00B93DA8" w:rsidP="00B93DA8">
            <w:pPr>
              <w:cnfStyle w:val="000000100000" w:firstRow="0" w:lastRow="0" w:firstColumn="0" w:lastColumn="0" w:oddVBand="0" w:evenVBand="0" w:oddHBand="1" w:evenHBand="0" w:firstRowFirstColumn="0" w:firstRowLastColumn="0" w:lastRowFirstColumn="0" w:lastRowLastColumn="0"/>
              <w:rPr>
                <w:b/>
                <w:sz w:val="17"/>
                <w:szCs w:val="17"/>
              </w:rPr>
            </w:pPr>
            <w:r w:rsidRPr="00344DD1">
              <w:rPr>
                <w:b/>
                <w:sz w:val="17"/>
                <w:szCs w:val="17"/>
              </w:rPr>
              <w:t xml:space="preserve">The re-assignment of responsibility for a portfolio entity from one department to another department does not of itself constitute a ‘transfer’ of that entity’s net assets for the purposes this FRD, See para </w:t>
            </w:r>
            <w:r w:rsidR="00946E26">
              <w:rPr>
                <w:b/>
                <w:sz w:val="17"/>
                <w:szCs w:val="17"/>
              </w:rPr>
              <w:t>6</w:t>
            </w:r>
            <w:r w:rsidRPr="00344DD1">
              <w:rPr>
                <w:b/>
                <w:sz w:val="17"/>
                <w:szCs w:val="17"/>
              </w:rPr>
              <w:t>.</w:t>
            </w:r>
            <w:r w:rsidR="00946E26">
              <w:rPr>
                <w:b/>
                <w:sz w:val="17"/>
                <w:szCs w:val="17"/>
              </w:rPr>
              <w:t>18</w:t>
            </w:r>
            <w:r w:rsidRPr="00344DD1">
              <w:rPr>
                <w:b/>
                <w:sz w:val="17"/>
                <w:szCs w:val="17"/>
              </w:rPr>
              <w:t xml:space="preserve"> above for further information and guidance.</w:t>
            </w:r>
          </w:p>
        </w:tc>
      </w:tr>
      <w:tr w:rsidR="002B3D01" w:rsidRPr="00344DD1" w14:paraId="6320FD98" w14:textId="77777777" w:rsidTr="002B3D01">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8358BA4" w14:textId="77777777" w:rsidR="002B3D01" w:rsidRPr="00344DD1" w:rsidRDefault="002B3D01" w:rsidP="002B3D01">
            <w:pPr>
              <w:rPr>
                <w:sz w:val="17"/>
                <w:szCs w:val="17"/>
              </w:rPr>
            </w:pPr>
          </w:p>
        </w:tc>
        <w:tc>
          <w:tcPr>
            <w:tcW w:w="5244" w:type="dxa"/>
          </w:tcPr>
          <w:p w14:paraId="793AF0E9" w14:textId="77777777" w:rsidR="00B93DA8" w:rsidRPr="00344DD1" w:rsidRDefault="00B93DA8" w:rsidP="00D85C54">
            <w:pPr>
              <w:spacing w:before="60" w:after="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(b)</w:t>
            </w:r>
            <w:r w:rsidRPr="00344DD1">
              <w:rPr>
                <w:sz w:val="17"/>
                <w:szCs w:val="17"/>
              </w:rPr>
              <w:tab/>
              <w:t xml:space="preserve">Portfolio entity ► Department (administered entity) ► </w:t>
            </w:r>
          </w:p>
          <w:p w14:paraId="65390EC8" w14:textId="77777777" w:rsidR="002B3D01" w:rsidRPr="00344DD1" w:rsidRDefault="00B93DA8" w:rsidP="00D85C54">
            <w:pPr>
              <w:spacing w:before="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ab/>
              <w:t>Department (controlled entity)</w:t>
            </w:r>
          </w:p>
        </w:tc>
        <w:tc>
          <w:tcPr>
            <w:tcW w:w="5238" w:type="dxa"/>
          </w:tcPr>
          <w:p w14:paraId="58F8FD79" w14:textId="77777777" w:rsidR="002B3D01" w:rsidRPr="00344DD1" w:rsidRDefault="00B93DA8" w:rsidP="00D85C54">
            <w:pPr>
              <w:spacing w:before="60" w:after="60"/>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Transfers from a portfolio entity to the department (i.e. the controlled entity) will first be returned to the administered entity of the department on behalf of the State.</w:t>
            </w:r>
          </w:p>
        </w:tc>
      </w:tr>
      <w:tr w:rsidR="00B93DA8" w:rsidRPr="00344DD1" w14:paraId="25BF935F" w14:textId="77777777" w:rsidTr="002B3D01">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3ADACFA" w14:textId="20C614E3" w:rsidR="00B93DA8" w:rsidRPr="00344DD1" w:rsidRDefault="00B93DA8" w:rsidP="00D85C54">
            <w:pPr>
              <w:spacing w:before="60"/>
              <w:ind w:left="284" w:hanging="284"/>
              <w:rPr>
                <w:sz w:val="17"/>
                <w:szCs w:val="17"/>
              </w:rPr>
            </w:pPr>
            <w:r w:rsidRPr="00344DD1">
              <w:rPr>
                <w:sz w:val="17"/>
                <w:szCs w:val="17"/>
              </w:rPr>
              <w:t>3.</w:t>
            </w:r>
            <w:r w:rsidRPr="00344DD1">
              <w:rPr>
                <w:sz w:val="17"/>
                <w:szCs w:val="17"/>
              </w:rPr>
              <w:tab/>
              <w:t>Transfers of non-financial assets under FRD 117</w:t>
            </w:r>
          </w:p>
        </w:tc>
        <w:tc>
          <w:tcPr>
            <w:tcW w:w="5244" w:type="dxa"/>
          </w:tcPr>
          <w:p w14:paraId="38D1B6DB" w14:textId="77777777" w:rsidR="00B93DA8" w:rsidRPr="00344DD1" w:rsidRDefault="00B93DA8" w:rsidP="00D85C54">
            <w:pPr>
              <w:tabs>
                <w:tab w:val="left" w:pos="3348"/>
              </w:tabs>
              <w:spacing w:before="6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 xml:space="preserve">Portfolio entity 1 of Department 1 </w:t>
            </w:r>
            <w:r w:rsidRPr="00344DD1">
              <w:rPr>
                <w:sz w:val="17"/>
                <w:szCs w:val="17"/>
              </w:rPr>
              <w:tab/>
              <w:t xml:space="preserve">► </w:t>
            </w:r>
          </w:p>
          <w:p w14:paraId="6060C6B3"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 xml:space="preserve">Department 1 (administered entity) </w:t>
            </w:r>
            <w:r w:rsidRPr="00344DD1">
              <w:rPr>
                <w:sz w:val="17"/>
                <w:szCs w:val="17"/>
              </w:rPr>
              <w:tab/>
              <w:t xml:space="preserve">► </w:t>
            </w:r>
            <w:r w:rsidRPr="00344DD1">
              <w:rPr>
                <w:i/>
                <w:sz w:val="17"/>
                <w:szCs w:val="17"/>
              </w:rPr>
              <w:t>(transfer)</w:t>
            </w:r>
          </w:p>
          <w:p w14:paraId="7BB3A461"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External entity</w:t>
            </w:r>
          </w:p>
        </w:tc>
        <w:tc>
          <w:tcPr>
            <w:tcW w:w="5238" w:type="dxa"/>
          </w:tcPr>
          <w:p w14:paraId="35B617E6" w14:textId="77777777" w:rsidR="00B93DA8" w:rsidRPr="00344DD1" w:rsidRDefault="00344DD1" w:rsidP="00D85C54">
            <w:pPr>
              <w:spacing w:before="6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The return of non-financial assets to the administered entity of department on behalf of the State before being transferred to an external party is designated as distribution to owners.</w:t>
            </w:r>
          </w:p>
        </w:tc>
      </w:tr>
      <w:tr w:rsidR="00B93DA8" w:rsidRPr="00344DD1" w14:paraId="0F033A86" w14:textId="77777777" w:rsidTr="002B3D01">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41855B8F" w14:textId="77777777" w:rsidR="00B93DA8" w:rsidRPr="00344DD1" w:rsidRDefault="00344DD1" w:rsidP="00D85C54">
            <w:pPr>
              <w:spacing w:before="60"/>
              <w:ind w:left="284" w:hanging="284"/>
              <w:rPr>
                <w:sz w:val="17"/>
                <w:szCs w:val="17"/>
              </w:rPr>
            </w:pPr>
            <w:r w:rsidRPr="00344DD1">
              <w:rPr>
                <w:sz w:val="17"/>
                <w:szCs w:val="17"/>
              </w:rPr>
              <w:t>4.</w:t>
            </w:r>
            <w:r w:rsidRPr="00344DD1">
              <w:rPr>
                <w:sz w:val="17"/>
                <w:szCs w:val="17"/>
              </w:rPr>
              <w:tab/>
              <w:t>Return of an asset or net assets to owner prior to sale</w:t>
            </w:r>
          </w:p>
        </w:tc>
        <w:tc>
          <w:tcPr>
            <w:tcW w:w="5244" w:type="dxa"/>
          </w:tcPr>
          <w:p w14:paraId="341651B2" w14:textId="77777777" w:rsidR="00344DD1" w:rsidRPr="00344DD1" w:rsidRDefault="00344DD1" w:rsidP="00D85C54">
            <w:pPr>
              <w:tabs>
                <w:tab w:val="left" w:pos="3348"/>
              </w:tabs>
              <w:spacing w:before="60" w:after="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 xml:space="preserve">Portfolio entity 1 of Department 1 </w:t>
            </w:r>
            <w:r w:rsidRPr="00344DD1">
              <w:rPr>
                <w:sz w:val="17"/>
                <w:szCs w:val="17"/>
              </w:rPr>
              <w:tab/>
              <w:t xml:space="preserve">► </w:t>
            </w:r>
          </w:p>
          <w:p w14:paraId="5748DDD9" w14:textId="77777777" w:rsidR="00344DD1" w:rsidRPr="00344DD1" w:rsidRDefault="00344DD1" w:rsidP="00D85C54">
            <w:pPr>
              <w:tabs>
                <w:tab w:val="left" w:pos="3348"/>
              </w:tabs>
              <w:spacing w:before="0" w:after="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 xml:space="preserve">Department 1 (administered entity) </w:t>
            </w:r>
            <w:r w:rsidRPr="00344DD1">
              <w:rPr>
                <w:sz w:val="17"/>
                <w:szCs w:val="17"/>
              </w:rPr>
              <w:tab/>
              <w:t xml:space="preserve">► </w:t>
            </w:r>
            <w:r w:rsidRPr="00D85C54">
              <w:rPr>
                <w:i/>
                <w:sz w:val="17"/>
                <w:szCs w:val="17"/>
              </w:rPr>
              <w:t>(sale)</w:t>
            </w:r>
          </w:p>
          <w:p w14:paraId="2173B2EA" w14:textId="77777777" w:rsidR="00B93DA8" w:rsidRPr="00344DD1" w:rsidRDefault="00344DD1" w:rsidP="00D85C54">
            <w:pPr>
              <w:spacing w:before="0" w:after="6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External entity</w:t>
            </w:r>
          </w:p>
        </w:tc>
        <w:tc>
          <w:tcPr>
            <w:tcW w:w="5238" w:type="dxa"/>
          </w:tcPr>
          <w:p w14:paraId="6EA36FC1" w14:textId="77777777" w:rsidR="00B93DA8" w:rsidRPr="00344DD1" w:rsidRDefault="00344DD1" w:rsidP="00D85C54">
            <w:pPr>
              <w:spacing w:before="60"/>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The return of non-financial assets to the administered entity of department on behalf of the State before being sold is designated as distribution to owners.</w:t>
            </w:r>
          </w:p>
        </w:tc>
      </w:tr>
    </w:tbl>
    <w:p w14:paraId="09E8E074" w14:textId="77777777" w:rsidR="005B7730" w:rsidRDefault="005B7730" w:rsidP="003A70D7"/>
    <w:p w14:paraId="45F77757" w14:textId="77777777" w:rsidR="005B7730" w:rsidRDefault="005B7730">
      <w:pPr>
        <w:spacing w:before="0" w:after="200"/>
      </w:pPr>
      <w:r>
        <w:br w:type="page"/>
      </w:r>
    </w:p>
    <w:p w14:paraId="41AA1D19" w14:textId="77777777" w:rsidR="00435F57" w:rsidRDefault="005B7730" w:rsidP="00C44596">
      <w:pPr>
        <w:pStyle w:val="Heading1"/>
        <w:spacing w:after="300"/>
      </w:pPr>
      <w:r w:rsidRPr="005B7730">
        <w:lastRenderedPageBreak/>
        <w:t>Appendix D – Decision tree on the classification and recognition of transfers through contributed capital</w:t>
      </w:r>
    </w:p>
    <w:p w14:paraId="362B0F6A" w14:textId="51AE5644" w:rsidR="005B7730" w:rsidRPr="005B7730" w:rsidRDefault="003774C6" w:rsidP="005B7730">
      <w:r>
        <w:rPr>
          <w:noProof/>
        </w:rPr>
        <w:drawing>
          <wp:inline distT="0" distB="0" distL="0" distR="0" wp14:anchorId="28D1466A" wp14:editId="3636250A">
            <wp:extent cx="9605010" cy="4557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5010" cy="4557395"/>
                    </a:xfrm>
                    <a:prstGeom prst="rect">
                      <a:avLst/>
                    </a:prstGeom>
                    <a:noFill/>
                    <a:ln>
                      <a:noFill/>
                    </a:ln>
                  </pic:spPr>
                </pic:pic>
              </a:graphicData>
            </a:graphic>
          </wp:inline>
        </w:drawing>
      </w:r>
    </w:p>
    <w:p w14:paraId="61327A99" w14:textId="523EAE38" w:rsidR="00182E3E" w:rsidRPr="00D85C54" w:rsidRDefault="00182E3E" w:rsidP="009D514C"/>
    <w:sectPr w:rsidR="00182E3E" w:rsidRPr="00D85C54" w:rsidSect="00582752">
      <w:footerReference w:type="default" r:id="rId17"/>
      <w:pgSz w:w="11906" w:h="16838" w:code="9"/>
      <w:pgMar w:top="1802" w:right="1440" w:bottom="1350" w:left="1440" w:header="450"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56DF" w14:textId="77777777" w:rsidR="000162F4" w:rsidRDefault="000162F4" w:rsidP="002D711A">
      <w:pPr>
        <w:spacing w:after="0" w:line="240" w:lineRule="auto"/>
      </w:pPr>
      <w:r>
        <w:separator/>
      </w:r>
    </w:p>
    <w:p w14:paraId="042D912B" w14:textId="77777777" w:rsidR="000162F4" w:rsidRDefault="000162F4"/>
  </w:endnote>
  <w:endnote w:type="continuationSeparator" w:id="0">
    <w:p w14:paraId="605A3D27" w14:textId="77777777" w:rsidR="000162F4" w:rsidRDefault="000162F4" w:rsidP="002D711A">
      <w:pPr>
        <w:spacing w:after="0" w:line="240" w:lineRule="auto"/>
      </w:pPr>
      <w:r>
        <w:continuationSeparator/>
      </w:r>
    </w:p>
    <w:p w14:paraId="00E8F097" w14:textId="77777777" w:rsidR="000162F4" w:rsidRDefault="00016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4B39" w14:textId="77777777" w:rsidR="006435D9" w:rsidRPr="00014213" w:rsidRDefault="006435D9" w:rsidP="00C022F9">
    <w:pPr>
      <w:pStyle w:val="Footer"/>
    </w:pPr>
    <w:r>
      <w:drawing>
        <wp:anchor distT="0" distB="0" distL="114300" distR="114300" simplePos="0" relativeHeight="251657216" behindDoc="0" locked="0" layoutInCell="1" allowOverlap="1" wp14:anchorId="5E9A3212" wp14:editId="5C7FCB22">
          <wp:simplePos x="0" y="0"/>
          <wp:positionH relativeFrom="column">
            <wp:posOffset>4240861</wp:posOffset>
          </wp:positionH>
          <wp:positionV relativeFrom="page">
            <wp:posOffset>9493250</wp:posOffset>
          </wp:positionV>
          <wp:extent cx="1956435" cy="582930"/>
          <wp:effectExtent l="0" t="0" r="5715" b="762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369B81AE" w14:textId="77777777" w:rsidR="006435D9" w:rsidRDefault="006435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5B38" w14:textId="76B6CF55" w:rsidR="006435D9" w:rsidRDefault="00B627A7" w:rsidP="00A516DE">
    <w:pPr>
      <w:pStyle w:val="Spacer"/>
    </w:pPr>
    <w:r>
      <w:rPr>
        <w:noProof/>
      </w:rPr>
      <mc:AlternateContent>
        <mc:Choice Requires="wps">
          <w:drawing>
            <wp:anchor distT="0" distB="0" distL="114300" distR="114300" simplePos="0" relativeHeight="251662336" behindDoc="0" locked="0" layoutInCell="0" allowOverlap="1" wp14:anchorId="5E3CDBD9" wp14:editId="6EFFF79E">
              <wp:simplePos x="0" y="0"/>
              <wp:positionH relativeFrom="page">
                <wp:align>left</wp:align>
              </wp:positionH>
              <wp:positionV relativeFrom="page">
                <wp:align>bottom</wp:align>
              </wp:positionV>
              <wp:extent cx="7772400" cy="463550"/>
              <wp:effectExtent l="0" t="0" r="0" b="12700"/>
              <wp:wrapNone/>
              <wp:docPr id="12" name="MSIPCM087043749e7e59ce7edbf658"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AF1A0" w14:textId="36009F95"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E3CDBD9" id="_x0000_t202" coordsize="21600,21600" o:spt="202" path="m,l,21600r21600,l21600,xe">
              <v:stroke joinstyle="miter"/>
              <v:path gradientshapeok="t" o:connecttype="rect"/>
            </v:shapetype>
            <v:shape id="MSIPCM087043749e7e59ce7edbf658" o:spid="_x0000_s1026" type="#_x0000_t202" alt="{&quot;HashCode&quot;:-1267603503,&quot;Height&quot;:9999999.0,&quot;Width&quot;:9999999.0,&quot;Placement&quot;:&quot;Footer&quot;,&quot;Index&quot;:&quot;Primary&quot;,&quot;Section&quot;:1,&quot;Top&quot;:0.0,&quot;Left&quot;:0.0}" style="position:absolute;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20DAF1A0" w14:textId="36009F95"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08A331B0" w14:textId="7F703CBB" w:rsidR="006435D9" w:rsidRPr="005828FE" w:rsidRDefault="006435D9" w:rsidP="0041689E">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C83DA6">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C83DA6">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E98E" w14:textId="7E3B8DC9" w:rsidR="006435D9" w:rsidRDefault="00B627A7" w:rsidP="00A516DE">
    <w:pPr>
      <w:pStyle w:val="Spacer"/>
    </w:pPr>
    <w:r>
      <w:rPr>
        <w:noProof/>
      </w:rPr>
      <mc:AlternateContent>
        <mc:Choice Requires="wps">
          <w:drawing>
            <wp:anchor distT="0" distB="0" distL="114300" distR="114300" simplePos="0" relativeHeight="251675135" behindDoc="0" locked="0" layoutInCell="0" allowOverlap="1" wp14:anchorId="4DBB4A82" wp14:editId="7B5933FC">
              <wp:simplePos x="0" y="0"/>
              <wp:positionH relativeFrom="page">
                <wp:align>left</wp:align>
              </wp:positionH>
              <wp:positionV relativeFrom="page">
                <wp:align>bottom</wp:align>
              </wp:positionV>
              <wp:extent cx="7772400" cy="463550"/>
              <wp:effectExtent l="0" t="0" r="0" b="12700"/>
              <wp:wrapNone/>
              <wp:docPr id="13" name="MSIPCM34134467a74e74b6c81bc8ce"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8EBB6" w14:textId="4015843A"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DBB4A82" id="_x0000_t202" coordsize="21600,21600" o:spt="202" path="m,l,21600r21600,l21600,xe">
              <v:stroke joinstyle="miter"/>
              <v:path gradientshapeok="t" o:connecttype="rect"/>
            </v:shapetype>
            <v:shape id="MSIPCM34134467a74e74b6c81bc8ce" o:spid="_x0000_s1027" type="#_x0000_t202" alt="{&quot;HashCode&quot;:-1267603503,&quot;Height&quot;:9999999.0,&quot;Width&quot;:9999999.0,&quot;Placement&quot;:&quot;Footer&quot;,&quot;Index&quot;:&quot;Primary&quot;,&quot;Section&quot;:2,&quot;Top&quot;:0.0,&quot;Left&quot;:0.0}" style="position:absolute;margin-left:0;margin-top:0;width:612pt;height:36.5pt;z-index:25167513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6388EBB6" w14:textId="4015843A"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046FCB39" w14:textId="2ACDAA37" w:rsidR="006435D9" w:rsidRPr="005828FE" w:rsidRDefault="006435D9" w:rsidP="00432E46">
    <w:pPr>
      <w:pStyle w:val="Footer"/>
      <w:tabs>
        <w:tab w:val="clear" w:pos="9026"/>
        <w:tab w:val="right" w:pos="14459"/>
      </w:tabs>
      <w:spacing w:before="0"/>
      <w:ind w:right="-773"/>
    </w:pPr>
    <w:r w:rsidRPr="005828FE">
      <w:rPr>
        <w:b/>
        <w:noProof w:val="0"/>
      </w:rPr>
      <w:fldChar w:fldCharType="begin"/>
    </w:r>
    <w:r w:rsidRPr="005828FE">
      <w:rPr>
        <w:b/>
      </w:rPr>
      <w:instrText xml:space="preserve"> StyleRef “FRD number” </w:instrText>
    </w:r>
    <w:r w:rsidRPr="005828FE">
      <w:rPr>
        <w:b/>
        <w:noProof w:val="0"/>
      </w:rPr>
      <w:fldChar w:fldCharType="separate"/>
    </w:r>
    <w:r w:rsidR="00C83DA6">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C83DA6">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6DEE" w14:textId="77777777" w:rsidR="006435D9" w:rsidRPr="00014213" w:rsidRDefault="006435D9" w:rsidP="00C022F9">
    <w:pPr>
      <w:pStyle w:val="Footer"/>
    </w:pPr>
    <w:r>
      <w:drawing>
        <wp:anchor distT="0" distB="0" distL="114300" distR="114300" simplePos="0" relativeHeight="251656192" behindDoc="0" locked="0" layoutInCell="1" allowOverlap="1" wp14:anchorId="4B282E10" wp14:editId="5F7BF56D">
          <wp:simplePos x="0" y="0"/>
          <wp:positionH relativeFrom="column">
            <wp:posOffset>4240861</wp:posOffset>
          </wp:positionH>
          <wp:positionV relativeFrom="page">
            <wp:posOffset>9493250</wp:posOffset>
          </wp:positionV>
          <wp:extent cx="1956435" cy="582930"/>
          <wp:effectExtent l="0" t="0" r="5715" b="7620"/>
          <wp:wrapNone/>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23C702C7" w14:textId="77777777" w:rsidR="006435D9" w:rsidRDefault="006435D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FA09" w14:textId="0A6EF11A" w:rsidR="006435D9" w:rsidRDefault="00B627A7" w:rsidP="00A516DE">
    <w:pPr>
      <w:pStyle w:val="Spacer"/>
    </w:pPr>
    <w:r>
      <w:rPr>
        <w:noProof/>
      </w:rPr>
      <mc:AlternateContent>
        <mc:Choice Requires="wps">
          <w:drawing>
            <wp:anchor distT="0" distB="0" distL="114300" distR="114300" simplePos="0" relativeHeight="251665663" behindDoc="0" locked="0" layoutInCell="0" allowOverlap="1" wp14:anchorId="5D2433DB" wp14:editId="199FEA3F">
              <wp:simplePos x="0" y="0"/>
              <wp:positionH relativeFrom="page">
                <wp:align>left</wp:align>
              </wp:positionH>
              <wp:positionV relativeFrom="page">
                <wp:align>bottom</wp:align>
              </wp:positionV>
              <wp:extent cx="7772400" cy="463550"/>
              <wp:effectExtent l="0" t="0" r="0" b="12700"/>
              <wp:wrapNone/>
              <wp:docPr id="14" name="MSIPCMcd5c4a969cdad1a06392435d"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9750E" w14:textId="1A52461C"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D2433DB" id="_x0000_t202" coordsize="21600,21600" o:spt="202" path="m,l,21600r21600,l21600,xe">
              <v:stroke joinstyle="miter"/>
              <v:path gradientshapeok="t" o:connecttype="rect"/>
            </v:shapetype>
            <v:shape id="MSIPCMcd5c4a969cdad1a06392435d" o:spid="_x0000_s1028" type="#_x0000_t202" alt="{&quot;HashCode&quot;:-1267603503,&quot;Height&quot;:9999999.0,&quot;Width&quot;:9999999.0,&quot;Placement&quot;:&quot;Footer&quot;,&quot;Index&quot;:&quot;Primary&quot;,&quot;Section&quot;:3,&quot;Top&quot;:0.0,&quot;Left&quot;:0.0}" style="position:absolute;margin-left:0;margin-top:0;width:612pt;height:36.5pt;z-index:25166566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59E9750E" w14:textId="1A52461C"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4AE50E53" w14:textId="5B7F2107" w:rsidR="006435D9" w:rsidRPr="005828FE" w:rsidRDefault="006435D9" w:rsidP="0041689E">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C83DA6">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C83DA6">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6E0F" w14:textId="0A90B818" w:rsidR="006435D9" w:rsidRDefault="00B627A7" w:rsidP="00A516DE">
    <w:pPr>
      <w:pStyle w:val="Spacer"/>
    </w:pPr>
    <w:r>
      <w:rPr>
        <w:noProof/>
      </w:rPr>
      <mc:AlternateContent>
        <mc:Choice Requires="wps">
          <w:drawing>
            <wp:anchor distT="0" distB="0" distL="114300" distR="114300" simplePos="0" relativeHeight="251683840" behindDoc="0" locked="0" layoutInCell="0" allowOverlap="1" wp14:anchorId="6CF3150E" wp14:editId="0E13D137">
              <wp:simplePos x="0" y="0"/>
              <wp:positionH relativeFrom="page">
                <wp:align>left</wp:align>
              </wp:positionH>
              <wp:positionV relativeFrom="page">
                <wp:align>bottom</wp:align>
              </wp:positionV>
              <wp:extent cx="7772400" cy="463550"/>
              <wp:effectExtent l="0" t="0" r="0" b="12700"/>
              <wp:wrapNone/>
              <wp:docPr id="16" name="MSIPCM402949108ab8845bf9e55701" descr="{&quot;HashCode&quot;:-126760350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A32FD" w14:textId="3E5F6058"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CF3150E" id="_x0000_t202" coordsize="21600,21600" o:spt="202" path="m,l,21600r21600,l21600,xe">
              <v:stroke joinstyle="miter"/>
              <v:path gradientshapeok="t" o:connecttype="rect"/>
            </v:shapetype>
            <v:shape id="MSIPCM402949108ab8845bf9e55701" o:spid="_x0000_s1029" type="#_x0000_t202" alt="{&quot;HashCode&quot;:-1267603503,&quot;Height&quot;:9999999.0,&quot;Width&quot;:9999999.0,&quot;Placement&quot;:&quot;Footer&quot;,&quot;Index&quot;:&quot;Primary&quot;,&quot;Section&quot;:5,&quot;Top&quot;:0.0,&quot;Left&quot;:0.0}" style="position:absolute;margin-left:0;margin-top:0;width:612pt;height:36.5pt;z-index:2516838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BW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XUxzLGF6kjjIZyY906uGuphLXx4&#10;FkhUU9u0vuGJDm2AasFZ4qwG/Pk3e4wnBsjLWUerU3L/Yy9QcWa+WeJmMiM04rIljQRMwufxdErK&#10;drDafXsPtJZj+iFOJjHGBjOIGqF9pfVexnLkElZS0ZLLgINyH067TB9EquUyhdFiORHWduNkTB4B&#10;jeC+9K8C3ZmBQNw9wrBfonhDxCn2RMVyH0A3iaUI8QnQM/K0lIm88weKW/+7nqKu3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yxZwVhsCAAAuBAAADgAAAAAAAAAAAAAAAAAuAgAAZHJzL2Uyb0RvYy54bWxQSwECLQAUAAYA&#10;CAAAACEA/vWNm9oAAAAFAQAADwAAAAAAAAAAAAAAAAB1BAAAZHJzL2Rvd25yZXYueG1sUEsFBgAA&#10;AAAEAAQA8wAAAHwFAAAAAA==&#10;" o:allowincell="f" filled="f" stroked="f" strokeweight=".5pt">
              <v:textbox inset="20pt,0,,0">
                <w:txbxContent>
                  <w:p w14:paraId="26EA32FD" w14:textId="3E5F6058"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42160207" w14:textId="14031C9A" w:rsidR="006435D9" w:rsidRPr="005828FE" w:rsidRDefault="006435D9" w:rsidP="0041689E">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C83DA6">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C83DA6">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8B5A" w14:textId="77777777" w:rsidR="000162F4" w:rsidRDefault="000162F4" w:rsidP="002D711A">
      <w:pPr>
        <w:spacing w:after="0" w:line="240" w:lineRule="auto"/>
      </w:pPr>
      <w:r>
        <w:separator/>
      </w:r>
    </w:p>
    <w:p w14:paraId="3097A641" w14:textId="77777777" w:rsidR="000162F4" w:rsidRDefault="000162F4"/>
  </w:footnote>
  <w:footnote w:type="continuationSeparator" w:id="0">
    <w:p w14:paraId="4459596F" w14:textId="77777777" w:rsidR="000162F4" w:rsidRDefault="000162F4" w:rsidP="002D711A">
      <w:pPr>
        <w:spacing w:after="0" w:line="240" w:lineRule="auto"/>
      </w:pPr>
      <w:r>
        <w:continuationSeparator/>
      </w:r>
    </w:p>
    <w:p w14:paraId="32C8BF55" w14:textId="77777777" w:rsidR="000162F4" w:rsidRDefault="00016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3F8" w14:textId="77777777" w:rsidR="006435D9" w:rsidRPr="0041689E" w:rsidRDefault="006435D9" w:rsidP="00432E46">
    <w:pPr>
      <w:pStyle w:val="Header"/>
      <w:tabs>
        <w:tab w:val="clear" w:pos="9026"/>
      </w:tabs>
      <w:ind w:right="-773"/>
      <w:jc w:val="right"/>
    </w:pPr>
    <w:r>
      <w:rPr>
        <w:noProof/>
      </w:rPr>
      <w:drawing>
        <wp:inline distT="0" distB="0" distL="0" distR="0" wp14:anchorId="26C7E428" wp14:editId="5D88A7CC">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50C3586E" w14:textId="77777777" w:rsidR="006435D9" w:rsidRDefault="006435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4A76" w14:textId="77777777" w:rsidR="006435D9" w:rsidRPr="0041689E" w:rsidRDefault="006435D9" w:rsidP="005828FE">
    <w:pPr>
      <w:pStyle w:val="Header"/>
      <w:tabs>
        <w:tab w:val="clear" w:pos="9026"/>
      </w:tabs>
      <w:ind w:right="-694"/>
      <w:jc w:val="right"/>
    </w:pPr>
    <w:r>
      <w:rPr>
        <w:noProof/>
      </w:rPr>
      <w:drawing>
        <wp:inline distT="0" distB="0" distL="0" distR="0" wp14:anchorId="371B6DE4" wp14:editId="32539281">
          <wp:extent cx="813816" cy="46634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3A4C50B5" w14:textId="77777777" w:rsidR="006435D9" w:rsidRDefault="006435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7FD44514"/>
    <w:multiLevelType w:val="multilevel"/>
    <w:tmpl w:val="40182A7E"/>
    <w:lvl w:ilvl="0">
      <w:start w:val="1"/>
      <w:numFmt w:val="lowerLetter"/>
      <w:pStyle w:val="Listnum"/>
      <w:lvlText w:val="(%1)"/>
      <w:lvlJc w:val="left"/>
      <w:pPr>
        <w:tabs>
          <w:tab w:val="num" w:pos="504"/>
        </w:tabs>
        <w:ind w:left="504" w:hanging="504"/>
      </w:pPr>
      <w:rPr>
        <w:rFonts w:hint="default"/>
        <w:b/>
        <w:bCs w:val="0"/>
      </w:rPr>
    </w:lvl>
    <w:lvl w:ilvl="1">
      <w:start w:val="1"/>
      <w:numFmt w:val="lowerRoman"/>
      <w:pStyle w:val="Listnum2"/>
      <w:lvlText w:val="(%2)"/>
      <w:lvlJc w:val="left"/>
      <w:pPr>
        <w:tabs>
          <w:tab w:val="num" w:pos="1008"/>
        </w:tabs>
        <w:ind w:left="1008" w:hanging="504"/>
      </w:pPr>
      <w:rPr>
        <w:rFonts w:hint="default"/>
        <w:b/>
        <w:bCs/>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92165777">
    <w:abstractNumId w:val="1"/>
  </w:num>
  <w:num w:numId="2" w16cid:durableId="1013453731">
    <w:abstractNumId w:val="1"/>
  </w:num>
  <w:num w:numId="3" w16cid:durableId="1116219990">
    <w:abstractNumId w:val="1"/>
  </w:num>
  <w:num w:numId="4" w16cid:durableId="2094935457">
    <w:abstractNumId w:val="5"/>
  </w:num>
  <w:num w:numId="5" w16cid:durableId="1507213528">
    <w:abstractNumId w:val="1"/>
  </w:num>
  <w:num w:numId="6" w16cid:durableId="733243046">
    <w:abstractNumId w:val="1"/>
  </w:num>
  <w:num w:numId="7" w16cid:durableId="803621368">
    <w:abstractNumId w:val="1"/>
  </w:num>
  <w:num w:numId="8" w16cid:durableId="906106572">
    <w:abstractNumId w:val="1"/>
  </w:num>
  <w:num w:numId="9" w16cid:durableId="832456210">
    <w:abstractNumId w:val="5"/>
  </w:num>
  <w:num w:numId="10" w16cid:durableId="1635717653">
    <w:abstractNumId w:val="5"/>
  </w:num>
  <w:num w:numId="11" w16cid:durableId="549925138">
    <w:abstractNumId w:val="5"/>
  </w:num>
  <w:num w:numId="12" w16cid:durableId="1817723901">
    <w:abstractNumId w:val="5"/>
  </w:num>
  <w:num w:numId="13" w16cid:durableId="2039311919">
    <w:abstractNumId w:val="5"/>
  </w:num>
  <w:num w:numId="14" w16cid:durableId="1971932454">
    <w:abstractNumId w:val="5"/>
  </w:num>
  <w:num w:numId="15" w16cid:durableId="1687049455">
    <w:abstractNumId w:val="5"/>
  </w:num>
  <w:num w:numId="16" w16cid:durableId="1981232380">
    <w:abstractNumId w:val="5"/>
  </w:num>
  <w:num w:numId="17" w16cid:durableId="416169416">
    <w:abstractNumId w:val="0"/>
  </w:num>
  <w:num w:numId="18" w16cid:durableId="453795052">
    <w:abstractNumId w:val="0"/>
  </w:num>
  <w:num w:numId="19" w16cid:durableId="198863113">
    <w:abstractNumId w:val="2"/>
  </w:num>
  <w:num w:numId="20" w16cid:durableId="1886212578">
    <w:abstractNumId w:val="4"/>
  </w:num>
  <w:num w:numId="21" w16cid:durableId="1671172908">
    <w:abstractNumId w:val="4"/>
  </w:num>
  <w:num w:numId="22" w16cid:durableId="835727095">
    <w:abstractNumId w:val="3"/>
  </w:num>
  <w:num w:numId="23" w16cid:durableId="473572347">
    <w:abstractNumId w:val="3"/>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4" w16cid:durableId="1173842163">
    <w:abstractNumId w:val="3"/>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5" w16cid:durableId="328409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1122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738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417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3749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5137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263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36045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2981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7945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0341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781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4613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9397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9128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4003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6FBF"/>
    <w:rsid w:val="0000176A"/>
    <w:rsid w:val="00012F6F"/>
    <w:rsid w:val="00014213"/>
    <w:rsid w:val="00014B55"/>
    <w:rsid w:val="000162F4"/>
    <w:rsid w:val="00020E3E"/>
    <w:rsid w:val="00023BF3"/>
    <w:rsid w:val="00026811"/>
    <w:rsid w:val="0004356D"/>
    <w:rsid w:val="00045296"/>
    <w:rsid w:val="00075E6C"/>
    <w:rsid w:val="00092C35"/>
    <w:rsid w:val="000B29AD"/>
    <w:rsid w:val="000B42D8"/>
    <w:rsid w:val="000C6372"/>
    <w:rsid w:val="000E392D"/>
    <w:rsid w:val="000F4288"/>
    <w:rsid w:val="000F7165"/>
    <w:rsid w:val="00102379"/>
    <w:rsid w:val="001065D6"/>
    <w:rsid w:val="00106E44"/>
    <w:rsid w:val="00117C6B"/>
    <w:rsid w:val="00121252"/>
    <w:rsid w:val="00124609"/>
    <w:rsid w:val="001254CE"/>
    <w:rsid w:val="001302DE"/>
    <w:rsid w:val="00134CEA"/>
    <w:rsid w:val="001422CC"/>
    <w:rsid w:val="001529C8"/>
    <w:rsid w:val="00154FDB"/>
    <w:rsid w:val="001617B6"/>
    <w:rsid w:val="00165E66"/>
    <w:rsid w:val="00182E3E"/>
    <w:rsid w:val="001943BA"/>
    <w:rsid w:val="001B621F"/>
    <w:rsid w:val="001C7BAE"/>
    <w:rsid w:val="001E31FA"/>
    <w:rsid w:val="001E64F6"/>
    <w:rsid w:val="001F663F"/>
    <w:rsid w:val="00201F7F"/>
    <w:rsid w:val="00204CB9"/>
    <w:rsid w:val="00215A48"/>
    <w:rsid w:val="00215F7C"/>
    <w:rsid w:val="00222BEB"/>
    <w:rsid w:val="00224B55"/>
    <w:rsid w:val="00225E60"/>
    <w:rsid w:val="00231BD3"/>
    <w:rsid w:val="0023202C"/>
    <w:rsid w:val="00236203"/>
    <w:rsid w:val="00245043"/>
    <w:rsid w:val="00257760"/>
    <w:rsid w:val="002752C5"/>
    <w:rsid w:val="00286F9A"/>
    <w:rsid w:val="00292D36"/>
    <w:rsid w:val="00297281"/>
    <w:rsid w:val="002A4004"/>
    <w:rsid w:val="002A79B8"/>
    <w:rsid w:val="002B3D01"/>
    <w:rsid w:val="002B4582"/>
    <w:rsid w:val="002B768B"/>
    <w:rsid w:val="002C54E0"/>
    <w:rsid w:val="002D711A"/>
    <w:rsid w:val="002D7336"/>
    <w:rsid w:val="002E3396"/>
    <w:rsid w:val="0031149C"/>
    <w:rsid w:val="00321AC8"/>
    <w:rsid w:val="003225E4"/>
    <w:rsid w:val="00344DD1"/>
    <w:rsid w:val="00345EDE"/>
    <w:rsid w:val="00356E16"/>
    <w:rsid w:val="00361426"/>
    <w:rsid w:val="003774C6"/>
    <w:rsid w:val="00382EE1"/>
    <w:rsid w:val="00385422"/>
    <w:rsid w:val="0038771C"/>
    <w:rsid w:val="0039405B"/>
    <w:rsid w:val="003A1C92"/>
    <w:rsid w:val="003A541A"/>
    <w:rsid w:val="003A6923"/>
    <w:rsid w:val="003A70D7"/>
    <w:rsid w:val="003C2C67"/>
    <w:rsid w:val="003C5BA4"/>
    <w:rsid w:val="003E3E26"/>
    <w:rsid w:val="003F1295"/>
    <w:rsid w:val="003F76FC"/>
    <w:rsid w:val="004002EB"/>
    <w:rsid w:val="0041689E"/>
    <w:rsid w:val="00421F2E"/>
    <w:rsid w:val="004236C8"/>
    <w:rsid w:val="00427681"/>
    <w:rsid w:val="00432E46"/>
    <w:rsid w:val="00433DB7"/>
    <w:rsid w:val="00435F57"/>
    <w:rsid w:val="00453750"/>
    <w:rsid w:val="00456941"/>
    <w:rsid w:val="00464F7E"/>
    <w:rsid w:val="0046697B"/>
    <w:rsid w:val="004701A1"/>
    <w:rsid w:val="004702EA"/>
    <w:rsid w:val="00482D02"/>
    <w:rsid w:val="004A7519"/>
    <w:rsid w:val="004B3F66"/>
    <w:rsid w:val="004D3518"/>
    <w:rsid w:val="004D62D6"/>
    <w:rsid w:val="004D71D7"/>
    <w:rsid w:val="004F163E"/>
    <w:rsid w:val="004F6445"/>
    <w:rsid w:val="00505BD7"/>
    <w:rsid w:val="00516FBF"/>
    <w:rsid w:val="0053416C"/>
    <w:rsid w:val="00541C2F"/>
    <w:rsid w:val="00554086"/>
    <w:rsid w:val="00563527"/>
    <w:rsid w:val="00565CF3"/>
    <w:rsid w:val="0057703D"/>
    <w:rsid w:val="0058124E"/>
    <w:rsid w:val="00582752"/>
    <w:rsid w:val="005828FE"/>
    <w:rsid w:val="0058475B"/>
    <w:rsid w:val="005875A3"/>
    <w:rsid w:val="005A3416"/>
    <w:rsid w:val="005B27FE"/>
    <w:rsid w:val="005B7730"/>
    <w:rsid w:val="005C3E6D"/>
    <w:rsid w:val="005D43E6"/>
    <w:rsid w:val="005D51F0"/>
    <w:rsid w:val="005F61DF"/>
    <w:rsid w:val="005F681F"/>
    <w:rsid w:val="006023F9"/>
    <w:rsid w:val="00610559"/>
    <w:rsid w:val="006332F6"/>
    <w:rsid w:val="00637F72"/>
    <w:rsid w:val="006435D9"/>
    <w:rsid w:val="006508C1"/>
    <w:rsid w:val="006519F6"/>
    <w:rsid w:val="00652625"/>
    <w:rsid w:val="006534B2"/>
    <w:rsid w:val="0065615D"/>
    <w:rsid w:val="00657011"/>
    <w:rsid w:val="006650B5"/>
    <w:rsid w:val="006651B1"/>
    <w:rsid w:val="00665778"/>
    <w:rsid w:val="00686684"/>
    <w:rsid w:val="006A5B34"/>
    <w:rsid w:val="006A5F5B"/>
    <w:rsid w:val="006B2873"/>
    <w:rsid w:val="006C77A9"/>
    <w:rsid w:val="006C78FB"/>
    <w:rsid w:val="006D66F9"/>
    <w:rsid w:val="006F6693"/>
    <w:rsid w:val="0070117D"/>
    <w:rsid w:val="00707FE8"/>
    <w:rsid w:val="00724962"/>
    <w:rsid w:val="00724A0F"/>
    <w:rsid w:val="00732162"/>
    <w:rsid w:val="00736732"/>
    <w:rsid w:val="00740302"/>
    <w:rsid w:val="0074281E"/>
    <w:rsid w:val="00745174"/>
    <w:rsid w:val="00750CBE"/>
    <w:rsid w:val="00766B5A"/>
    <w:rsid w:val="007834F2"/>
    <w:rsid w:val="00791020"/>
    <w:rsid w:val="007A5F82"/>
    <w:rsid w:val="007E1486"/>
    <w:rsid w:val="007F1A4C"/>
    <w:rsid w:val="008022C3"/>
    <w:rsid w:val="008041E6"/>
    <w:rsid w:val="008065D2"/>
    <w:rsid w:val="0082194C"/>
    <w:rsid w:val="008220C4"/>
    <w:rsid w:val="008222FF"/>
    <w:rsid w:val="008241FF"/>
    <w:rsid w:val="008411E9"/>
    <w:rsid w:val="0084200F"/>
    <w:rsid w:val="00843B2C"/>
    <w:rsid w:val="00863669"/>
    <w:rsid w:val="00882FF0"/>
    <w:rsid w:val="00890D56"/>
    <w:rsid w:val="008A4900"/>
    <w:rsid w:val="008B2A17"/>
    <w:rsid w:val="008C63EE"/>
    <w:rsid w:val="008D0281"/>
    <w:rsid w:val="008E30F3"/>
    <w:rsid w:val="008E3C4E"/>
    <w:rsid w:val="008E7779"/>
    <w:rsid w:val="008F6D45"/>
    <w:rsid w:val="00942CF8"/>
    <w:rsid w:val="00946E26"/>
    <w:rsid w:val="00957221"/>
    <w:rsid w:val="00962BE9"/>
    <w:rsid w:val="00963C94"/>
    <w:rsid w:val="009834C0"/>
    <w:rsid w:val="00986322"/>
    <w:rsid w:val="00986AAC"/>
    <w:rsid w:val="0099093E"/>
    <w:rsid w:val="009A1DA2"/>
    <w:rsid w:val="009A3704"/>
    <w:rsid w:val="009A4739"/>
    <w:rsid w:val="009A674F"/>
    <w:rsid w:val="009B199C"/>
    <w:rsid w:val="009B54C8"/>
    <w:rsid w:val="009B61F1"/>
    <w:rsid w:val="009B62E0"/>
    <w:rsid w:val="009C0EEB"/>
    <w:rsid w:val="009C3D88"/>
    <w:rsid w:val="009C503D"/>
    <w:rsid w:val="009D514C"/>
    <w:rsid w:val="009E3858"/>
    <w:rsid w:val="009E70DD"/>
    <w:rsid w:val="009F2ED9"/>
    <w:rsid w:val="009F3231"/>
    <w:rsid w:val="009F5C58"/>
    <w:rsid w:val="00A023A0"/>
    <w:rsid w:val="00A03F5F"/>
    <w:rsid w:val="00A154D2"/>
    <w:rsid w:val="00A1562B"/>
    <w:rsid w:val="00A170F4"/>
    <w:rsid w:val="00A20E84"/>
    <w:rsid w:val="00A2559E"/>
    <w:rsid w:val="00A25FD9"/>
    <w:rsid w:val="00A27243"/>
    <w:rsid w:val="00A46BA8"/>
    <w:rsid w:val="00A47634"/>
    <w:rsid w:val="00A516DE"/>
    <w:rsid w:val="00A612FE"/>
    <w:rsid w:val="00A70C1A"/>
    <w:rsid w:val="00A736BE"/>
    <w:rsid w:val="00AA26B8"/>
    <w:rsid w:val="00AA4D53"/>
    <w:rsid w:val="00AB3FE2"/>
    <w:rsid w:val="00AC11CF"/>
    <w:rsid w:val="00AC4B9D"/>
    <w:rsid w:val="00AD3322"/>
    <w:rsid w:val="00AD6BE8"/>
    <w:rsid w:val="00AD7E4E"/>
    <w:rsid w:val="00AF3D47"/>
    <w:rsid w:val="00AF48A0"/>
    <w:rsid w:val="00AF4D58"/>
    <w:rsid w:val="00AF6666"/>
    <w:rsid w:val="00B0072B"/>
    <w:rsid w:val="00B10154"/>
    <w:rsid w:val="00B21E65"/>
    <w:rsid w:val="00B53DF5"/>
    <w:rsid w:val="00B627A7"/>
    <w:rsid w:val="00B6366E"/>
    <w:rsid w:val="00B81B44"/>
    <w:rsid w:val="00B9053B"/>
    <w:rsid w:val="00B93C44"/>
    <w:rsid w:val="00B93DA8"/>
    <w:rsid w:val="00BC242E"/>
    <w:rsid w:val="00BC3422"/>
    <w:rsid w:val="00BC6691"/>
    <w:rsid w:val="00BF1154"/>
    <w:rsid w:val="00C015B9"/>
    <w:rsid w:val="00C022F9"/>
    <w:rsid w:val="00C032EA"/>
    <w:rsid w:val="00C04715"/>
    <w:rsid w:val="00C06EB5"/>
    <w:rsid w:val="00C1145F"/>
    <w:rsid w:val="00C44596"/>
    <w:rsid w:val="00C6242D"/>
    <w:rsid w:val="00C637E1"/>
    <w:rsid w:val="00C70D50"/>
    <w:rsid w:val="00C83DA6"/>
    <w:rsid w:val="00C907D7"/>
    <w:rsid w:val="00C92338"/>
    <w:rsid w:val="00CA1DC8"/>
    <w:rsid w:val="00CA70CE"/>
    <w:rsid w:val="00CA7C3A"/>
    <w:rsid w:val="00CB4622"/>
    <w:rsid w:val="00CC2DB2"/>
    <w:rsid w:val="00CD0307"/>
    <w:rsid w:val="00CD1647"/>
    <w:rsid w:val="00CD3D1B"/>
    <w:rsid w:val="00CF182E"/>
    <w:rsid w:val="00CF7DCA"/>
    <w:rsid w:val="00D0364F"/>
    <w:rsid w:val="00D211E9"/>
    <w:rsid w:val="00D2312F"/>
    <w:rsid w:val="00D269C1"/>
    <w:rsid w:val="00D44953"/>
    <w:rsid w:val="00D45E19"/>
    <w:rsid w:val="00D542F3"/>
    <w:rsid w:val="00D5644B"/>
    <w:rsid w:val="00D56E25"/>
    <w:rsid w:val="00D718D7"/>
    <w:rsid w:val="00D814B7"/>
    <w:rsid w:val="00D85C54"/>
    <w:rsid w:val="00D90688"/>
    <w:rsid w:val="00DA3AAD"/>
    <w:rsid w:val="00DA7832"/>
    <w:rsid w:val="00DB312B"/>
    <w:rsid w:val="00DC5654"/>
    <w:rsid w:val="00DC658F"/>
    <w:rsid w:val="00DD5EB6"/>
    <w:rsid w:val="00DE60CC"/>
    <w:rsid w:val="00DF40DF"/>
    <w:rsid w:val="00DF5B90"/>
    <w:rsid w:val="00E122DB"/>
    <w:rsid w:val="00E1551F"/>
    <w:rsid w:val="00E20142"/>
    <w:rsid w:val="00E26B32"/>
    <w:rsid w:val="00E30E0A"/>
    <w:rsid w:val="00E3232B"/>
    <w:rsid w:val="00E368E5"/>
    <w:rsid w:val="00E407B6"/>
    <w:rsid w:val="00E41EF1"/>
    <w:rsid w:val="00E42942"/>
    <w:rsid w:val="00E468A6"/>
    <w:rsid w:val="00E57682"/>
    <w:rsid w:val="00E71BDF"/>
    <w:rsid w:val="00E83CA7"/>
    <w:rsid w:val="00E93DEC"/>
    <w:rsid w:val="00EA03A3"/>
    <w:rsid w:val="00EA6995"/>
    <w:rsid w:val="00EC171D"/>
    <w:rsid w:val="00ED487E"/>
    <w:rsid w:val="00EE7A0D"/>
    <w:rsid w:val="00EF2A7E"/>
    <w:rsid w:val="00F17CE1"/>
    <w:rsid w:val="00F2115C"/>
    <w:rsid w:val="00F22ABA"/>
    <w:rsid w:val="00F23366"/>
    <w:rsid w:val="00F36B12"/>
    <w:rsid w:val="00F55AF4"/>
    <w:rsid w:val="00F60F9F"/>
    <w:rsid w:val="00F64F08"/>
    <w:rsid w:val="00F734F5"/>
    <w:rsid w:val="00F86A81"/>
    <w:rsid w:val="00F966B1"/>
    <w:rsid w:val="00F97D48"/>
    <w:rsid w:val="00FA0311"/>
    <w:rsid w:val="00FA1680"/>
    <w:rsid w:val="00FA68F8"/>
    <w:rsid w:val="00FB1EC9"/>
    <w:rsid w:val="00FC42E5"/>
    <w:rsid w:val="00FD640F"/>
    <w:rsid w:val="00FD6B4C"/>
    <w:rsid w:val="00FE045D"/>
    <w:rsid w:val="00FE782F"/>
    <w:rsid w:val="00FF051E"/>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B90D"/>
  <w15:docId w15:val="{8E8B0ACC-B92B-4B09-8A98-83CB34E1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EC"/>
    <w:pPr>
      <w:spacing w:before="160" w:after="100"/>
    </w:pPr>
    <w:rPr>
      <w:spacing w:val="2"/>
      <w:sz w:val="18"/>
    </w:rPr>
  </w:style>
  <w:style w:type="paragraph" w:styleId="Heading1">
    <w:name w:val="heading 1"/>
    <w:next w:val="Normal"/>
    <w:link w:val="Heading1Char"/>
    <w:uiPriority w:val="99"/>
    <w:rsid w:val="00E20142"/>
    <w:pPr>
      <w:keepNext/>
      <w:keepLines/>
      <w:spacing w:before="600" w:after="600"/>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uiPriority w:val="99"/>
    <w:rsid w:val="00E20142"/>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semiHidden/>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semiHidden/>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B3F66"/>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uiPriority w:val="99"/>
    <w:rsid w:val="00962BE9"/>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uiPriority w:val="99"/>
    <w:rsid w:val="00962BE9"/>
    <w:rPr>
      <w:rFonts w:asciiTheme="majorHAnsi" w:eastAsiaTheme="majorEastAsia" w:hAnsiTheme="majorHAnsi" w:cstheme="majorBidi"/>
      <w:b/>
      <w:bCs/>
      <w:color w:val="7F7F7F" w:themeColor="text1" w:themeTint="80"/>
      <w:spacing w:val="2"/>
      <w:sz w:val="28"/>
      <w:szCs w:val="26"/>
    </w:rPr>
  </w:style>
  <w:style w:type="paragraph" w:customStyle="1" w:styleId="Bullet1">
    <w:name w:val="Bullet 1"/>
    <w:uiPriority w:val="2"/>
    <w:qFormat/>
    <w:rsid w:val="00B93C44"/>
    <w:pPr>
      <w:numPr>
        <w:numId w:val="8"/>
      </w:numPr>
      <w:spacing w:before="160" w:after="0" w:line="240" w:lineRule="auto"/>
      <w:contextualSpacing/>
    </w:pPr>
    <w:rPr>
      <w:rFonts w:eastAsia="Times New Roman" w:cs="Calibri"/>
      <w:spacing w:val="2"/>
      <w:sz w:val="18"/>
    </w:rPr>
  </w:style>
  <w:style w:type="paragraph" w:customStyle="1" w:styleId="Bullet2">
    <w:name w:val="Bullet 2"/>
    <w:basedOn w:val="Bullet1"/>
    <w:uiPriority w:val="2"/>
    <w:qFormat/>
    <w:rsid w:val="0099093E"/>
    <w:pPr>
      <w:numPr>
        <w:ilvl w:val="1"/>
      </w:numPr>
      <w:spacing w:before="0"/>
    </w:pPr>
  </w:style>
  <w:style w:type="paragraph" w:customStyle="1" w:styleId="Bulletindent">
    <w:name w:val="Bullet indent"/>
    <w:basedOn w:val="Bullet2"/>
    <w:uiPriority w:val="7"/>
    <w:qFormat/>
    <w:rsid w:val="00EC171D"/>
    <w:pPr>
      <w:numPr>
        <w:ilvl w:val="2"/>
      </w:numPr>
    </w:pPr>
  </w:style>
  <w:style w:type="paragraph" w:customStyle="1" w:styleId="Heading1numbered">
    <w:name w:val="Heading 1 numbered"/>
    <w:basedOn w:val="Heading1"/>
    <w:next w:val="NormalIndent"/>
    <w:uiPriority w:val="4"/>
    <w:semiHidden/>
    <w:qFormat/>
    <w:rsid w:val="00EC171D"/>
  </w:style>
  <w:style w:type="paragraph" w:customStyle="1" w:styleId="Heading2numbered">
    <w:name w:val="Heading 2 numbered"/>
    <w:basedOn w:val="Heading2"/>
    <w:next w:val="NormalIndent"/>
    <w:uiPriority w:val="4"/>
    <w:semiHidden/>
    <w:qFormat/>
    <w:rsid w:val="00EC171D"/>
  </w:style>
  <w:style w:type="paragraph" w:customStyle="1" w:styleId="Heading3numbered">
    <w:name w:val="Heading 3 numbered"/>
    <w:basedOn w:val="Heading3"/>
    <w:next w:val="NormalIndent"/>
    <w:uiPriority w:val="4"/>
    <w:semiHidden/>
    <w:qFormat/>
    <w:rsid w:val="00EC171D"/>
    <w:pPr>
      <w:numPr>
        <w:ilvl w:val="4"/>
        <w:numId w:val="16"/>
      </w:numPr>
    </w:pPr>
  </w:style>
  <w:style w:type="character" w:customStyle="1" w:styleId="Heading3Char">
    <w:name w:val="Heading 3 Char"/>
    <w:basedOn w:val="DefaultParagraphFont"/>
    <w:link w:val="Heading3"/>
    <w:semiHidden/>
    <w:rsid w:val="001302DE"/>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semiHidden/>
    <w:qFormat/>
    <w:rsid w:val="00EC171D"/>
    <w:pPr>
      <w:numPr>
        <w:ilvl w:val="5"/>
        <w:numId w:val="16"/>
      </w:numPr>
    </w:pPr>
  </w:style>
  <w:style w:type="character" w:customStyle="1" w:styleId="Heading4Char">
    <w:name w:val="Heading 4 Char"/>
    <w:basedOn w:val="DefaultParagraphFont"/>
    <w:link w:val="Heading4"/>
    <w:semiHidden/>
    <w:rsid w:val="001302DE"/>
    <w:rPr>
      <w:rFonts w:asciiTheme="majorHAnsi" w:eastAsiaTheme="majorEastAsia" w:hAnsiTheme="majorHAnsi" w:cstheme="majorBidi"/>
      <w:b/>
      <w:bCs/>
      <w:iCs/>
      <w:color w:val="53565A"/>
      <w:spacing w:val="2"/>
    </w:rPr>
  </w:style>
  <w:style w:type="paragraph" w:styleId="NormalIndent">
    <w:name w:val="Normal Indent"/>
    <w:basedOn w:val="Normal"/>
    <w:qFormat/>
    <w:rsid w:val="004B3F66"/>
    <w:pPr>
      <w:spacing w:line="252" w:lineRule="auto"/>
      <w:ind w:left="568" w:hanging="284"/>
    </w:pPr>
  </w:style>
  <w:style w:type="paragraph" w:customStyle="1" w:styleId="NoteNormal">
    <w:name w:val="Note Normal"/>
    <w:basedOn w:val="Normal"/>
    <w:uiPriority w:val="49"/>
    <w:rsid w:val="00E368E5"/>
    <w:pPr>
      <w:keepNext/>
      <w:keepLines/>
      <w:spacing w:before="20" w:after="2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semiHidden/>
    <w:rsid w:val="00F23366"/>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semiHidden/>
    <w:rsid w:val="00EC171D"/>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semiHidden/>
    <w:rsid w:val="00EC171D"/>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semiHidden/>
    <w:rsid w:val="00F23366"/>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7"/>
    <w:qFormat/>
    <w:rsid w:val="00EC171D"/>
    <w:pPr>
      <w:numPr>
        <w:ilvl w:val="3"/>
        <w:numId w:val="8"/>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EC171D"/>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EC171D"/>
    <w:rPr>
      <w:noProof/>
      <w:spacing w:val="2"/>
      <w:sz w:val="18"/>
      <w:szCs w:val="18"/>
    </w:rPr>
  </w:style>
  <w:style w:type="character" w:styleId="PageNumber">
    <w:name w:val="page number"/>
    <w:uiPriority w:val="49"/>
    <w:semiHidden/>
    <w:rsid w:val="00745174"/>
    <w:rPr>
      <w:b w:val="0"/>
      <w:color w:val="000000" w:themeColor="text1"/>
    </w:rPr>
  </w:style>
  <w:style w:type="paragraph" w:styleId="TOCHeading">
    <w:name w:val="TOC Heading"/>
    <w:basedOn w:val="Heading1"/>
    <w:next w:val="Normal"/>
    <w:uiPriority w:val="39"/>
    <w:semiHidden/>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semiHidden/>
    <w:rsid w:val="00EC171D"/>
    <w:pPr>
      <w:ind w:left="450" w:hanging="450"/>
    </w:pPr>
    <w:rPr>
      <w:noProof/>
      <w:lang w:eastAsia="en-US"/>
    </w:rPr>
  </w:style>
  <w:style w:type="paragraph" w:styleId="TOC5">
    <w:name w:val="toc 5"/>
    <w:basedOn w:val="TOC2"/>
    <w:next w:val="Normal"/>
    <w:uiPriority w:val="39"/>
    <w:semiHidden/>
    <w:rsid w:val="00EC171D"/>
    <w:pPr>
      <w:ind w:left="1080" w:hanging="634"/>
    </w:pPr>
    <w:rPr>
      <w:lang w:eastAsia="en-US"/>
    </w:rPr>
  </w:style>
  <w:style w:type="paragraph" w:styleId="TOC6">
    <w:name w:val="toc 6"/>
    <w:basedOn w:val="TOC3"/>
    <w:next w:val="Normal"/>
    <w:uiPriority w:val="39"/>
    <w:semiHidden/>
    <w:rsid w:val="00EC171D"/>
    <w:pPr>
      <w:ind w:left="1800" w:hanging="720"/>
    </w:pPr>
    <w:rPr>
      <w:lang w:eastAsia="en-US"/>
    </w:rPr>
  </w:style>
  <w:style w:type="table" w:customStyle="1" w:styleId="DTFtexttable">
    <w:name w:val="DTF text table"/>
    <w:basedOn w:val="TableGrid"/>
    <w:uiPriority w:val="99"/>
    <w:rsid w:val="004B3F66"/>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val="0"/>
        <w:i/>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9"/>
    <w:qFormat/>
    <w:rsid w:val="00652625"/>
    <w:pPr>
      <w:spacing w:before="60" w:after="60" w:line="264" w:lineRule="auto"/>
    </w:pPr>
    <w:rPr>
      <w:sz w:val="17"/>
    </w:rPr>
  </w:style>
  <w:style w:type="paragraph" w:customStyle="1" w:styleId="Tabletextright">
    <w:name w:val="Table text right"/>
    <w:basedOn w:val="Tabletext"/>
    <w:uiPriority w:val="8"/>
    <w:qFormat/>
    <w:rsid w:val="00EC171D"/>
    <w:pPr>
      <w:jc w:val="right"/>
    </w:pPr>
  </w:style>
  <w:style w:type="paragraph" w:customStyle="1" w:styleId="Listnumindent2">
    <w:name w:val="List num indent 2"/>
    <w:basedOn w:val="Normal"/>
    <w:uiPriority w:val="7"/>
    <w:qFormat/>
    <w:rsid w:val="00EC171D"/>
    <w:pPr>
      <w:numPr>
        <w:ilvl w:val="7"/>
        <w:numId w:val="16"/>
      </w:numPr>
      <w:spacing w:before="100"/>
      <w:contextualSpacing/>
    </w:pPr>
  </w:style>
  <w:style w:type="paragraph" w:customStyle="1" w:styleId="Listnumindent">
    <w:name w:val="List num indent"/>
    <w:basedOn w:val="Normal"/>
    <w:uiPriority w:val="7"/>
    <w:qFormat/>
    <w:rsid w:val="00EC171D"/>
    <w:pPr>
      <w:numPr>
        <w:ilvl w:val="6"/>
        <w:numId w:val="16"/>
      </w:numPr>
      <w:spacing w:before="100"/>
    </w:pPr>
  </w:style>
  <w:style w:type="paragraph" w:customStyle="1" w:styleId="Listnum">
    <w:name w:val="List num"/>
    <w:basedOn w:val="Normal"/>
    <w:autoRedefine/>
    <w:uiPriority w:val="1"/>
    <w:qFormat/>
    <w:rsid w:val="000B42D8"/>
    <w:pPr>
      <w:numPr>
        <w:numId w:val="4"/>
      </w:numPr>
      <w:spacing w:before="40" w:after="0"/>
      <w:ind w:left="505" w:hanging="505"/>
    </w:pPr>
  </w:style>
  <w:style w:type="paragraph" w:customStyle="1" w:styleId="Listnum2">
    <w:name w:val="List num 2"/>
    <w:basedOn w:val="Normal"/>
    <w:uiPriority w:val="1"/>
    <w:qFormat/>
    <w:rsid w:val="00117C6B"/>
    <w:pPr>
      <w:numPr>
        <w:ilvl w:val="1"/>
        <w:numId w:val="16"/>
      </w:numPr>
      <w:contextualSpacing/>
    </w:pPr>
  </w:style>
  <w:style w:type="paragraph" w:customStyle="1" w:styleId="Tabletextcentred">
    <w:name w:val="Table text centred"/>
    <w:basedOn w:val="Tabletext"/>
    <w:uiPriority w:val="8"/>
    <w:qFormat/>
    <w:rsid w:val="00EC171D"/>
    <w:pPr>
      <w:jc w:val="center"/>
    </w:pPr>
  </w:style>
  <w:style w:type="paragraph" w:customStyle="1" w:styleId="Tableheader">
    <w:name w:val="Table header"/>
    <w:basedOn w:val="Tabletext"/>
    <w:uiPriority w:val="8"/>
    <w:qFormat/>
    <w:rsid w:val="0000176A"/>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D211E9"/>
    <w:pPr>
      <w:numPr>
        <w:numId w:val="18"/>
      </w:numPr>
    </w:pPr>
  </w:style>
  <w:style w:type="paragraph" w:customStyle="1" w:styleId="Tabledash">
    <w:name w:val="Table dash"/>
    <w:basedOn w:val="Tablebullet"/>
    <w:uiPriority w:val="9"/>
    <w:rsid w:val="00D211E9"/>
    <w:pPr>
      <w:numPr>
        <w:ilvl w:val="1"/>
      </w:numPr>
    </w:pPr>
  </w:style>
  <w:style w:type="paragraph" w:customStyle="1" w:styleId="Tabletextindent">
    <w:name w:val="Table text indent"/>
    <w:basedOn w:val="Tabletext"/>
    <w:uiPriority w:val="8"/>
    <w:qFormat/>
    <w:rsid w:val="00D211E9"/>
    <w:pPr>
      <w:ind w:left="288"/>
    </w:pPr>
  </w:style>
  <w:style w:type="paragraph" w:customStyle="1" w:styleId="FRDHeader">
    <w:name w:val="FRD Header"/>
    <w:basedOn w:val="Normal"/>
    <w:semiHidden/>
    <w:rsid w:val="00E122DB"/>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E122DB"/>
  </w:style>
  <w:style w:type="paragraph" w:customStyle="1" w:styleId="Normalgrey">
    <w:name w:val="Normal grey"/>
    <w:basedOn w:val="Normal"/>
    <w:uiPriority w:val="2"/>
    <w:qFormat/>
    <w:rsid w:val="00382EE1"/>
    <w:pPr>
      <w:spacing w:line="264" w:lineRule="auto"/>
    </w:pPr>
    <w:rPr>
      <w:rFonts w:eastAsiaTheme="minorHAnsi"/>
      <w:color w:val="4D4D4D"/>
      <w:szCs w:val="18"/>
      <w:lang w:eastAsia="en-US"/>
    </w:rPr>
  </w:style>
  <w:style w:type="paragraph" w:customStyle="1" w:styleId="Bullet1grey">
    <w:name w:val="Bullet 1 grey"/>
    <w:basedOn w:val="Bullet1"/>
    <w:uiPriority w:val="3"/>
    <w:qFormat/>
    <w:rsid w:val="00092C35"/>
    <w:pPr>
      <w:spacing w:before="60"/>
      <w:ind w:left="289" w:hanging="289"/>
      <w:contextualSpacing w:val="0"/>
    </w:pPr>
    <w:rPr>
      <w:color w:val="4D4D4D"/>
      <w:szCs w:val="18"/>
      <w:lang w:eastAsia="en-US"/>
    </w:rPr>
  </w:style>
  <w:style w:type="paragraph" w:customStyle="1" w:styleId="Normalbold">
    <w:name w:val="Normal bold"/>
    <w:basedOn w:val="Normal"/>
    <w:qFormat/>
    <w:rsid w:val="00A516DE"/>
    <w:pPr>
      <w:spacing w:line="264" w:lineRule="auto"/>
    </w:pPr>
    <w:rPr>
      <w:rFonts w:eastAsiaTheme="minorHAnsi"/>
      <w:b/>
      <w:szCs w:val="18"/>
      <w:lang w:eastAsia="en-US"/>
    </w:rPr>
  </w:style>
  <w:style w:type="paragraph" w:customStyle="1" w:styleId="Refnum1">
    <w:name w:val="Ref num 1"/>
    <w:basedOn w:val="Normal"/>
    <w:uiPriority w:val="7"/>
    <w:rsid w:val="00DD5EB6"/>
    <w:pPr>
      <w:numPr>
        <w:numId w:val="22"/>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957221"/>
    <w:pPr>
      <w:numPr>
        <w:ilvl w:val="2"/>
      </w:numPr>
    </w:pPr>
    <w:rPr>
      <w:color w:val="auto"/>
    </w:rPr>
  </w:style>
  <w:style w:type="paragraph" w:customStyle="1" w:styleId="Bullet2grey">
    <w:name w:val="Bullet 2 grey"/>
    <w:basedOn w:val="Bullet2"/>
    <w:uiPriority w:val="3"/>
    <w:qFormat/>
    <w:rsid w:val="0099093E"/>
    <w:rPr>
      <w:color w:val="4D4D4D"/>
      <w:szCs w:val="21"/>
      <w:lang w:eastAsia="en-US"/>
    </w:rPr>
  </w:style>
  <w:style w:type="paragraph" w:customStyle="1" w:styleId="Listnumgrey">
    <w:name w:val="List num grey"/>
    <w:uiPriority w:val="3"/>
    <w:qFormat/>
    <w:rsid w:val="00FA1680"/>
    <w:pPr>
      <w:numPr>
        <w:ilvl w:val="2"/>
        <w:numId w:val="16"/>
      </w:numPr>
      <w:spacing w:line="264" w:lineRule="auto"/>
    </w:pPr>
    <w:rPr>
      <w:rFonts w:eastAsiaTheme="minorHAnsi"/>
      <w:color w:val="4D4D4D"/>
      <w:spacing w:val="2"/>
      <w:sz w:val="18"/>
      <w:szCs w:val="21"/>
      <w:lang w:eastAsia="en-US"/>
    </w:rPr>
  </w:style>
  <w:style w:type="paragraph" w:customStyle="1" w:styleId="Listnum2grey">
    <w:name w:val="List num 2 grey"/>
    <w:uiPriority w:val="4"/>
    <w:qFormat/>
    <w:rsid w:val="00FA1680"/>
    <w:pPr>
      <w:numPr>
        <w:ilvl w:val="3"/>
        <w:numId w:val="16"/>
      </w:numPr>
      <w:spacing w:line="264" w:lineRule="auto"/>
    </w:pPr>
    <w:rPr>
      <w:rFonts w:eastAsiaTheme="minorHAnsi"/>
      <w:color w:val="4D4D4D"/>
      <w:spacing w:val="2"/>
      <w:sz w:val="18"/>
      <w:szCs w:val="21"/>
      <w:lang w:eastAsia="en-US"/>
    </w:rPr>
  </w:style>
  <w:style w:type="paragraph" w:customStyle="1" w:styleId="Refnum1grey">
    <w:name w:val="Ref num 1 grey"/>
    <w:basedOn w:val="Refnum1"/>
    <w:uiPriority w:val="7"/>
    <w:qFormat/>
    <w:rsid w:val="00DD5EB6"/>
    <w:rPr>
      <w:color w:val="F2F2F2" w:themeColor="background1" w:themeShade="F2"/>
    </w:rPr>
  </w:style>
  <w:style w:type="paragraph" w:customStyle="1" w:styleId="Refnum2grey">
    <w:name w:val="Ref num 2 grey"/>
    <w:basedOn w:val="Normal"/>
    <w:rsid w:val="006B2873"/>
    <w:pPr>
      <w:numPr>
        <w:ilvl w:val="1"/>
        <w:numId w:val="22"/>
      </w:numPr>
    </w:pPr>
  </w:style>
  <w:style w:type="paragraph" w:customStyle="1" w:styleId="Normalgreybold">
    <w:name w:val="Normal grey bold"/>
    <w:basedOn w:val="Normalgrey"/>
    <w:qFormat/>
    <w:rsid w:val="00E20142"/>
    <w:rPr>
      <w:b/>
    </w:rPr>
  </w:style>
  <w:style w:type="paragraph" w:customStyle="1" w:styleId="NormalIndentgrey">
    <w:name w:val="Normal Indent grey"/>
    <w:basedOn w:val="NormalIndent"/>
    <w:qFormat/>
    <w:rsid w:val="00FE782F"/>
    <w:rPr>
      <w:color w:val="4D4D4D"/>
      <w:szCs w:val="21"/>
    </w:rPr>
  </w:style>
  <w:style w:type="paragraph" w:styleId="Caption">
    <w:name w:val="caption"/>
    <w:basedOn w:val="Normal"/>
    <w:next w:val="Normal"/>
    <w:uiPriority w:val="99"/>
    <w:rsid w:val="004F6445"/>
    <w:pPr>
      <w:spacing w:before="0" w:after="200" w:line="240" w:lineRule="auto"/>
    </w:pPr>
    <w:rPr>
      <w:b/>
      <w:bCs/>
      <w:szCs w:val="18"/>
    </w:rPr>
  </w:style>
  <w:style w:type="paragraph" w:customStyle="1" w:styleId="Tablechartdiagramheading">
    <w:name w:val="Table/chart/diagram heading"/>
    <w:uiPriority w:val="99"/>
    <w:qFormat/>
    <w:rsid w:val="004F6445"/>
    <w:pPr>
      <w:tabs>
        <w:tab w:val="left" w:pos="1080"/>
      </w:tabs>
      <w:spacing w:before="160" w:after="100"/>
    </w:pPr>
    <w:rPr>
      <w:b/>
      <w:bCs/>
      <w:color w:val="404040" w:themeColor="text1" w:themeTint="BF"/>
      <w:spacing w:val="2"/>
      <w:sz w:val="18"/>
      <w:szCs w:val="18"/>
    </w:rPr>
  </w:style>
  <w:style w:type="paragraph" w:styleId="NormalWeb">
    <w:name w:val="Normal (Web)"/>
    <w:basedOn w:val="Normal"/>
    <w:uiPriority w:val="99"/>
    <w:semiHidden/>
    <w:unhideWhenUsed/>
    <w:rsid w:val="005B7730"/>
    <w:pPr>
      <w:spacing w:before="100" w:beforeAutospacing="1" w:afterAutospacing="1" w:line="240" w:lineRule="auto"/>
    </w:pPr>
    <w:rPr>
      <w:rFonts w:ascii="Times New Roman" w:hAnsi="Times New Roman" w:cs="Times New Roman"/>
      <w:spacing w:val="0"/>
      <w:sz w:val="24"/>
      <w:szCs w:val="24"/>
    </w:rPr>
  </w:style>
  <w:style w:type="paragraph" w:styleId="Revision">
    <w:name w:val="Revision"/>
    <w:hidden/>
    <w:uiPriority w:val="99"/>
    <w:semiHidden/>
    <w:rsid w:val="00A70C1A"/>
    <w:pPr>
      <w:spacing w:after="0" w:line="240" w:lineRule="auto"/>
    </w:pPr>
    <w:rPr>
      <w:spacing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ca.vic.gov.au\DTF_APPS01$\DTF\ZEN\Template\FRD%20template.dotx" TargetMode="External"/></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DEBCF4A-1A5B-4A23-AA91-75928F741CE8}">
  <ds:schemaRefs>
    <ds:schemaRef ds:uri="http://schemas.openxmlformats.org/officeDocument/2006/bibliography"/>
  </ds:schemaRefs>
</ds:datastoreItem>
</file>

<file path=customXml/itemProps2.xml><?xml version="1.0" encoding="utf-8"?>
<ds:datastoreItem xmlns:ds="http://schemas.openxmlformats.org/officeDocument/2006/customXml" ds:itemID="{7280C5D3-678A-498A-BE91-84618D73F6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FRD template.dotx</Template>
  <TotalTime>3</TotalTime>
  <Pages>16</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Anlezark</dc:creator>
  <cp:lastModifiedBy>Constance Yuan (DTF)</cp:lastModifiedBy>
  <cp:revision>5</cp:revision>
  <cp:lastPrinted>2016-03-03T04:13:00Z</cp:lastPrinted>
  <dcterms:created xsi:type="dcterms:W3CDTF">2022-04-28T02:52:00Z</dcterms:created>
  <dcterms:modified xsi:type="dcterms:W3CDTF">2026-05-13T05:29:00Z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554b25c6-201a-4259-ba48-643a70c026bd</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2022-04-28T02:52:20Z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cc5b007b-d171-4c78-9f73-fdfdcd48db2f</vt:lpwstr>
  </property>
  <property fmtid="{D5CDD505-2E9C-101B-9397-08002B2CF9AE}" pid="11" name="MSIP_Label_7158ebbd-6c5e-441f-bfc9-4eb8c11e3978_ContentBits">
    <vt:lpwstr>2</vt:lpwstr>
  </property>
</Properties>
</file>