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D9A260" w14:textId="6F3BF9DC" w:rsidR="00045296" w:rsidRPr="00561E4A" w:rsidRDefault="006D5CDD" w:rsidP="009A3986">
      <w:pPr>
        <w:pStyle w:val="Title"/>
        <w:rPr>
          <w:i/>
          <w:iCs/>
        </w:rPr>
      </w:pPr>
      <w:bookmarkStart w:id="0" w:name="_Toc442780672"/>
      <w:r w:rsidRPr="00561E4A">
        <w:t>Guidance on</w:t>
      </w:r>
      <w:r w:rsidR="002F43A3" w:rsidRPr="00561E4A">
        <w:t xml:space="preserve"> the </w:t>
      </w:r>
      <w:r w:rsidR="00561E4A" w:rsidRPr="00561E4A">
        <w:t xml:space="preserve">application of </w:t>
      </w:r>
      <w:r w:rsidR="00561E4A">
        <w:t xml:space="preserve">the cost </w:t>
      </w:r>
      <w:r w:rsidR="00561E4A" w:rsidRPr="009A3986">
        <w:t>model</w:t>
      </w:r>
      <w:r w:rsidR="00561E4A">
        <w:t xml:space="preserve"> for right-of-use assets</w:t>
      </w:r>
    </w:p>
    <w:p w14:paraId="73261785" w14:textId="329E58B9" w:rsidR="00561E4A" w:rsidRDefault="00E22A8E" w:rsidP="009A3986">
      <w:r>
        <w:t xml:space="preserve">From reporting periods ending </w:t>
      </w:r>
      <w:r w:rsidR="000C76D4">
        <w:t xml:space="preserve">on or after </w:t>
      </w:r>
      <w:r>
        <w:t xml:space="preserve">30 June 2026, </w:t>
      </w:r>
      <w:r w:rsidR="005F22F4">
        <w:t xml:space="preserve">Financial Reporting Direction 104 </w:t>
      </w:r>
      <w:r w:rsidR="005F22F4">
        <w:rPr>
          <w:i/>
          <w:iCs/>
        </w:rPr>
        <w:t xml:space="preserve">Leases </w:t>
      </w:r>
      <w:r w:rsidR="005F22F4">
        <w:t xml:space="preserve">(FRD 104) </w:t>
      </w:r>
      <w:r>
        <w:t xml:space="preserve">has mandated the use of </w:t>
      </w:r>
      <w:r w:rsidR="00D30A2A">
        <w:t xml:space="preserve">the </w:t>
      </w:r>
      <w:r>
        <w:t xml:space="preserve">cost model for the </w:t>
      </w:r>
      <w:r w:rsidR="004622A0">
        <w:t xml:space="preserve">subsequent </w:t>
      </w:r>
      <w:r>
        <w:t xml:space="preserve">measurement of </w:t>
      </w:r>
      <w:r w:rsidR="005E47D3">
        <w:t xml:space="preserve">all </w:t>
      </w:r>
      <w:r>
        <w:t>right-of-use assets (</w:t>
      </w:r>
      <w:proofErr w:type="spellStart"/>
      <w:r>
        <w:t>RoUA</w:t>
      </w:r>
      <w:proofErr w:type="spellEnd"/>
      <w:r>
        <w:t>)</w:t>
      </w:r>
      <w:r w:rsidR="00E831DA">
        <w:t>.</w:t>
      </w:r>
      <w:r w:rsidR="00D10D0E">
        <w:t xml:space="preserve"> </w:t>
      </w:r>
      <w:r w:rsidR="000F188E" w:rsidRPr="00D24706">
        <w:t>Under</w:t>
      </w:r>
      <w:r w:rsidR="00607B02" w:rsidRPr="00D24706">
        <w:t xml:space="preserve"> the cost model, </w:t>
      </w:r>
      <w:proofErr w:type="spellStart"/>
      <w:r w:rsidR="00607B02" w:rsidRPr="00D24706">
        <w:t>RoUA</w:t>
      </w:r>
      <w:proofErr w:type="spellEnd"/>
      <w:r w:rsidR="00607B02" w:rsidRPr="00D24706">
        <w:t xml:space="preserve"> are subsequently measured at cost less accumulated depreciation, any accumulated impairment losses and any adjustments for the remeasurement of the lease liability.</w:t>
      </w:r>
      <w:r w:rsidR="00981C65" w:rsidRPr="00981C65">
        <w:t xml:space="preserve"> </w:t>
      </w:r>
    </w:p>
    <w:p w14:paraId="1EB08BE1" w14:textId="3318B433" w:rsidR="00607B02" w:rsidRDefault="00561E4A" w:rsidP="009A3986">
      <w:r>
        <w:t>The purpose of t</w:t>
      </w:r>
      <w:r w:rsidR="00981C65">
        <w:t>his guidance</w:t>
      </w:r>
      <w:r>
        <w:t xml:space="preserve"> is to</w:t>
      </w:r>
      <w:r w:rsidR="00981C65">
        <w:t xml:space="preserve"> provide further information </w:t>
      </w:r>
      <w:r>
        <w:t xml:space="preserve">on the application of the cost model, particularly focusing on impairment for </w:t>
      </w:r>
      <w:proofErr w:type="spellStart"/>
      <w:r>
        <w:t>RoUA</w:t>
      </w:r>
      <w:proofErr w:type="spellEnd"/>
      <w:r w:rsidR="008C04DB">
        <w:t>,</w:t>
      </w:r>
      <w:r>
        <w:t xml:space="preserve"> and outline the requirements for </w:t>
      </w:r>
      <w:r w:rsidR="00263480">
        <w:t xml:space="preserve">the </w:t>
      </w:r>
      <w:r>
        <w:t>transition from the revaluation model to the cost model for first-time application.</w:t>
      </w:r>
    </w:p>
    <w:p w14:paraId="73ABE26E" w14:textId="77777777" w:rsidR="00B20A88" w:rsidRDefault="00B20A88" w:rsidP="00B20A88">
      <w:pPr>
        <w:pStyle w:val="Heading1"/>
      </w:pPr>
      <w:r>
        <w:t>Transitional requirements</w:t>
      </w:r>
    </w:p>
    <w:p w14:paraId="241A79C4" w14:textId="0556946C" w:rsidR="00B20A88" w:rsidRPr="009A3986" w:rsidRDefault="00B20A88" w:rsidP="009A3986">
      <w:r>
        <w:t xml:space="preserve">The cost model applies to the subsequent measurement of all </w:t>
      </w:r>
      <w:proofErr w:type="spellStart"/>
      <w:r>
        <w:t>RoUA</w:t>
      </w:r>
      <w:proofErr w:type="spellEnd"/>
      <w:r w:rsidR="003D4DAE">
        <w:t xml:space="preserve"> </w:t>
      </w:r>
      <w:r>
        <w:t>from reporting periods ending 30 June 2026.</w:t>
      </w:r>
      <w:r w:rsidR="003D4DAE">
        <w:t xml:space="preserve"> This</w:t>
      </w:r>
      <w:r w:rsidR="003D4DAE" w:rsidRPr="00207F3E">
        <w:t xml:space="preserve"> reflect</w:t>
      </w:r>
      <w:r w:rsidR="003D4DAE">
        <w:t>s</w:t>
      </w:r>
      <w:r w:rsidR="003D4DAE" w:rsidRPr="00207F3E">
        <w:t xml:space="preserve"> a change in accounting policy for the subsequent measurement of right-of-use assets arising from market leases from the revaluation model to the cost model.</w:t>
      </w:r>
    </w:p>
    <w:p w14:paraId="4B20BAE5" w14:textId="4DDC4E30" w:rsidR="003C714B" w:rsidRPr="00AB0BF9" w:rsidRDefault="00D06698" w:rsidP="009A3986">
      <w:r>
        <w:t xml:space="preserve">On transition to the cost model for </w:t>
      </w:r>
      <w:proofErr w:type="spellStart"/>
      <w:r>
        <w:t>RoUA</w:t>
      </w:r>
      <w:proofErr w:type="spellEnd"/>
      <w:r>
        <w:t xml:space="preserve"> arising from market leases, entities will use</w:t>
      </w:r>
      <w:r w:rsidR="00B20A88" w:rsidRPr="00AB0BF9">
        <w:t xml:space="preserve"> the modified retrospective approach</w:t>
      </w:r>
      <w:r>
        <w:t>, whereby:</w:t>
      </w:r>
    </w:p>
    <w:p w14:paraId="401E8CED" w14:textId="6320C304" w:rsidR="003C714B" w:rsidRDefault="003C714B" w:rsidP="00DD5964">
      <w:pPr>
        <w:pStyle w:val="Bullet1"/>
      </w:pPr>
      <w:r w:rsidRPr="00975870">
        <w:t>The</w:t>
      </w:r>
      <w:r w:rsidRPr="00AB0BF9">
        <w:t xml:space="preserve"> carrying amounts of the </w:t>
      </w:r>
      <w:proofErr w:type="spellStart"/>
      <w:r>
        <w:t>RoUA</w:t>
      </w:r>
      <w:proofErr w:type="spellEnd"/>
      <w:r w:rsidRPr="00AB0BF9">
        <w:t xml:space="preserve"> measured under the revaluation model </w:t>
      </w:r>
      <w:r>
        <w:t xml:space="preserve">as at the end of </w:t>
      </w:r>
      <w:r w:rsidRPr="00CF459E">
        <w:t>the prior reporting period will become the opening carrying amounts for the current reporting under the cost model</w:t>
      </w:r>
      <w:r>
        <w:t xml:space="preserve">. The comparative period balances for </w:t>
      </w:r>
      <w:proofErr w:type="spellStart"/>
      <w:r>
        <w:t>RoUA</w:t>
      </w:r>
      <w:proofErr w:type="spellEnd"/>
      <w:r>
        <w:t xml:space="preserve"> will not be restated.</w:t>
      </w:r>
    </w:p>
    <w:p w14:paraId="4694F423" w14:textId="32335814" w:rsidR="00B20A88" w:rsidRPr="00CF459E" w:rsidRDefault="00CF459E" w:rsidP="00690529">
      <w:pPr>
        <w:pStyle w:val="Bullet1"/>
        <w:ind w:right="-64"/>
      </w:pPr>
      <w:r w:rsidRPr="00975870">
        <w:t xml:space="preserve">For reporting periods ending on or </w:t>
      </w:r>
      <w:r w:rsidR="00763652">
        <w:t xml:space="preserve">after </w:t>
      </w:r>
      <w:r w:rsidRPr="00975870">
        <w:t xml:space="preserve">30 June 2026 </w:t>
      </w:r>
      <w:r w:rsidR="00B20A88" w:rsidRPr="00CF459E">
        <w:t xml:space="preserve">entities must measure right-of-use assets at cost less accumulated depreciation, impairment and adjustment for the lease liability. Entities must </w:t>
      </w:r>
      <w:r w:rsidR="00BE6BE3">
        <w:t xml:space="preserve">assess the </w:t>
      </w:r>
      <w:proofErr w:type="spellStart"/>
      <w:r w:rsidR="004622A0">
        <w:t>RoUA</w:t>
      </w:r>
      <w:proofErr w:type="spellEnd"/>
      <w:r w:rsidR="00BE6BE3">
        <w:t xml:space="preserve"> for impairment</w:t>
      </w:r>
      <w:r w:rsidR="00B20A88" w:rsidRPr="00CF459E">
        <w:t xml:space="preserve"> at the end of each reporting period in accordance with this guidance and the requirements under AASB 136 </w:t>
      </w:r>
      <w:r w:rsidR="00B20A88" w:rsidRPr="00CF459E">
        <w:rPr>
          <w:i/>
          <w:iCs/>
        </w:rPr>
        <w:t>Impairment of Assets</w:t>
      </w:r>
      <w:r w:rsidR="00B20A88" w:rsidRPr="00CF459E">
        <w:t xml:space="preserve"> and FRD 106 </w:t>
      </w:r>
      <w:r w:rsidR="00B20A88" w:rsidRPr="00CF459E">
        <w:rPr>
          <w:i/>
          <w:iCs/>
        </w:rPr>
        <w:t>Impairment of Assets</w:t>
      </w:r>
      <w:r w:rsidR="00B20A88" w:rsidRPr="00CF459E">
        <w:t>.</w:t>
      </w:r>
    </w:p>
    <w:p w14:paraId="6299303F" w14:textId="233CA48F" w:rsidR="00B20A88" w:rsidRDefault="00B20A88" w:rsidP="00DD5964">
      <w:pPr>
        <w:pStyle w:val="Bullet1"/>
      </w:pPr>
      <w:r w:rsidRPr="00975870">
        <w:t>For the first reporting period after transition</w:t>
      </w:r>
      <w:r w:rsidRPr="00975870">
        <w:rPr>
          <w:rStyle w:val="FootnoteReference"/>
        </w:rPr>
        <w:footnoteReference w:id="1"/>
      </w:r>
      <w:r w:rsidRPr="00CF459E">
        <w:t xml:space="preserve"> entities must disclose the change in accounting policy in their annual financial reports. An example of this disclosure can be found in the 2025-26 Model Report (both Tier 1 and Tier 2), as issued</w:t>
      </w:r>
      <w:r>
        <w:t xml:space="preserve"> by DTF.</w:t>
      </w:r>
    </w:p>
    <w:p w14:paraId="7B3DDCD8" w14:textId="60EAC5E9" w:rsidR="00466DCB" w:rsidRPr="00CE4530" w:rsidRDefault="00140008" w:rsidP="00DD5964">
      <w:pPr>
        <w:pStyle w:val="Bullet1"/>
      </w:pPr>
      <w:r>
        <w:t xml:space="preserve">Any asset revaluation reserve balances for </w:t>
      </w:r>
      <w:proofErr w:type="spellStart"/>
      <w:r>
        <w:t>RoUA</w:t>
      </w:r>
      <w:proofErr w:type="spellEnd"/>
      <w:r>
        <w:t xml:space="preserve"> will be </w:t>
      </w:r>
      <w:r w:rsidR="00BE6B41">
        <w:t xml:space="preserve">transferred to accumulated surplus </w:t>
      </w:r>
      <w:r w:rsidR="005369E8">
        <w:t>once</w:t>
      </w:r>
      <w:r w:rsidR="00BE6B41">
        <w:t xml:space="preserve"> the </w:t>
      </w:r>
      <w:proofErr w:type="spellStart"/>
      <w:r w:rsidR="00BE6B41">
        <w:t>RoUA</w:t>
      </w:r>
      <w:proofErr w:type="spellEnd"/>
      <w:r w:rsidR="00BE6B41">
        <w:t xml:space="preserve"> is derecognised at the end of the lease term.</w:t>
      </w:r>
    </w:p>
    <w:p w14:paraId="604435D0" w14:textId="22655339" w:rsidR="0053326F" w:rsidRDefault="0053326F" w:rsidP="0053326F">
      <w:pPr>
        <w:pStyle w:val="Heading1"/>
      </w:pPr>
      <w:r>
        <w:lastRenderedPageBreak/>
        <w:t xml:space="preserve">Impairment of </w:t>
      </w:r>
      <w:r w:rsidR="00A6451A">
        <w:t>right-of-use assets</w:t>
      </w:r>
    </w:p>
    <w:p w14:paraId="69DD2BDF" w14:textId="03C0FEA2" w:rsidR="00D37565" w:rsidRPr="002F5704" w:rsidRDefault="00DA038D" w:rsidP="00690529">
      <w:pPr>
        <w:pStyle w:val="NormalIndent"/>
        <w:ind w:left="0" w:right="206"/>
      </w:pPr>
      <w:r w:rsidRPr="002F5704">
        <w:t xml:space="preserve">At the end of each reporting period, entities must assess each </w:t>
      </w:r>
      <w:proofErr w:type="spellStart"/>
      <w:r w:rsidRPr="002F5704">
        <w:t>RoUA</w:t>
      </w:r>
      <w:proofErr w:type="spellEnd"/>
      <w:r w:rsidRPr="002F5704">
        <w:t xml:space="preserve"> to identify any indications </w:t>
      </w:r>
      <w:r w:rsidR="00981C65" w:rsidRPr="002F5704">
        <w:t>of impairment</w:t>
      </w:r>
      <w:r w:rsidRPr="002F5704">
        <w:t xml:space="preserve">. </w:t>
      </w:r>
      <w:r w:rsidR="00981C65" w:rsidRPr="002F5704">
        <w:t xml:space="preserve">Only when </w:t>
      </w:r>
      <w:r w:rsidRPr="002F5704">
        <w:t xml:space="preserve">indications of impairment </w:t>
      </w:r>
      <w:r w:rsidR="00981C65" w:rsidRPr="002F5704">
        <w:t>are identified</w:t>
      </w:r>
      <w:r w:rsidR="00B322F9" w:rsidRPr="002F5704">
        <w:t xml:space="preserve"> is</w:t>
      </w:r>
      <w:r w:rsidRPr="002F5704">
        <w:t xml:space="preserve"> the recoverable amount of the </w:t>
      </w:r>
      <w:proofErr w:type="spellStart"/>
      <w:r w:rsidRPr="002F5704">
        <w:t>RoUA</w:t>
      </w:r>
      <w:proofErr w:type="spellEnd"/>
      <w:r w:rsidRPr="002F5704">
        <w:t xml:space="preserve"> </w:t>
      </w:r>
      <w:r w:rsidR="00981C65" w:rsidRPr="002F5704">
        <w:t>calculated</w:t>
      </w:r>
      <w:r w:rsidRPr="002F5704">
        <w:t>.</w:t>
      </w:r>
      <w:r w:rsidR="00981C65" w:rsidRPr="002F5704">
        <w:t xml:space="preserve"> The recoverable amount is equal to the higher of the </w:t>
      </w:r>
      <w:proofErr w:type="spellStart"/>
      <w:r w:rsidR="00981C65" w:rsidRPr="002F5704">
        <w:t>RoUA’s</w:t>
      </w:r>
      <w:proofErr w:type="spellEnd"/>
      <w:r w:rsidR="00981C65" w:rsidRPr="002F5704">
        <w:t xml:space="preserve"> value in use and fair value less cost of disposal.</w:t>
      </w:r>
    </w:p>
    <w:p w14:paraId="15C17D74" w14:textId="59332D5D" w:rsidR="009F09E1" w:rsidRDefault="00D37565" w:rsidP="009F09E1">
      <w:pPr>
        <w:pStyle w:val="NormalIndent"/>
        <w:ind w:left="0"/>
      </w:pPr>
      <w:r w:rsidRPr="002F5704">
        <w:t xml:space="preserve">When the carrying amount of the </w:t>
      </w:r>
      <w:proofErr w:type="spellStart"/>
      <w:r w:rsidRPr="002F5704">
        <w:t>RoUA</w:t>
      </w:r>
      <w:proofErr w:type="spellEnd"/>
      <w:r w:rsidRPr="002F5704">
        <w:t xml:space="preserve"> exceeds its recoverable amount, a</w:t>
      </w:r>
      <w:r w:rsidR="00DA038D" w:rsidRPr="002F5704">
        <w:t>n impairment loss is recognised</w:t>
      </w:r>
      <w:r w:rsidR="00DA038D">
        <w:t xml:space="preserve"> </w:t>
      </w:r>
      <w:r>
        <w:t xml:space="preserve">in the </w:t>
      </w:r>
      <w:r w:rsidR="00D35C11">
        <w:t>Comprehensive o</w:t>
      </w:r>
      <w:r>
        <w:t xml:space="preserve">perating </w:t>
      </w:r>
      <w:r w:rsidR="00D35C11">
        <w:t>s</w:t>
      </w:r>
      <w:r>
        <w:t xml:space="preserve">tatement </w:t>
      </w:r>
      <w:r w:rsidR="00490A70">
        <w:t>– Other economic flows</w:t>
      </w:r>
      <w:r>
        <w:t xml:space="preserve"> immediately, reducing the carrying value of the </w:t>
      </w:r>
      <w:proofErr w:type="spellStart"/>
      <w:r>
        <w:t>RoUA</w:t>
      </w:r>
      <w:proofErr w:type="spellEnd"/>
      <w:r>
        <w:t xml:space="preserve"> to its recoverable amount.</w:t>
      </w:r>
    </w:p>
    <w:p w14:paraId="7E38851D" w14:textId="66A92563" w:rsidR="00687268" w:rsidRPr="009F09E1" w:rsidRDefault="00687268" w:rsidP="00690529">
      <w:pPr>
        <w:ind w:right="206"/>
      </w:pPr>
      <w:r>
        <w:t xml:space="preserve">Following the recognition of an impairment loss, the depreciation charge for the </w:t>
      </w:r>
      <w:proofErr w:type="spellStart"/>
      <w:r>
        <w:t>RoUA</w:t>
      </w:r>
      <w:proofErr w:type="spellEnd"/>
      <w:r>
        <w:t xml:space="preserve"> should be adjusted in future periods based on the revised carrying amount, on a systematic basis over the remaining lease term/useful life.</w:t>
      </w:r>
    </w:p>
    <w:p w14:paraId="7DB83D67" w14:textId="785443AF" w:rsidR="001425A3" w:rsidRDefault="000C76D4" w:rsidP="0053326F">
      <w:pPr>
        <w:pStyle w:val="Heading2"/>
      </w:pPr>
      <w:r>
        <w:t>Impairment indicat</w:t>
      </w:r>
      <w:r w:rsidR="007D0FE5">
        <w:t>ion</w:t>
      </w:r>
      <w:r>
        <w:t>s</w:t>
      </w:r>
    </w:p>
    <w:p w14:paraId="7679E46C" w14:textId="6CCE80E9" w:rsidR="00754CC1" w:rsidRDefault="00754CC1" w:rsidP="009A3986">
      <w:r>
        <w:t>At the end of each reporting period, entities must assess</w:t>
      </w:r>
      <w:r w:rsidR="00981C65">
        <w:t xml:space="preserve"> each </w:t>
      </w:r>
      <w:proofErr w:type="spellStart"/>
      <w:r w:rsidR="00981C65">
        <w:t>RoUA</w:t>
      </w:r>
      <w:proofErr w:type="spellEnd"/>
      <w:r w:rsidR="00981C65">
        <w:t xml:space="preserve"> for both internal and external indications of impairment</w:t>
      </w:r>
      <w:r w:rsidR="00DF4766">
        <w:t xml:space="preserve"> to determine if an impairment assessment has been triggered and the </w:t>
      </w:r>
      <w:proofErr w:type="spellStart"/>
      <w:r w:rsidR="00DF4766">
        <w:t>RoUA’s</w:t>
      </w:r>
      <w:proofErr w:type="spellEnd"/>
      <w:r w:rsidR="00DF4766">
        <w:t xml:space="preserve"> recoverable amount needs to be calculated.</w:t>
      </w:r>
    </w:p>
    <w:p w14:paraId="20FD19F1" w14:textId="2219A69E" w:rsidR="000A1316" w:rsidRPr="00CD30F5" w:rsidRDefault="00372756" w:rsidP="009A3986">
      <w:r>
        <w:t>Entities</w:t>
      </w:r>
      <w:r w:rsidR="000A1316">
        <w:t xml:space="preserve"> </w:t>
      </w:r>
      <w:r w:rsidR="000A1316" w:rsidRPr="00CD30F5">
        <w:t xml:space="preserve">must </w:t>
      </w:r>
      <w:r w:rsidR="00D37565" w:rsidRPr="00CD30F5">
        <w:t xml:space="preserve">assess </w:t>
      </w:r>
      <w:proofErr w:type="spellStart"/>
      <w:r w:rsidR="00D37565" w:rsidRPr="00CD30F5">
        <w:t>RoUA</w:t>
      </w:r>
      <w:proofErr w:type="spellEnd"/>
      <w:r w:rsidR="00D37565" w:rsidRPr="00CD30F5">
        <w:t xml:space="preserve"> for</w:t>
      </w:r>
      <w:r w:rsidR="000A1316" w:rsidRPr="00CD30F5">
        <w:t xml:space="preserve"> the following external and internal indications</w:t>
      </w:r>
      <w:r w:rsidR="0080312C" w:rsidRPr="00CD30F5">
        <w:t xml:space="preserve"> of impairment</w:t>
      </w:r>
      <w:r w:rsidR="00D37565" w:rsidRPr="00CD30F5">
        <w:t xml:space="preserve"> at a minimum</w:t>
      </w:r>
      <w:r w:rsidR="008B4CF6" w:rsidRPr="00CD30F5">
        <w:t>. This list is not exhaustive and other indications of impairment may be identified, which will also require the recoverable amount to be determined</w:t>
      </w:r>
      <w:r w:rsidR="00CC5A36">
        <w:t>.</w:t>
      </w:r>
    </w:p>
    <w:p w14:paraId="4B9BC1F9" w14:textId="550D2528" w:rsidR="00932CE5" w:rsidRDefault="00CC5A36" w:rsidP="005F22F4">
      <w:pPr>
        <w:pStyle w:val="Bullet1"/>
      </w:pPr>
      <w:r>
        <w:t>S</w:t>
      </w:r>
      <w:r w:rsidR="000D0576" w:rsidRPr="00CD30F5">
        <w:t>ignificantly</w:t>
      </w:r>
      <w:r w:rsidR="000D0576">
        <w:t xml:space="preserve"> </w:t>
      </w:r>
      <w:r w:rsidR="0063336C">
        <w:t>c</w:t>
      </w:r>
      <w:r w:rsidR="00932CE5">
        <w:t xml:space="preserve">heaper alternatives to </w:t>
      </w:r>
      <w:r w:rsidR="00B26022">
        <w:t xml:space="preserve">the </w:t>
      </w:r>
      <w:r w:rsidR="005C1C15">
        <w:t xml:space="preserve">leases </w:t>
      </w:r>
      <w:r w:rsidR="00C01F29">
        <w:t xml:space="preserve">are available, due to either restructures or other changes in operational requirements or </w:t>
      </w:r>
      <w:r w:rsidR="009A1B29">
        <w:t xml:space="preserve">unexpected changes in market </w:t>
      </w:r>
      <w:r w:rsidR="0084516A">
        <w:t xml:space="preserve">rental </w:t>
      </w:r>
      <w:r w:rsidR="00D35E7C">
        <w:t>rates</w:t>
      </w:r>
    </w:p>
    <w:p w14:paraId="566A0E7C" w14:textId="4084EDE8" w:rsidR="00D35E7C" w:rsidRDefault="00AE1651" w:rsidP="005F22F4">
      <w:pPr>
        <w:pStyle w:val="Bullet1"/>
      </w:pPr>
      <w:r>
        <w:t>T</w:t>
      </w:r>
      <w:r w:rsidR="000D0576">
        <w:t xml:space="preserve">he </w:t>
      </w:r>
      <w:r w:rsidR="0098473C">
        <w:t>leased asset</w:t>
      </w:r>
      <w:r w:rsidR="00EF2AAC">
        <w:t xml:space="preserve"> </w:t>
      </w:r>
      <w:r w:rsidR="00765D8B">
        <w:t xml:space="preserve">has become </w:t>
      </w:r>
      <w:r w:rsidR="0098473C">
        <w:t>surplus</w:t>
      </w:r>
      <w:r w:rsidR="006B5483">
        <w:t xml:space="preserve"> </w:t>
      </w:r>
      <w:r w:rsidR="33B68C1B">
        <w:t xml:space="preserve">for </w:t>
      </w:r>
      <w:r w:rsidR="00A37E3B">
        <w:t>the rem</w:t>
      </w:r>
      <w:r w:rsidR="00BA2B9B">
        <w:t>aining lease term</w:t>
      </w:r>
    </w:p>
    <w:p w14:paraId="44A326C7" w14:textId="3A845987" w:rsidR="00C53EA9" w:rsidRPr="00DA038D" w:rsidRDefault="00AE1651" w:rsidP="005F22F4">
      <w:pPr>
        <w:pStyle w:val="Bullet1"/>
      </w:pPr>
      <w:r>
        <w:t>T</w:t>
      </w:r>
      <w:r w:rsidR="000D0576">
        <w:t xml:space="preserve">here </w:t>
      </w:r>
      <w:r w:rsidR="003D0F18">
        <w:t>are s</w:t>
      </w:r>
      <w:r w:rsidR="003127A6">
        <w:t xml:space="preserve">ignificant changes to government policies or decisions that have an </w:t>
      </w:r>
      <w:r w:rsidR="00D37F4F">
        <w:t>impact</w:t>
      </w:r>
      <w:r w:rsidR="003127A6">
        <w:t xml:space="preserve"> on the entity’s ability to benefit from the economic benefit arising from the </w:t>
      </w:r>
      <w:r w:rsidR="0072003B">
        <w:t>leased asset</w:t>
      </w:r>
    </w:p>
    <w:p w14:paraId="4EEF0D84" w14:textId="64849129" w:rsidR="00526AB9" w:rsidRPr="004671F4" w:rsidRDefault="00AE1651" w:rsidP="00975870">
      <w:pPr>
        <w:pStyle w:val="Bullet1"/>
        <w:ind w:left="0" w:firstLine="0"/>
      </w:pPr>
      <w:r>
        <w:t>T</w:t>
      </w:r>
      <w:r w:rsidR="000D0576">
        <w:t xml:space="preserve">he </w:t>
      </w:r>
      <w:r w:rsidR="00D37F4F">
        <w:t>leased asset</w:t>
      </w:r>
      <w:r w:rsidR="5C573576">
        <w:t xml:space="preserve"> has evidence of obsolescence or physical damage</w:t>
      </w:r>
      <w:r w:rsidR="000D0576">
        <w:t>, or</w:t>
      </w:r>
    </w:p>
    <w:p w14:paraId="565EA4A7" w14:textId="415C5D84" w:rsidR="00501096" w:rsidRDefault="00AE1651" w:rsidP="00966D7F">
      <w:pPr>
        <w:pStyle w:val="Bullet1"/>
      </w:pPr>
      <w:r>
        <w:t>M</w:t>
      </w:r>
      <w:r w:rsidR="000D0576">
        <w:t xml:space="preserve">arket </w:t>
      </w:r>
      <w:r w:rsidR="00545B9C">
        <w:t xml:space="preserve">interest rates have increased significantly since lease commencement, which would affect the discount rate used in calculating the </w:t>
      </w:r>
      <w:proofErr w:type="spellStart"/>
      <w:r w:rsidR="00545B9C">
        <w:t>RoU</w:t>
      </w:r>
      <w:r w:rsidR="002631C1">
        <w:t>A</w:t>
      </w:r>
      <w:r w:rsidR="00545B9C">
        <w:t>’s</w:t>
      </w:r>
      <w:proofErr w:type="spellEnd"/>
      <w:r w:rsidR="00545B9C">
        <w:t xml:space="preserve"> value in use and decrease the recoverable amount materially</w:t>
      </w:r>
      <w:r w:rsidR="009C7D5F">
        <w:t xml:space="preserve">. </w:t>
      </w:r>
    </w:p>
    <w:p w14:paraId="6A221279" w14:textId="700B7A44" w:rsidR="00A767F2" w:rsidRPr="00975870" w:rsidRDefault="00A767F2" w:rsidP="009A3986">
      <w:r w:rsidRPr="00CD30F5">
        <w:t xml:space="preserve">The concept of materiality </w:t>
      </w:r>
      <w:r w:rsidR="00E65B7C" w:rsidRPr="00CD30F5">
        <w:t xml:space="preserve">should be </w:t>
      </w:r>
      <w:r w:rsidRPr="00CD30F5">
        <w:t>applie</w:t>
      </w:r>
      <w:r w:rsidR="00E65B7C" w:rsidRPr="00CD30F5">
        <w:t>d</w:t>
      </w:r>
      <w:r w:rsidRPr="00CD30F5">
        <w:t xml:space="preserve"> in identifying whether the recoverable amount of an asset needs to be estimated. For example, if previous calculations show that an asset’s recoverable amount is significantly greater than </w:t>
      </w:r>
      <w:proofErr w:type="gramStart"/>
      <w:r w:rsidRPr="00CD30F5">
        <w:t>its</w:t>
      </w:r>
      <w:proofErr w:type="gramEnd"/>
      <w:r w:rsidRPr="00CD30F5">
        <w:t xml:space="preserve"> carrying amount, the entity need not re</w:t>
      </w:r>
      <w:r w:rsidR="00B35DD7">
        <w:noBreakHyphen/>
      </w:r>
      <w:r w:rsidRPr="00CD30F5">
        <w:t>estimate the asset’s recoverable amount if no events have occurred that would eliminate that difference. Similarly, previous analysis may show that an asset’s recoverable amount is not sensitive to one (or more) of the indications listed, so</w:t>
      </w:r>
      <w:r w:rsidRPr="009565B4">
        <w:t xml:space="preserve"> when these indications are identified, the recoverable amount </w:t>
      </w:r>
      <w:r w:rsidR="00E65B7C" w:rsidRPr="009565B4">
        <w:t>does not need to be</w:t>
      </w:r>
      <w:r w:rsidRPr="009565B4">
        <w:t xml:space="preserve"> determined</w:t>
      </w:r>
      <w:r w:rsidR="00550FD2" w:rsidRPr="009565B4">
        <w:t xml:space="preserve"> (AASB 136.15)</w:t>
      </w:r>
      <w:r w:rsidRPr="009565B4">
        <w:t>.</w:t>
      </w:r>
    </w:p>
    <w:p w14:paraId="25596DBD" w14:textId="18764F8C" w:rsidR="00F02BB0" w:rsidRPr="00975870" w:rsidRDefault="00F02BB0" w:rsidP="009A3986">
      <w:r w:rsidRPr="00F02BB0">
        <w:t>If a decline in market rental prices is expected to be temporary, management may conclude that no impairment indicat</w:t>
      </w:r>
      <w:r w:rsidR="004622A0">
        <w:t>ion</w:t>
      </w:r>
      <w:r w:rsidRPr="00F02BB0">
        <w:t xml:space="preserve"> exists under AASB 136.</w:t>
      </w:r>
    </w:p>
    <w:p w14:paraId="35382E2B" w14:textId="4C91B10C" w:rsidR="00254F4F" w:rsidRDefault="004671F4" w:rsidP="0053326F">
      <w:pPr>
        <w:pStyle w:val="Heading2"/>
      </w:pPr>
      <w:r>
        <w:lastRenderedPageBreak/>
        <w:t>R</w:t>
      </w:r>
      <w:r w:rsidR="00254F4F">
        <w:t>ecoverable amount</w:t>
      </w:r>
    </w:p>
    <w:p w14:paraId="37D52883" w14:textId="399F239E" w:rsidR="009F09E1" w:rsidRPr="00966D7F" w:rsidRDefault="00073321" w:rsidP="009A3986">
      <w:r w:rsidRPr="0006364F">
        <w:t xml:space="preserve">An </w:t>
      </w:r>
      <w:proofErr w:type="spellStart"/>
      <w:r w:rsidRPr="0006364F">
        <w:t>RoUA’s</w:t>
      </w:r>
      <w:proofErr w:type="spellEnd"/>
      <w:r w:rsidRPr="0006364F">
        <w:t xml:space="preserve"> recoverable amount </w:t>
      </w:r>
      <w:r w:rsidR="00C27776" w:rsidRPr="0006364F">
        <w:t>is equal to the higher of the value</w:t>
      </w:r>
      <w:r w:rsidR="00320BB2">
        <w:t xml:space="preserve"> </w:t>
      </w:r>
      <w:r w:rsidR="00C27776" w:rsidRPr="0006364F">
        <w:t>in</w:t>
      </w:r>
      <w:r w:rsidR="00A17156">
        <w:t xml:space="preserve"> </w:t>
      </w:r>
      <w:r w:rsidR="00C27776" w:rsidRPr="0006364F">
        <w:t xml:space="preserve">use </w:t>
      </w:r>
      <w:r w:rsidR="004D5110" w:rsidRPr="0006364F">
        <w:t xml:space="preserve">(VIU) </w:t>
      </w:r>
      <w:r w:rsidR="00C27776" w:rsidRPr="0006364F">
        <w:t>and the fair value less cost of disposal</w:t>
      </w:r>
      <w:r w:rsidR="009D4587" w:rsidRPr="0006364F">
        <w:t xml:space="preserve"> (FVLCOD)</w:t>
      </w:r>
      <w:r w:rsidR="00C27776" w:rsidRPr="0006364F">
        <w:t>.</w:t>
      </w:r>
      <w:r w:rsidR="006B65A0" w:rsidRPr="0006364F">
        <w:t xml:space="preserve"> The recoverable amount is compared with the </w:t>
      </w:r>
      <w:proofErr w:type="spellStart"/>
      <w:r w:rsidR="006B65A0" w:rsidRPr="0006364F">
        <w:t>RoUA’s</w:t>
      </w:r>
      <w:proofErr w:type="spellEnd"/>
      <w:r w:rsidR="006B65A0" w:rsidRPr="0006364F">
        <w:t xml:space="preserve"> carrying amount. Where it is less than the carrying amount, the </w:t>
      </w:r>
      <w:proofErr w:type="spellStart"/>
      <w:r w:rsidR="006B65A0" w:rsidRPr="0006364F">
        <w:t>RoUA</w:t>
      </w:r>
      <w:proofErr w:type="spellEnd"/>
      <w:r w:rsidR="006B65A0" w:rsidRPr="0006364F">
        <w:t xml:space="preserve"> is impaired and the difference is recorded as an impairment loss.</w:t>
      </w:r>
      <w:r w:rsidR="00543FF6" w:rsidRPr="0006364F">
        <w:t xml:space="preserve"> </w:t>
      </w:r>
      <w:r w:rsidR="00981651" w:rsidRPr="000D0576">
        <w:rPr>
          <w:rFonts w:asciiTheme="majorHAnsi" w:hAnsiTheme="majorHAnsi"/>
        </w:rPr>
        <w:t>The recoverable amount only needs to be determined if there are indications of impairment</w:t>
      </w:r>
      <w:r w:rsidR="00981651" w:rsidRPr="000D0576">
        <w:t>.</w:t>
      </w:r>
      <w:r w:rsidR="00981651" w:rsidRPr="0006364F">
        <w:rPr>
          <w:b/>
        </w:rPr>
        <w:t xml:space="preserve"> </w:t>
      </w:r>
      <w:r w:rsidR="00981651" w:rsidRPr="0006364F">
        <w:t xml:space="preserve">If there are no indications of impairment it is assumed the </w:t>
      </w:r>
      <w:proofErr w:type="spellStart"/>
      <w:r w:rsidR="00981651" w:rsidRPr="0006364F">
        <w:t>RoUA’s</w:t>
      </w:r>
      <w:proofErr w:type="spellEnd"/>
      <w:r w:rsidR="00981651" w:rsidRPr="0006364F">
        <w:t xml:space="preserve"> carrying amount does not materially differ from its recoverable amount.</w:t>
      </w:r>
    </w:p>
    <w:p w14:paraId="124BD641" w14:textId="6C7CA42A" w:rsidR="00471611" w:rsidRPr="0006364F" w:rsidRDefault="00471611" w:rsidP="00DA064F">
      <w:pPr>
        <w:pStyle w:val="Heading3"/>
      </w:pPr>
      <w:r w:rsidRPr="0006364F">
        <w:t>Value in use</w:t>
      </w:r>
    </w:p>
    <w:p w14:paraId="1843D112" w14:textId="740AB5CA" w:rsidR="009F09E1" w:rsidRDefault="00073321" w:rsidP="009A3986">
      <w:r w:rsidRPr="0006364F">
        <w:t xml:space="preserve">A </w:t>
      </w:r>
      <w:proofErr w:type="spellStart"/>
      <w:r w:rsidRPr="0006364F">
        <w:t>RoUA’s</w:t>
      </w:r>
      <w:proofErr w:type="spellEnd"/>
      <w:r w:rsidRPr="0006364F">
        <w:t xml:space="preserve"> value in use</w:t>
      </w:r>
      <w:r w:rsidR="00471611" w:rsidRPr="0006364F">
        <w:t xml:space="preserve"> (VIU)</w:t>
      </w:r>
      <w:r w:rsidRPr="0006364F">
        <w:t xml:space="preserve"> is the present value of the </w:t>
      </w:r>
      <w:r w:rsidR="008E7BE5" w:rsidRPr="0006364F">
        <w:t>future cash flows expected to be derived from an asset or cash generating unit.</w:t>
      </w:r>
    </w:p>
    <w:p w14:paraId="242BC4FA" w14:textId="2382FBE6" w:rsidR="00073321" w:rsidRPr="0006364F" w:rsidRDefault="009F09E1" w:rsidP="009A3986">
      <w:r>
        <w:t xml:space="preserve">Where possible, the VIU should be determined for the individual </w:t>
      </w:r>
      <w:proofErr w:type="spellStart"/>
      <w:r>
        <w:t>RoUA</w:t>
      </w:r>
      <w:proofErr w:type="spellEnd"/>
      <w:r>
        <w:t xml:space="preserve">. If it is not possible to measure the VIU for the individual </w:t>
      </w:r>
      <w:proofErr w:type="spellStart"/>
      <w:r>
        <w:t>RoUA</w:t>
      </w:r>
      <w:proofErr w:type="spellEnd"/>
      <w:r>
        <w:t xml:space="preserve">, the entity should instead use a cash generating unit (CGU). A CGU is the smallest identifiable group of </w:t>
      </w:r>
      <w:proofErr w:type="spellStart"/>
      <w:r>
        <w:t>RoUA</w:t>
      </w:r>
      <w:proofErr w:type="spellEnd"/>
      <w:r>
        <w:t xml:space="preserve">, which includes the </w:t>
      </w:r>
      <w:proofErr w:type="spellStart"/>
      <w:r>
        <w:t>RoUA</w:t>
      </w:r>
      <w:proofErr w:type="spellEnd"/>
      <w:r>
        <w:t xml:space="preserve"> that generates cash flows and is independent of cash flows from other </w:t>
      </w:r>
      <w:proofErr w:type="spellStart"/>
      <w:r>
        <w:t>RoUA</w:t>
      </w:r>
      <w:proofErr w:type="spellEnd"/>
      <w:r>
        <w:t xml:space="preserve"> or groups of </w:t>
      </w:r>
      <w:proofErr w:type="spellStart"/>
      <w:r>
        <w:t>RoUA</w:t>
      </w:r>
      <w:proofErr w:type="spellEnd"/>
      <w:r>
        <w:t>.</w:t>
      </w:r>
    </w:p>
    <w:p w14:paraId="72563C33" w14:textId="25EC1DE3" w:rsidR="001F71FD" w:rsidRPr="0006364F" w:rsidRDefault="001F71FD" w:rsidP="009A3986">
      <w:r w:rsidRPr="0006364F">
        <w:t xml:space="preserve">If there is no reason to believe the </w:t>
      </w:r>
      <w:proofErr w:type="spellStart"/>
      <w:r w:rsidRPr="0006364F">
        <w:t>RoUA’s</w:t>
      </w:r>
      <w:proofErr w:type="spellEnd"/>
      <w:r w:rsidRPr="0006364F">
        <w:t xml:space="preserve"> VIU materially exceeds its FVLCOD, the FVLCOD may be used as the recoverable amount</w:t>
      </w:r>
      <w:r w:rsidR="00A767F2" w:rsidRPr="0006364F">
        <w:t xml:space="preserve"> and the entity will not be required to determine the VIU</w:t>
      </w:r>
      <w:r w:rsidRPr="0006364F">
        <w:t>.</w:t>
      </w:r>
      <w:r w:rsidR="00A767F2" w:rsidRPr="0006364F">
        <w:t xml:space="preserve"> </w:t>
      </w:r>
      <w:r w:rsidRPr="0006364F">
        <w:t xml:space="preserve">Generally not-for-profit entities will not be required to calculate the VIU for </w:t>
      </w:r>
      <w:proofErr w:type="spellStart"/>
      <w:r w:rsidRPr="0006364F">
        <w:t>RoUA</w:t>
      </w:r>
      <w:proofErr w:type="spellEnd"/>
      <w:r w:rsidRPr="0006364F">
        <w:t xml:space="preserve">, </w:t>
      </w:r>
      <w:r w:rsidR="00A767F2" w:rsidRPr="0006364F">
        <w:t xml:space="preserve">as </w:t>
      </w:r>
      <w:r w:rsidRPr="0006364F">
        <w:t xml:space="preserve">not-for-profit entities primarily hold </w:t>
      </w:r>
      <w:proofErr w:type="spellStart"/>
      <w:r w:rsidR="00A767F2" w:rsidRPr="0006364F">
        <w:t>RoUA</w:t>
      </w:r>
      <w:proofErr w:type="spellEnd"/>
      <w:r w:rsidRPr="0006364F">
        <w:t xml:space="preserve"> for continued service delivery, rather than generation of cash inflows</w:t>
      </w:r>
      <w:r w:rsidR="00A767F2" w:rsidRPr="0006364F">
        <w:t>, therefore the VIU will be significantly lower than the FVLCOD.</w:t>
      </w:r>
    </w:p>
    <w:p w14:paraId="4A315878" w14:textId="43FD5B1B" w:rsidR="396846FE" w:rsidRPr="0006364F" w:rsidRDefault="396846FE" w:rsidP="009A3986">
      <w:r w:rsidRPr="0006364F">
        <w:t xml:space="preserve">The method for estimating the </w:t>
      </w:r>
      <w:proofErr w:type="spellStart"/>
      <w:r w:rsidRPr="0006364F">
        <w:t>RoUA’s</w:t>
      </w:r>
      <w:proofErr w:type="spellEnd"/>
      <w:r w:rsidRPr="0006364F">
        <w:t xml:space="preserve"> VIU involves the following steps</w:t>
      </w:r>
      <w:r w:rsidR="008A594A" w:rsidRPr="0006364F">
        <w:t xml:space="preserve"> (AASB 136.31)</w:t>
      </w:r>
      <w:r w:rsidRPr="0006364F">
        <w:t>:</w:t>
      </w:r>
    </w:p>
    <w:p w14:paraId="4BD3F115" w14:textId="6B4AE349" w:rsidR="396846FE" w:rsidRPr="0006364F" w:rsidRDefault="007055CF" w:rsidP="4358CD2C">
      <w:pPr>
        <w:pStyle w:val="Bullet1"/>
      </w:pPr>
      <w:r>
        <w:t>E</w:t>
      </w:r>
      <w:r w:rsidR="000D0576" w:rsidRPr="0006364F">
        <w:t xml:space="preserve">stimating </w:t>
      </w:r>
      <w:r w:rsidR="396846FE" w:rsidRPr="0006364F">
        <w:t xml:space="preserve">the future cash inflows and outflows to be derived from continuing use of the </w:t>
      </w:r>
      <w:proofErr w:type="spellStart"/>
      <w:r w:rsidR="396846FE" w:rsidRPr="0006364F">
        <w:t>RoUA</w:t>
      </w:r>
      <w:proofErr w:type="spellEnd"/>
      <w:r w:rsidR="396846FE" w:rsidRPr="0006364F">
        <w:t xml:space="preserve"> and from its ultimate disposal</w:t>
      </w:r>
    </w:p>
    <w:p w14:paraId="7CBD975C" w14:textId="6A4E42CF" w:rsidR="08C988CA" w:rsidRPr="0006364F" w:rsidRDefault="007055CF" w:rsidP="006C0CB7">
      <w:pPr>
        <w:pStyle w:val="Bullet1"/>
        <w:spacing w:after="120"/>
      </w:pPr>
      <w:r>
        <w:t>A</w:t>
      </w:r>
      <w:r w:rsidR="000D0576" w:rsidRPr="0006364F">
        <w:t xml:space="preserve">pplying </w:t>
      </w:r>
      <w:r w:rsidR="396846FE" w:rsidRPr="0006364F">
        <w:t>the appropriate discount rate to those future cash flows.</w:t>
      </w:r>
    </w:p>
    <w:p w14:paraId="21616AD8" w14:textId="2C64D849" w:rsidR="00DA064F" w:rsidRPr="0006364F" w:rsidRDefault="001F71FD" w:rsidP="000D0576">
      <w:r w:rsidRPr="0006364F">
        <w:t>The</w:t>
      </w:r>
      <w:r w:rsidR="00AC5849" w:rsidRPr="0006364F">
        <w:t xml:space="preserve"> following elements are included in the calculation of a </w:t>
      </w:r>
      <w:proofErr w:type="spellStart"/>
      <w:r w:rsidR="00AC5849" w:rsidRPr="0006364F">
        <w:t>RoUA’s</w:t>
      </w:r>
      <w:proofErr w:type="spellEnd"/>
      <w:r w:rsidR="00AC5849" w:rsidRPr="0006364F">
        <w:t xml:space="preserve"> VIU</w:t>
      </w:r>
      <w:r w:rsidR="001973BF" w:rsidRPr="0006364F">
        <w:t xml:space="preserve"> (AASB 136.</w:t>
      </w:r>
      <w:r w:rsidR="002D13F5" w:rsidRPr="0006364F">
        <w:t>30</w:t>
      </w:r>
      <w:r w:rsidR="008A594A" w:rsidRPr="0006364F">
        <w:t>,32</w:t>
      </w:r>
      <w:r w:rsidR="001973BF" w:rsidRPr="0006364F">
        <w:t>)</w:t>
      </w:r>
      <w:r w:rsidR="00AC5849" w:rsidRPr="0006364F">
        <w:t>:</w:t>
      </w:r>
    </w:p>
    <w:p w14:paraId="3E5C13BE" w14:textId="0DC4F011" w:rsidR="00AC5849" w:rsidRPr="0006364F" w:rsidRDefault="00AC5849" w:rsidP="000D0576">
      <w:pPr>
        <w:pStyle w:val="Listnum"/>
      </w:pPr>
      <w:r w:rsidRPr="0006364F">
        <w:t xml:space="preserve">An estimate of the future cash flows the entity expects to derive from the </w:t>
      </w:r>
      <w:proofErr w:type="spellStart"/>
      <w:r w:rsidRPr="0006364F">
        <w:t>RoUA</w:t>
      </w:r>
      <w:proofErr w:type="spellEnd"/>
    </w:p>
    <w:p w14:paraId="06499591" w14:textId="1DDCE948" w:rsidR="00AC5849" w:rsidRPr="0006364F" w:rsidRDefault="00AC5849" w:rsidP="000D0576">
      <w:pPr>
        <w:pStyle w:val="Listnum"/>
      </w:pPr>
      <w:r w:rsidRPr="0006364F">
        <w:t>Expectations about possible variations in amount or timing of these cash flows</w:t>
      </w:r>
    </w:p>
    <w:p w14:paraId="3FFACC08" w14:textId="0F6C0561" w:rsidR="00AC5849" w:rsidRPr="0006364F" w:rsidRDefault="00AC5849" w:rsidP="000D0576">
      <w:pPr>
        <w:pStyle w:val="Listnum"/>
      </w:pPr>
      <w:r w:rsidRPr="0006364F">
        <w:t>Time value of money, using current market risk-free rate of interest</w:t>
      </w:r>
    </w:p>
    <w:p w14:paraId="52438F73" w14:textId="18859123" w:rsidR="00AC5849" w:rsidRPr="0006364F" w:rsidRDefault="00AC5849" w:rsidP="000D0576">
      <w:pPr>
        <w:pStyle w:val="Listnum"/>
      </w:pPr>
      <w:r w:rsidRPr="0006364F">
        <w:t xml:space="preserve">The price for bearing the uncertainty inherent in the </w:t>
      </w:r>
      <w:proofErr w:type="spellStart"/>
      <w:r w:rsidRPr="0006364F">
        <w:t>RoUA</w:t>
      </w:r>
      <w:proofErr w:type="spellEnd"/>
    </w:p>
    <w:p w14:paraId="6A6D1FB7" w14:textId="631256E2" w:rsidR="00AC5849" w:rsidRPr="0006364F" w:rsidRDefault="00AC5849" w:rsidP="000D0576">
      <w:pPr>
        <w:pStyle w:val="Listnum"/>
      </w:pPr>
      <w:r w:rsidRPr="0006364F">
        <w:t xml:space="preserve">Other factors, such as illiquidity, that market participants would reflect in pricing the future cash flows expected to be derived from the </w:t>
      </w:r>
      <w:proofErr w:type="spellStart"/>
      <w:r w:rsidRPr="0006364F">
        <w:t>RoUA</w:t>
      </w:r>
      <w:proofErr w:type="spellEnd"/>
      <w:r w:rsidRPr="0006364F">
        <w:t>.</w:t>
      </w:r>
    </w:p>
    <w:p w14:paraId="1F4638E5" w14:textId="04607EA1" w:rsidR="00251E6D" w:rsidRPr="0006364F" w:rsidRDefault="002B2D9B" w:rsidP="009A3986">
      <w:r w:rsidRPr="0006364F">
        <w:t>E</w:t>
      </w:r>
      <w:r w:rsidR="00CF60CB" w:rsidRPr="0006364F">
        <w:t xml:space="preserve">lements </w:t>
      </w:r>
      <w:r w:rsidR="006C0CB7">
        <w:t>(</w:t>
      </w:r>
      <w:r w:rsidR="00CF60CB" w:rsidRPr="0006364F">
        <w:t>b),</w:t>
      </w:r>
      <w:r w:rsidRPr="0006364F">
        <w:t xml:space="preserve"> </w:t>
      </w:r>
      <w:r w:rsidR="006C0CB7">
        <w:t>(</w:t>
      </w:r>
      <w:r w:rsidR="00CF60CB" w:rsidRPr="0006364F">
        <w:t xml:space="preserve">d) and </w:t>
      </w:r>
      <w:r w:rsidR="006C0CB7">
        <w:t>(</w:t>
      </w:r>
      <w:r w:rsidR="00CF60CB" w:rsidRPr="0006364F">
        <w:t>e)</w:t>
      </w:r>
      <w:r w:rsidR="009E7DF0" w:rsidRPr="0006364F">
        <w:t xml:space="preserve"> </w:t>
      </w:r>
      <w:r w:rsidR="00CF60CB" w:rsidRPr="0006364F">
        <w:t xml:space="preserve">can be reflected </w:t>
      </w:r>
      <w:r w:rsidR="00B97A98" w:rsidRPr="0006364F">
        <w:t>in either of the steps above</w:t>
      </w:r>
      <w:r w:rsidR="00CF60CB" w:rsidRPr="0006364F">
        <w:t xml:space="preserve"> </w:t>
      </w:r>
      <w:r w:rsidR="00B97A98" w:rsidRPr="0006364F">
        <w:t xml:space="preserve">(i.e. as </w:t>
      </w:r>
      <w:r w:rsidR="00CF60CB" w:rsidRPr="0006364F">
        <w:t>adjustments to the future</w:t>
      </w:r>
      <w:r w:rsidR="00E11291" w:rsidRPr="0006364F">
        <w:t xml:space="preserve"> </w:t>
      </w:r>
      <w:r w:rsidR="00CF60CB" w:rsidRPr="0006364F">
        <w:t>cash flows or as adjustments to the discount rate</w:t>
      </w:r>
      <w:r w:rsidR="00B97A98" w:rsidRPr="0006364F">
        <w:t>)</w:t>
      </w:r>
      <w:r w:rsidR="00CF60CB" w:rsidRPr="0006364F">
        <w:t>.</w:t>
      </w:r>
    </w:p>
    <w:p w14:paraId="65C44200" w14:textId="3C7A2378" w:rsidR="00073321" w:rsidRDefault="00471611" w:rsidP="00DA064F">
      <w:pPr>
        <w:pStyle w:val="Heading3"/>
      </w:pPr>
      <w:r>
        <w:lastRenderedPageBreak/>
        <w:t>Fair value less cost of disposal</w:t>
      </w:r>
    </w:p>
    <w:p w14:paraId="1A855436" w14:textId="68460031" w:rsidR="00372756" w:rsidRPr="00372756" w:rsidRDefault="00471611" w:rsidP="009A3986">
      <w:r>
        <w:t xml:space="preserve">A </w:t>
      </w:r>
      <w:proofErr w:type="spellStart"/>
      <w:r>
        <w:t>RoUA’s</w:t>
      </w:r>
      <w:proofErr w:type="spellEnd"/>
      <w:r>
        <w:t xml:space="preserve"> fair value less cost of disposal (FVLCOD)</w:t>
      </w:r>
      <w:r w:rsidR="00AC5849">
        <w:t xml:space="preserve"> is calculated using the fair value requirements in accordance with AASB 13 </w:t>
      </w:r>
      <w:r w:rsidR="00AC5849">
        <w:rPr>
          <w:i/>
          <w:iCs/>
        </w:rPr>
        <w:t>Fair Value Measurement.</w:t>
      </w:r>
      <w:r w:rsidR="00113C1E">
        <w:t xml:space="preserve"> Entities can choose to undertake a</w:t>
      </w:r>
      <w:r w:rsidR="00E73E46">
        <w:t>n</w:t>
      </w:r>
      <w:r w:rsidR="00113C1E">
        <w:t xml:space="preserve"> </w:t>
      </w:r>
      <w:r w:rsidR="00E73E46">
        <w:t xml:space="preserve">internal valuation </w:t>
      </w:r>
      <w:r w:rsidR="00113C1E">
        <w:t>assessment or obtain external valuations to determine the FVLCOD.</w:t>
      </w:r>
      <w:r w:rsidR="004B09EE">
        <w:t xml:space="preserve"> If the entity holds specialised </w:t>
      </w:r>
      <w:proofErr w:type="spellStart"/>
      <w:r w:rsidR="004B09EE">
        <w:t>RoUA</w:t>
      </w:r>
      <w:proofErr w:type="spellEnd"/>
      <w:r w:rsidR="004B09EE">
        <w:t xml:space="preserve"> and determining the FVLCOD is highly complex, entities are encouraged to engage external valuation expertise.</w:t>
      </w:r>
    </w:p>
    <w:p w14:paraId="0AD3EBDA" w14:textId="66D17CC4" w:rsidR="00AD06C4" w:rsidRDefault="00DB2880" w:rsidP="009A3986">
      <w:r>
        <w:t xml:space="preserve">Cost of disposal </w:t>
      </w:r>
      <w:r w:rsidR="00F05F5D">
        <w:t>is equal to the</w:t>
      </w:r>
      <w:r w:rsidR="001D1FDC">
        <w:t xml:space="preserve"> </w:t>
      </w:r>
      <w:r w:rsidR="00CD4795">
        <w:t>incremental costs</w:t>
      </w:r>
      <w:r w:rsidR="00F05F5D">
        <w:t xml:space="preserve"> </w:t>
      </w:r>
      <w:r w:rsidR="00F05F5D" w:rsidRPr="00CA6C73">
        <w:t xml:space="preserve">directly attributable to the disposal of the </w:t>
      </w:r>
      <w:proofErr w:type="spellStart"/>
      <w:r w:rsidR="00F05F5D" w:rsidRPr="00CA6C73">
        <w:t>RoUA</w:t>
      </w:r>
      <w:proofErr w:type="spellEnd"/>
      <w:r w:rsidR="00F05F5D" w:rsidRPr="00CA6C73">
        <w:t xml:space="preserve">, excluding any finance and income tax expenses. </w:t>
      </w:r>
      <w:r w:rsidR="001D1FDC" w:rsidRPr="00CA6C73">
        <w:t xml:space="preserve">For </w:t>
      </w:r>
      <w:proofErr w:type="spellStart"/>
      <w:r w:rsidR="001D1FDC" w:rsidRPr="00CA6C73">
        <w:t>R</w:t>
      </w:r>
      <w:r w:rsidR="009E031D" w:rsidRPr="00CA6C73">
        <w:t>o</w:t>
      </w:r>
      <w:r w:rsidR="001D1FDC" w:rsidRPr="00CA6C73">
        <w:t>UA</w:t>
      </w:r>
      <w:proofErr w:type="spellEnd"/>
      <w:r w:rsidR="001D1FDC" w:rsidRPr="00CA6C73">
        <w:t>, e</w:t>
      </w:r>
      <w:r w:rsidR="00F05F5D" w:rsidRPr="00CA6C73">
        <w:t xml:space="preserve">xamples include </w:t>
      </w:r>
      <w:r w:rsidRPr="00CA6C73">
        <w:t>cost</w:t>
      </w:r>
      <w:r w:rsidR="00437744" w:rsidRPr="00CA6C73">
        <w:t>s</w:t>
      </w:r>
      <w:r w:rsidRPr="00CA6C73">
        <w:t xml:space="preserve"> of removing the </w:t>
      </w:r>
      <w:proofErr w:type="spellStart"/>
      <w:r w:rsidR="00F05F5D" w:rsidRPr="00CA6C73">
        <w:t>RoUA</w:t>
      </w:r>
      <w:proofErr w:type="spellEnd"/>
      <w:r w:rsidRPr="00CA6C73">
        <w:t xml:space="preserve">, and costs directly incurred to bring the </w:t>
      </w:r>
      <w:proofErr w:type="spellStart"/>
      <w:r w:rsidR="00F05F5D" w:rsidRPr="00CA6C73">
        <w:t>RoUA</w:t>
      </w:r>
      <w:proofErr w:type="spellEnd"/>
      <w:r w:rsidRPr="00CA6C73">
        <w:t xml:space="preserve"> to the condition</w:t>
      </w:r>
      <w:r>
        <w:t xml:space="preserve"> to </w:t>
      </w:r>
      <w:r w:rsidR="001D1FDC">
        <w:t xml:space="preserve">it </w:t>
      </w:r>
      <w:r>
        <w:t>transfer</w:t>
      </w:r>
      <w:r w:rsidR="001D1FDC">
        <w:t xml:space="preserve"> back</w:t>
      </w:r>
      <w:r>
        <w:t xml:space="preserve"> to the lessor.</w:t>
      </w:r>
      <w:r w:rsidR="00113C1E">
        <w:t xml:space="preserve"> </w:t>
      </w:r>
      <w:r w:rsidR="47E7E9D8">
        <w:t>In most cases</w:t>
      </w:r>
      <w:r w:rsidR="00F05F5D">
        <w:t xml:space="preserve">, </w:t>
      </w:r>
      <w:r w:rsidR="001D1FDC">
        <w:t xml:space="preserve">the estimated </w:t>
      </w:r>
      <w:r w:rsidR="00F05F5D">
        <w:t xml:space="preserve">cost of disposal </w:t>
      </w:r>
      <w:r w:rsidR="001D1FDC">
        <w:t xml:space="preserve">for </w:t>
      </w:r>
      <w:proofErr w:type="spellStart"/>
      <w:r w:rsidR="001D1FDC">
        <w:t>RoUA</w:t>
      </w:r>
      <w:proofErr w:type="spellEnd"/>
      <w:r w:rsidR="001D1FDC">
        <w:t xml:space="preserve"> will be immaterial</w:t>
      </w:r>
      <w:r w:rsidR="22D8B419">
        <w:t xml:space="preserve"> if the entity plan to hold the lease till expiry</w:t>
      </w:r>
      <w:r w:rsidR="001D1FDC">
        <w:t xml:space="preserve">; however, </w:t>
      </w:r>
      <w:r w:rsidR="00290362">
        <w:t xml:space="preserve">the </w:t>
      </w:r>
      <w:r w:rsidR="57799F99">
        <w:t>cost of disposal can be</w:t>
      </w:r>
      <w:r w:rsidR="001D1FDC">
        <w:t xml:space="preserve"> material</w:t>
      </w:r>
      <w:r w:rsidR="1C4F9C77">
        <w:t xml:space="preserve"> if early termination or transfer of lease is expected.</w:t>
      </w:r>
    </w:p>
    <w:p w14:paraId="32FCE49E" w14:textId="55F3F391" w:rsidR="00561E4A" w:rsidRPr="008A0626" w:rsidRDefault="008A0626" w:rsidP="006C0CB7">
      <w:pPr>
        <w:pStyle w:val="Heading4"/>
      </w:pPr>
      <w:r>
        <w:t>Fair value less cost of disposal for g</w:t>
      </w:r>
      <w:r w:rsidR="00197975" w:rsidRPr="008A0626">
        <w:t>eneral office accommodation leases</w:t>
      </w:r>
    </w:p>
    <w:p w14:paraId="1894E4C4" w14:textId="7DD0B4FB" w:rsidR="00220D62" w:rsidRDefault="008A0626" w:rsidP="009A3986">
      <w:pPr>
        <w:rPr>
          <w:highlight w:val="yellow"/>
        </w:rPr>
      </w:pPr>
      <w:r w:rsidRPr="008A0626">
        <w:t>For general office accommodation leases, w</w:t>
      </w:r>
      <w:r w:rsidR="004A2C6C" w:rsidRPr="008A0626">
        <w:t xml:space="preserve">here there is an indication </w:t>
      </w:r>
      <w:r w:rsidR="001133EC">
        <w:t>that there are cheaper alternative leases available</w:t>
      </w:r>
      <w:r w:rsidR="004A2C6C" w:rsidRPr="008A0626">
        <w:t>, the FVLCOD will be based on rental market indices</w:t>
      </w:r>
      <w:r w:rsidRPr="008A0626">
        <w:t xml:space="preserve">. These indices are held by the State Administration Unit within the Department of Government Services. To gain access to these indices, </w:t>
      </w:r>
      <w:r w:rsidR="00AD308E">
        <w:t xml:space="preserve">entities can </w:t>
      </w:r>
      <w:r w:rsidRPr="008A0626">
        <w:t xml:space="preserve">reach out to </w:t>
      </w:r>
      <w:r w:rsidR="00F15C41" w:rsidRPr="00F15C41">
        <w:t xml:space="preserve">ACLS Finance (DGS) </w:t>
      </w:r>
      <w:hyperlink r:id="rId13" w:history="1">
        <w:r w:rsidR="00F15C41" w:rsidRPr="009B6C5C">
          <w:rPr>
            <w:rStyle w:val="Hyperlink"/>
          </w:rPr>
          <w:t>aclsfinance@dgs.vic.gov.au</w:t>
        </w:r>
      </w:hyperlink>
      <w:r w:rsidR="00F15C41">
        <w:t>.</w:t>
      </w:r>
    </w:p>
    <w:p w14:paraId="165EBB3F" w14:textId="5EB0C0C5" w:rsidR="008A0626" w:rsidRPr="008A0626" w:rsidRDefault="008A0626" w:rsidP="009A3986">
      <w:pPr>
        <w:rPr>
          <w:b/>
          <w:bCs/>
        </w:rPr>
      </w:pPr>
      <w:r w:rsidRPr="008A0626">
        <w:t xml:space="preserve">These indices should only be applied to general office accommodation </w:t>
      </w:r>
      <w:proofErr w:type="spellStart"/>
      <w:r w:rsidRPr="008A0626">
        <w:t>RoUA</w:t>
      </w:r>
      <w:proofErr w:type="spellEnd"/>
      <w:r w:rsidRPr="008A0626">
        <w:t>. For buildings other than general office accommodation, entities must seek market indications for that relevant building.</w:t>
      </w:r>
    </w:p>
    <w:p w14:paraId="48FAE63A" w14:textId="0B4B677E" w:rsidR="00203F4E" w:rsidRPr="00F41303" w:rsidRDefault="004A2C6C" w:rsidP="009A3986">
      <w:r w:rsidRPr="008A0626">
        <w:t xml:space="preserve">Where the impairment indications </w:t>
      </w:r>
      <w:r w:rsidR="008A0626" w:rsidRPr="008A0626">
        <w:t xml:space="preserve">for a general office accommodation lease </w:t>
      </w:r>
      <w:r w:rsidRPr="008A0626">
        <w:t>relates to non</w:t>
      </w:r>
      <w:r w:rsidR="001C74A6">
        <w:noBreakHyphen/>
      </w:r>
      <w:r w:rsidRPr="008A0626">
        <w:t xml:space="preserve">market factors, entities should </w:t>
      </w:r>
      <w:r w:rsidR="008A0626" w:rsidRPr="008A0626">
        <w:t xml:space="preserve">not use these indices and instead </w:t>
      </w:r>
      <w:r w:rsidRPr="008A0626">
        <w:t>undertake a managerial assessment to determine the FVLCOD.</w:t>
      </w:r>
    </w:p>
    <w:p w14:paraId="09CDA887" w14:textId="3ED95774" w:rsidR="00857C8D" w:rsidRPr="00B322F9" w:rsidRDefault="00857C8D" w:rsidP="00857C8D">
      <w:pPr>
        <w:pStyle w:val="Heading2"/>
      </w:pPr>
      <w:r w:rsidRPr="00B322F9">
        <w:t>Reversal of impairment losses</w:t>
      </w:r>
    </w:p>
    <w:p w14:paraId="458F7812" w14:textId="03E24502" w:rsidR="00B322F9" w:rsidRDefault="00B322F9" w:rsidP="009A3986">
      <w:r>
        <w:t>In addition to identifying any impairment indicators at the end of each reporting period</w:t>
      </w:r>
      <w:r w:rsidRPr="00CA6C73">
        <w:t xml:space="preserve">, entities should assess for indications that an impairment loss recognised in prior periods for a </w:t>
      </w:r>
      <w:proofErr w:type="spellStart"/>
      <w:r w:rsidRPr="00CA6C73">
        <w:t>RoUA</w:t>
      </w:r>
      <w:proofErr w:type="spellEnd"/>
      <w:r w:rsidRPr="00CA6C73">
        <w:t xml:space="preserve"> may no longer exist or may have decreased. If there are indicat</w:t>
      </w:r>
      <w:r w:rsidR="00F05C2F" w:rsidRPr="00CA6C73">
        <w:t>ors</w:t>
      </w:r>
      <w:r w:rsidRPr="00CA6C73">
        <w:t xml:space="preserve"> </w:t>
      </w:r>
      <w:r w:rsidR="00F05C2F" w:rsidRPr="00CA6C73">
        <w:t>suggesting</w:t>
      </w:r>
      <w:r w:rsidRPr="00CA6C73">
        <w:t xml:space="preserve"> that the impairment loss may no longer exist or has decreased, the entity should estimate the recoverable amount of the </w:t>
      </w:r>
      <w:proofErr w:type="spellStart"/>
      <w:r w:rsidRPr="00CA6C73">
        <w:t>RoUA</w:t>
      </w:r>
      <w:proofErr w:type="spellEnd"/>
      <w:r w:rsidRPr="00CA6C73">
        <w:t>.</w:t>
      </w:r>
    </w:p>
    <w:p w14:paraId="17D64177" w14:textId="2662B757" w:rsidR="001718DD" w:rsidRDefault="00B322F9" w:rsidP="009A3986">
      <w:r w:rsidRPr="00B322F9">
        <w:t xml:space="preserve">If there has been a change in estimates used to determine the recoverable amount since the last impairment loss was recognised which results in the recoverable amount exceeding the carrying amount, entities </w:t>
      </w:r>
      <w:r w:rsidR="004622A0">
        <w:t>should</w:t>
      </w:r>
      <w:r w:rsidR="004622A0" w:rsidRPr="00B322F9">
        <w:t xml:space="preserve"> </w:t>
      </w:r>
      <w:r w:rsidRPr="00B322F9">
        <w:t>reverse a previously recognised impairment loss</w:t>
      </w:r>
      <w:r>
        <w:t xml:space="preserve"> and increase the carrying amount of the </w:t>
      </w:r>
      <w:proofErr w:type="spellStart"/>
      <w:r>
        <w:t>RoUA</w:t>
      </w:r>
      <w:proofErr w:type="spellEnd"/>
      <w:r>
        <w:t>.</w:t>
      </w:r>
      <w:r w:rsidR="008F76F7">
        <w:t xml:space="preserve"> </w:t>
      </w:r>
      <w:r w:rsidR="001718DD" w:rsidRPr="00B322F9">
        <w:t xml:space="preserve">The increase in the carrying amount of the </w:t>
      </w:r>
      <w:proofErr w:type="spellStart"/>
      <w:r w:rsidR="001718DD" w:rsidRPr="00B322F9">
        <w:t>RoUA</w:t>
      </w:r>
      <w:proofErr w:type="spellEnd"/>
      <w:r w:rsidR="001718DD" w:rsidRPr="00B322F9">
        <w:t xml:space="preserve"> must not exceed the carrying amount that would have been determining (less depreciation) had no impairment loss been recognised in prior years.</w:t>
      </w:r>
    </w:p>
    <w:p w14:paraId="019FF8DB" w14:textId="39EE2BA0" w:rsidR="00E62F8E" w:rsidRPr="00D56954" w:rsidRDefault="00D56954" w:rsidP="005F22F4">
      <w:pPr>
        <w:pStyle w:val="Heading1"/>
        <w:rPr>
          <w:lang w:eastAsia="zh-CN"/>
        </w:rPr>
      </w:pPr>
      <w:r w:rsidRPr="00D56954">
        <w:lastRenderedPageBreak/>
        <w:t>General guidance</w:t>
      </w:r>
    </w:p>
    <w:p w14:paraId="1768E56B" w14:textId="48E4624F" w:rsidR="005F22F4" w:rsidRDefault="00E62F8E" w:rsidP="005F22F4">
      <w:pPr>
        <w:pStyle w:val="Heading2"/>
      </w:pPr>
      <w:r w:rsidRPr="00D56954">
        <w:t>Disclosures</w:t>
      </w:r>
      <w:bookmarkEnd w:id="0"/>
    </w:p>
    <w:p w14:paraId="1C29ED89" w14:textId="08C4A34D" w:rsidR="00783318" w:rsidRDefault="00783318" w:rsidP="009A3986">
      <w:r>
        <w:t xml:space="preserve">Example note disclosures, for use in entities’ annual financial report, can be found in the relevant year’s </w:t>
      </w:r>
      <w:r w:rsidR="00B854E4" w:rsidRPr="00B46F53">
        <w:rPr>
          <w:i/>
          <w:iCs/>
        </w:rPr>
        <w:t>Model Report for Victorian Government Departments</w:t>
      </w:r>
      <w:r w:rsidR="00B854E4" w:rsidRPr="00B46F53">
        <w:t xml:space="preserve"> </w:t>
      </w:r>
      <w:r w:rsidR="00B854E4">
        <w:t xml:space="preserve">and/or </w:t>
      </w:r>
      <w:r w:rsidR="00B854E4" w:rsidRPr="001474C1">
        <w:rPr>
          <w:i/>
          <w:iCs/>
        </w:rPr>
        <w:t>Tier 2 Model Financial Report for Victorian public sector entities</w:t>
      </w:r>
      <w:r w:rsidR="00B854E4">
        <w:t xml:space="preserve"> </w:t>
      </w:r>
      <w:r w:rsidR="00B854E4" w:rsidRPr="00B46F53">
        <w:t>(Model Report</w:t>
      </w:r>
      <w:r w:rsidR="00B854E4">
        <w:t>s</w:t>
      </w:r>
      <w:r w:rsidR="00B854E4" w:rsidRPr="00B46F53">
        <w:t>)</w:t>
      </w:r>
      <w:r>
        <w:t>, as issued by DTF.</w:t>
      </w:r>
    </w:p>
    <w:p w14:paraId="399F6BC4" w14:textId="14B34C31" w:rsidR="00873C03" w:rsidRPr="00873C03" w:rsidRDefault="00783318" w:rsidP="009A3986">
      <w:r>
        <w:t>Model accounting policies disclosure, by way of Note</w:t>
      </w:r>
      <w:r w:rsidR="0025316C">
        <w:t>s</w:t>
      </w:r>
      <w:r>
        <w:t xml:space="preserve"> in the annual financial report</w:t>
      </w:r>
      <w:r w:rsidR="00873326">
        <w:t>,</w:t>
      </w:r>
      <w:r>
        <w:t xml:space="preserve"> can also be found in the relevant year’s Model Report, as issued by DTF.</w:t>
      </w:r>
    </w:p>
    <w:sectPr w:rsidR="00873C03" w:rsidRPr="00873C03" w:rsidSect="008868E2">
      <w:headerReference w:type="even" r:id="rId14"/>
      <w:headerReference w:type="default" r:id="rId15"/>
      <w:footerReference w:type="even" r:id="rId16"/>
      <w:footerReference w:type="default" r:id="rId17"/>
      <w:headerReference w:type="first" r:id="rId18"/>
      <w:footerReference w:type="first" r:id="rId19"/>
      <w:pgSz w:w="11906" w:h="16838" w:code="9"/>
      <w:pgMar w:top="2160" w:right="1440" w:bottom="1728" w:left="1440" w:header="706" w:footer="46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5F5AD9" w14:textId="77777777" w:rsidR="00003359" w:rsidRDefault="00003359" w:rsidP="002D711A">
      <w:pPr>
        <w:spacing w:after="0" w:line="240" w:lineRule="auto"/>
      </w:pPr>
      <w:r>
        <w:separator/>
      </w:r>
    </w:p>
  </w:endnote>
  <w:endnote w:type="continuationSeparator" w:id="0">
    <w:p w14:paraId="13984E2E" w14:textId="77777777" w:rsidR="00003359" w:rsidRDefault="00003359" w:rsidP="002D71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5E1559E5-506B-4612-AB4C-0CCD9A7E5821}"/>
    <w:embedItalic r:id="rId2" w:fontKey="{2E65B3E9-3288-4184-A60A-B451EC6F6A93}"/>
  </w:font>
  <w:font w:name="VIC">
    <w:panose1 w:val="00000500000000000000"/>
    <w:charset w:val="00"/>
    <w:family w:val="modern"/>
    <w:notTrueType/>
    <w:pitch w:val="variable"/>
    <w:sig w:usb0="00000007" w:usb1="00000000"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VIC SemiBold">
    <w:panose1 w:val="00000700000000000000"/>
    <w:charset w:val="00"/>
    <w:family w:val="modern"/>
    <w:notTrueType/>
    <w:pitch w:val="variable"/>
    <w:sig w:usb0="00000007" w:usb1="00000000" w:usb2="00000000" w:usb3="00000000" w:csb0="000000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3" w:fontKey="{61F5D62D-5EC8-42D8-B9E8-BDB038E9D9A4}"/>
  </w:font>
  <w:font w:name="Aptos">
    <w:charset w:val="00"/>
    <w:family w:val="swiss"/>
    <w:pitch w:val="variable"/>
    <w:sig w:usb0="20000287" w:usb1="00000003" w:usb2="00000000" w:usb3="00000000" w:csb0="0000019F" w:csb1="00000000"/>
    <w:embedRegular r:id="rId4" w:fontKey="{E6C43570-A9DB-48C8-A1CB-E841B29DD95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5FD33" w14:textId="723A70A3" w:rsidR="00E34C42" w:rsidRDefault="008868E2">
    <w:pPr>
      <w:pStyle w:val="Footer"/>
    </w:pPr>
    <w:r>
      <mc:AlternateContent>
        <mc:Choice Requires="wps">
          <w:drawing>
            <wp:anchor distT="0" distB="0" distL="0" distR="0" simplePos="0" relativeHeight="251658243" behindDoc="0" locked="0" layoutInCell="1" allowOverlap="1" wp14:anchorId="47000883" wp14:editId="7FD4BBEB">
              <wp:simplePos x="635" y="635"/>
              <wp:positionH relativeFrom="page">
                <wp:align>left</wp:align>
              </wp:positionH>
              <wp:positionV relativeFrom="page">
                <wp:align>bottom</wp:align>
              </wp:positionV>
              <wp:extent cx="824865" cy="445770"/>
              <wp:effectExtent l="0" t="0" r="13335" b="0"/>
              <wp:wrapNone/>
              <wp:docPr id="1293676256"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24865" cy="445770"/>
                      </a:xfrm>
                      <a:prstGeom prst="rect">
                        <a:avLst/>
                      </a:prstGeom>
                      <a:noFill/>
                      <a:ln>
                        <a:noFill/>
                      </a:ln>
                    </wps:spPr>
                    <wps:txbx>
                      <w:txbxContent>
                        <w:p w14:paraId="05BB3D65" w14:textId="7B2EFE1D" w:rsidR="008868E2" w:rsidRPr="008868E2" w:rsidRDefault="008868E2" w:rsidP="008868E2">
                          <w:pPr>
                            <w:spacing w:after="0"/>
                            <w:rPr>
                              <w:rFonts w:ascii="Aptos" w:eastAsia="Aptos" w:hAnsi="Aptos" w:cs="Aptos"/>
                              <w:noProof/>
                              <w:color w:val="000000"/>
                              <w:sz w:val="22"/>
                              <w:szCs w:val="22"/>
                            </w:rPr>
                          </w:pPr>
                          <w:r w:rsidRPr="008868E2">
                            <w:rPr>
                              <w:rFonts w:ascii="Aptos" w:eastAsia="Aptos" w:hAnsi="Aptos" w:cs="Aptos"/>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7000883" id="_x0000_t202" coordsize="21600,21600" o:spt="202" path="m,l,21600r21600,l21600,xe">
              <v:stroke joinstyle="miter"/>
              <v:path gradientshapeok="t" o:connecttype="rect"/>
            </v:shapetype>
            <v:shape id="Text Box 2" o:spid="_x0000_s1027" type="#_x0000_t202" alt="OFFICIAL" style="position:absolute;margin-left:0;margin-top:0;width:64.95pt;height:35.1pt;z-index:251658243;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" filled="f" stroked="f">
              <v:textbox style="mso-fit-shape-to-text:t" inset="20pt,0,0,15pt">
                <w:txbxContent>
                  <w:p w14:paraId="05BB3D65" w14:textId="7B2EFE1D" w:rsidR="008868E2" w:rsidRPr="008868E2" w:rsidRDefault="008868E2" w:rsidP="008868E2">
                    <w:pPr>
                      <w:spacing w:after="0"/>
                      <w:rPr>
                        <w:rFonts w:ascii="Aptos" w:eastAsia="Aptos" w:hAnsi="Aptos" w:cs="Aptos"/>
                        <w:noProof/>
                        <w:color w:val="000000"/>
                        <w:sz w:val="22"/>
                        <w:szCs w:val="22"/>
                      </w:rPr>
                    </w:pPr>
                    <w:r w:rsidRPr="008868E2">
                      <w:rPr>
                        <w:rFonts w:ascii="Aptos" w:eastAsia="Aptos" w:hAnsi="Aptos" w:cs="Aptos"/>
                        <w:noProof/>
                        <w:color w:val="000000"/>
                        <w:sz w:val="22"/>
                        <w:szCs w:val="22"/>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35418D" w14:textId="3AEA9D21" w:rsidR="00DD5964" w:rsidRDefault="00DD5964" w:rsidP="00DD5964">
    <w:pPr>
      <w:pStyle w:val="Footer"/>
      <w:rPr>
        <w:rStyle w:val="PageNumber"/>
      </w:rPr>
    </w:pPr>
    <w:r w:rsidRPr="00CF2157">
      <w:rPr>
        <w:rFonts w:asciiTheme="majorHAnsi" w:hAnsiTheme="majorHAnsi"/>
        <w:bCs/>
        <w:noProof w:val="0"/>
      </w:rPr>
      <w:fldChar w:fldCharType="begin"/>
    </w:r>
    <w:r w:rsidRPr="00CF2157">
      <w:rPr>
        <w:rFonts w:asciiTheme="majorHAnsi" w:hAnsiTheme="majorHAnsi"/>
        <w:bCs/>
      </w:rPr>
      <w:instrText xml:space="preserve"> StyleRef “Title” </w:instrText>
    </w:r>
    <w:r w:rsidRPr="00CF2157">
      <w:rPr>
        <w:rFonts w:asciiTheme="majorHAnsi" w:hAnsiTheme="majorHAnsi"/>
        <w:bCs/>
        <w:noProof w:val="0"/>
      </w:rPr>
      <w:fldChar w:fldCharType="separate"/>
    </w:r>
    <w:r w:rsidR="00DB7DB2">
      <w:rPr>
        <w:rFonts w:asciiTheme="majorHAnsi" w:hAnsiTheme="majorHAnsi"/>
        <w:bCs/>
      </w:rPr>
      <w:t>Guidance on the application of the cost model for right-of-use assets</w:t>
    </w:r>
    <w:r w:rsidRPr="00CF2157">
      <w:rPr>
        <w:rFonts w:asciiTheme="majorHAnsi" w:hAnsiTheme="majorHAnsi"/>
        <w:bCs/>
      </w:rPr>
      <w:fldChar w:fldCharType="end"/>
    </w:r>
    <w:r w:rsidRPr="00CF2157">
      <w:rPr>
        <w:rFonts w:asciiTheme="majorHAnsi" w:hAnsiTheme="majorHAnsi"/>
        <w:b/>
      </w:rPr>
      <w:t xml:space="preserve"> </w:t>
    </w:r>
    <w:r>
      <w:rPr>
        <w:noProof w:val="0"/>
      </w:rPr>
      <w:tab/>
    </w:r>
    <w:r w:rsidRPr="00C022F9">
      <w:t xml:space="preserve">Page </w:t>
    </w:r>
    <w:r w:rsidRPr="00DE60CC">
      <w:rPr>
        <w:rStyle w:val="PageNumber"/>
      </w:rPr>
      <w:fldChar w:fldCharType="begin"/>
    </w:r>
    <w:r w:rsidRPr="00DE60CC">
      <w:rPr>
        <w:rStyle w:val="PageNumber"/>
      </w:rPr>
      <w:instrText xml:space="preserve"> Page </w:instrText>
    </w:r>
    <w:r w:rsidRPr="00DE60CC">
      <w:rPr>
        <w:rStyle w:val="PageNumber"/>
      </w:rPr>
      <w:fldChar w:fldCharType="separate"/>
    </w:r>
    <w:r>
      <w:rPr>
        <w:rStyle w:val="PageNumber"/>
      </w:rPr>
      <w:t>2</w:t>
    </w:r>
    <w:r w:rsidRPr="00DE60CC">
      <w:rPr>
        <w:rStyle w:val="PageNumber"/>
      </w:rPr>
      <w:fldChar w:fldCharType="end"/>
    </w:r>
  </w:p>
  <w:p w14:paraId="3AE71B2A" w14:textId="1409512F" w:rsidR="00737C44" w:rsidRDefault="008868E2" w:rsidP="00DD5964">
    <w:pPr>
      <w:pStyle w:val="Footer"/>
    </w:pPr>
    <w:r>
      <mc:AlternateContent>
        <mc:Choice Requires="wps">
          <w:drawing>
            <wp:anchor distT="0" distB="0" distL="0" distR="0" simplePos="0" relativeHeight="251658244" behindDoc="0" locked="0" layoutInCell="1" allowOverlap="1" wp14:anchorId="447C4374" wp14:editId="0C130582">
              <wp:simplePos x="914400" y="10160813"/>
              <wp:positionH relativeFrom="page">
                <wp:align>left</wp:align>
              </wp:positionH>
              <wp:positionV relativeFrom="page">
                <wp:align>bottom</wp:align>
              </wp:positionV>
              <wp:extent cx="824865" cy="445770"/>
              <wp:effectExtent l="0" t="0" r="13335" b="0"/>
              <wp:wrapNone/>
              <wp:docPr id="2086408007"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24865" cy="445770"/>
                      </a:xfrm>
                      <a:prstGeom prst="rect">
                        <a:avLst/>
                      </a:prstGeom>
                      <a:noFill/>
                      <a:ln>
                        <a:noFill/>
                      </a:ln>
                    </wps:spPr>
                    <wps:txbx>
                      <w:txbxContent>
                        <w:p w14:paraId="706ACAB3" w14:textId="4BEF2E09" w:rsidR="008868E2" w:rsidRPr="008868E2" w:rsidRDefault="008868E2" w:rsidP="008868E2">
                          <w:pPr>
                            <w:spacing w:after="0"/>
                            <w:rPr>
                              <w:rFonts w:ascii="Aptos" w:eastAsia="Aptos" w:hAnsi="Aptos" w:cs="Aptos"/>
                              <w:noProof/>
                              <w:color w:val="000000"/>
                              <w:sz w:val="22"/>
                              <w:szCs w:val="22"/>
                            </w:rPr>
                          </w:pPr>
                          <w:r w:rsidRPr="008868E2">
                            <w:rPr>
                              <w:rFonts w:ascii="Aptos" w:eastAsia="Aptos" w:hAnsi="Aptos" w:cs="Aptos"/>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47C4374" id="_x0000_t202" coordsize="21600,21600" o:spt="202" path="m,l,21600r21600,l21600,xe">
              <v:stroke joinstyle="miter"/>
              <v:path gradientshapeok="t" o:connecttype="rect"/>
            </v:shapetype>
            <v:shape id="_x0000_s1028" type="#_x0000_t202" alt="OFFICIAL" style="position:absolute;margin-left:0;margin-top:0;width:64.95pt;height:35.1pt;z-index:25165824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" filled="f" stroked="f">
              <v:textbox style="mso-fit-shape-to-text:t" inset="20pt,0,0,15pt">
                <w:txbxContent>
                  <w:p w14:paraId="706ACAB3" w14:textId="4BEF2E09" w:rsidR="008868E2" w:rsidRPr="008868E2" w:rsidRDefault="008868E2" w:rsidP="008868E2">
                    <w:pPr>
                      <w:spacing w:after="0"/>
                      <w:rPr>
                        <w:rFonts w:ascii="Aptos" w:eastAsia="Aptos" w:hAnsi="Aptos" w:cs="Aptos"/>
                        <w:noProof/>
                        <w:color w:val="000000"/>
                        <w:sz w:val="22"/>
                        <w:szCs w:val="22"/>
                      </w:rPr>
                    </w:pPr>
                    <w:r w:rsidRPr="008868E2">
                      <w:rPr>
                        <w:rFonts w:ascii="Aptos" w:eastAsia="Aptos" w:hAnsi="Aptos" w:cs="Aptos"/>
                        <w:noProof/>
                        <w:color w:val="000000"/>
                        <w:sz w:val="22"/>
                        <w:szCs w:val="22"/>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30607" w14:textId="4A740AF4" w:rsidR="00E34C42" w:rsidRDefault="008868E2" w:rsidP="008868E2">
    <w:pPr>
      <w:pStyle w:val="Footer"/>
      <w:jc w:val="right"/>
    </w:pPr>
    <w:r>
      <mc:AlternateContent>
        <mc:Choice Requires="wps">
          <w:drawing>
            <wp:anchor distT="0" distB="0" distL="0" distR="0" simplePos="0" relativeHeight="251658242" behindDoc="0" locked="0" layoutInCell="1" allowOverlap="1" wp14:anchorId="60D50CB4" wp14:editId="25F91459">
              <wp:simplePos x="914400" y="9941357"/>
              <wp:positionH relativeFrom="page">
                <wp:align>left</wp:align>
              </wp:positionH>
              <wp:positionV relativeFrom="page">
                <wp:align>bottom</wp:align>
              </wp:positionV>
              <wp:extent cx="824865" cy="445770"/>
              <wp:effectExtent l="0" t="0" r="13335" b="0"/>
              <wp:wrapNone/>
              <wp:docPr id="1362800476"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24865" cy="445770"/>
                      </a:xfrm>
                      <a:prstGeom prst="rect">
                        <a:avLst/>
                      </a:prstGeom>
                      <a:noFill/>
                      <a:ln>
                        <a:noFill/>
                      </a:ln>
                    </wps:spPr>
                    <wps:txbx>
                      <w:txbxContent>
                        <w:p w14:paraId="28EA661F" w14:textId="435C829C" w:rsidR="008868E2" w:rsidRPr="008868E2" w:rsidRDefault="008868E2" w:rsidP="008868E2">
                          <w:pPr>
                            <w:spacing w:after="0"/>
                            <w:rPr>
                              <w:rFonts w:ascii="Aptos" w:eastAsia="Aptos" w:hAnsi="Aptos" w:cs="Aptos"/>
                              <w:noProof/>
                              <w:color w:val="000000"/>
                              <w:sz w:val="22"/>
                              <w:szCs w:val="22"/>
                            </w:rPr>
                          </w:pPr>
                          <w:r w:rsidRPr="008868E2">
                            <w:rPr>
                              <w:rFonts w:ascii="Aptos" w:eastAsia="Aptos" w:hAnsi="Aptos" w:cs="Aptos"/>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0D50CB4" id="_x0000_t202" coordsize="21600,21600" o:spt="202" path="m,l,21600r21600,l21600,xe">
              <v:stroke joinstyle="miter"/>
              <v:path gradientshapeok="t" o:connecttype="rect"/>
            </v:shapetype>
            <v:shape id="Text Box 1" o:spid="_x0000_s1029" type="#_x0000_t202" alt="OFFICIAL" style="position:absolute;left:0;text-align:left;margin-left:0;margin-top:0;width:64.95pt;height:35.1pt;z-index:25165824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" filled="f" stroked="f">
              <v:textbox style="mso-fit-shape-to-text:t" inset="20pt,0,0,15pt">
                <w:txbxContent>
                  <w:p w14:paraId="28EA661F" w14:textId="435C829C" w:rsidR="008868E2" w:rsidRPr="008868E2" w:rsidRDefault="008868E2" w:rsidP="008868E2">
                    <w:pPr>
                      <w:spacing w:after="0"/>
                      <w:rPr>
                        <w:rFonts w:ascii="Aptos" w:eastAsia="Aptos" w:hAnsi="Aptos" w:cs="Aptos"/>
                        <w:noProof/>
                        <w:color w:val="000000"/>
                        <w:sz w:val="22"/>
                        <w:szCs w:val="22"/>
                      </w:rPr>
                    </w:pPr>
                    <w:r w:rsidRPr="008868E2">
                      <w:rPr>
                        <w:rFonts w:ascii="Aptos" w:eastAsia="Aptos" w:hAnsi="Aptos" w:cs="Aptos"/>
                        <w:noProof/>
                        <w:color w:val="000000"/>
                        <w:sz w:val="22"/>
                        <w:szCs w:val="22"/>
                      </w:rPr>
                      <w:t>OFFICIAL</w:t>
                    </w:r>
                  </w:p>
                </w:txbxContent>
              </v:textbox>
              <w10:wrap anchorx="page" anchory="page"/>
            </v:shape>
          </w:pict>
        </mc:Fallback>
      </mc:AlternateContent>
    </w:r>
    <w:r>
      <w:drawing>
        <wp:inline distT="0" distB="0" distL="0" distR="0" wp14:anchorId="2A5201D8" wp14:editId="271D8640">
          <wp:extent cx="1531807" cy="457200"/>
          <wp:effectExtent l="0" t="0" r="0" b="0"/>
          <wp:docPr id="173354100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541005"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531807" cy="4572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B0247E" w14:textId="77777777" w:rsidR="00003359" w:rsidRDefault="00003359" w:rsidP="002D711A">
      <w:pPr>
        <w:spacing w:after="0" w:line="240" w:lineRule="auto"/>
      </w:pPr>
      <w:r>
        <w:separator/>
      </w:r>
    </w:p>
  </w:footnote>
  <w:footnote w:type="continuationSeparator" w:id="0">
    <w:p w14:paraId="37B9177E" w14:textId="77777777" w:rsidR="00003359" w:rsidRDefault="00003359" w:rsidP="002D711A">
      <w:pPr>
        <w:spacing w:after="0" w:line="240" w:lineRule="auto"/>
      </w:pPr>
      <w:r>
        <w:continuationSeparator/>
      </w:r>
    </w:p>
  </w:footnote>
  <w:footnote w:id="1">
    <w:p w14:paraId="334072FF" w14:textId="55B7F9B9" w:rsidR="00B20A88" w:rsidRDefault="00B20A88" w:rsidP="00B20A88">
      <w:pPr>
        <w:pStyle w:val="FootnoteText"/>
      </w:pPr>
      <w:r>
        <w:rPr>
          <w:rStyle w:val="FootnoteReference"/>
        </w:rPr>
        <w:footnoteRef/>
      </w:r>
      <w:r>
        <w:t xml:space="preserve"> For entities with a 30 June year end, the first year of application will be reporting periods ending 30</w:t>
      </w:r>
      <w:r w:rsidR="00DD5964">
        <w:rPr>
          <w:rFonts w:ascii="Calibri" w:hAnsi="Calibri" w:cs="Calibri"/>
        </w:rPr>
        <w:t> </w:t>
      </w:r>
      <w:r>
        <w:t>June</w:t>
      </w:r>
      <w:r w:rsidR="00DD5964">
        <w:rPr>
          <w:rFonts w:ascii="Calibri" w:hAnsi="Calibri" w:cs="Calibri"/>
        </w:rPr>
        <w:t> </w:t>
      </w:r>
      <w:r>
        <w:t>2026. For entities with a 31 December year end, the first year of application will be reporting periods</w:t>
      </w:r>
      <w:r w:rsidR="00DD5964">
        <w:rPr>
          <w:rFonts w:ascii="Calibri" w:hAnsi="Calibri" w:cs="Calibri"/>
        </w:rPr>
        <w:t> </w:t>
      </w:r>
      <w:r>
        <w:t>ending 31 December 2026.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6751B" w14:textId="72470680" w:rsidR="00E34C42" w:rsidRDefault="00E34C42">
    <w:pPr>
      <w:pStyle w:val="Header"/>
    </w:pPr>
    <w:r>
      <w:rPr>
        <w:noProof/>
      </w:rPr>
      <mc:AlternateContent>
        <mc:Choice Requires="wps">
          <w:drawing>
            <wp:anchor distT="0" distB="0" distL="0" distR="0" simplePos="0" relativeHeight="251658240" behindDoc="0" locked="0" layoutInCell="1" allowOverlap="1" wp14:anchorId="29D150B7" wp14:editId="0F992633">
              <wp:simplePos x="635" y="635"/>
              <wp:positionH relativeFrom="page">
                <wp:align>center</wp:align>
              </wp:positionH>
              <wp:positionV relativeFrom="page">
                <wp:align>top</wp:align>
              </wp:positionV>
              <wp:extent cx="632460" cy="506095"/>
              <wp:effectExtent l="0" t="0" r="15240" b="8255"/>
              <wp:wrapNone/>
              <wp:docPr id="1362714782"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32460" cy="506095"/>
                      </a:xfrm>
                      <a:prstGeom prst="rect">
                        <a:avLst/>
                      </a:prstGeom>
                      <a:noFill/>
                      <a:ln>
                        <a:noFill/>
                      </a:ln>
                    </wps:spPr>
                    <wps:txbx>
                      <w:txbxContent>
                        <w:p w14:paraId="6EA0F490" w14:textId="2FD31EE4" w:rsidR="00E34C42" w:rsidRPr="00E34C42" w:rsidRDefault="00E34C42" w:rsidP="00E34C42">
                          <w:pPr>
                            <w:spacing w:after="0"/>
                            <w:rPr>
                              <w:rFonts w:ascii="Aptos" w:eastAsia="Aptos" w:hAnsi="Aptos" w:cs="Aptos"/>
                              <w:noProof/>
                              <w:color w:val="000000"/>
                              <w:sz w:val="24"/>
                              <w:szCs w:val="24"/>
                            </w:rPr>
                          </w:pPr>
                          <w:r w:rsidRPr="00E34C42">
                            <w:rPr>
                              <w:rFonts w:ascii="Aptos" w:eastAsia="Aptos" w:hAnsi="Aptos" w:cs="Aptos"/>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9D150B7" id="_x0000_t202" coordsize="21600,21600" o:spt="202" path="m,l,21600r21600,l21600,xe">
              <v:stroke joinstyle="miter"/>
              <v:path gradientshapeok="t" o:connecttype="rect"/>
            </v:shapetype>
            <v:shape id="Text Box 3" o:spid="_x0000_s1026" type="#_x0000_t202" alt="OFFICIAL" style="position:absolute;margin-left:0;margin-top:0;width:49.8pt;height:39.8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" filled="f" stroked="f">
              <v:textbox style="mso-fit-shape-to-text:t" inset="0,15pt,0,0">
                <w:txbxContent>
                  <w:p w14:paraId="6EA0F490" w14:textId="2FD31EE4" w:rsidR="00E34C42" w:rsidRPr="00E34C42" w:rsidRDefault="00E34C42" w:rsidP="00E34C42">
                    <w:pPr>
                      <w:spacing w:after="0"/>
                      <w:rPr>
                        <w:rFonts w:ascii="Aptos" w:eastAsia="Aptos" w:hAnsi="Aptos" w:cs="Aptos"/>
                        <w:noProof/>
                        <w:color w:val="000000"/>
                        <w:sz w:val="24"/>
                        <w:szCs w:val="24"/>
                      </w:rPr>
                    </w:pPr>
                    <w:r w:rsidRPr="00E34C42">
                      <w:rPr>
                        <w:rFonts w:ascii="Aptos" w:eastAsia="Aptos" w:hAnsi="Aptos" w:cs="Aptos"/>
                        <w:noProof/>
                        <w:color w:val="00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268A4" w14:textId="77777777" w:rsidR="003B2EA8" w:rsidRPr="0041689E" w:rsidRDefault="003B2EA8" w:rsidP="003B2EA8">
    <w:pPr>
      <w:pStyle w:val="Header"/>
    </w:pPr>
    <w:r>
      <w:rPr>
        <w:noProof/>
      </w:rPr>
      <mc:AlternateContent>
        <mc:Choice Requires="wpg">
          <w:drawing>
            <wp:anchor distT="0" distB="0" distL="114300" distR="114300" simplePos="0" relativeHeight="251658241" behindDoc="0" locked="0" layoutInCell="1" allowOverlap="1" wp14:anchorId="1AB5556A" wp14:editId="399A8479">
              <wp:simplePos x="0" y="0"/>
              <wp:positionH relativeFrom="page">
                <wp:align>left</wp:align>
              </wp:positionH>
              <wp:positionV relativeFrom="page">
                <wp:align>top</wp:align>
              </wp:positionV>
              <wp:extent cx="7598664" cy="978408"/>
              <wp:effectExtent l="0" t="0" r="2540" b="0"/>
              <wp:wrapNone/>
              <wp:docPr id="32" name="Page banner">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98664" cy="978408"/>
                        <a:chOff x="0" y="1270"/>
                        <a:chExt cx="7598197" cy="978408"/>
                      </a:xfrm>
                    </wpg:grpSpPr>
                    <wps:wsp>
                      <wps:cNvPr id="33" name="Shape 5"/>
                      <wps:cNvSpPr/>
                      <wps:spPr>
                        <a:xfrm>
                          <a:off x="0" y="1270"/>
                          <a:ext cx="7565306" cy="978408"/>
                        </a:xfrm>
                        <a:custGeom>
                          <a:avLst/>
                          <a:gdLst>
                            <a:gd name="connsiteX0" fmla="*/ 0 w 5670042"/>
                            <a:gd name="connsiteY0" fmla="*/ 0 h 733806"/>
                            <a:gd name="connsiteX1" fmla="*/ 5670043 w 5670042"/>
                            <a:gd name="connsiteY1" fmla="*/ 0 h 733806"/>
                            <a:gd name="connsiteX2" fmla="*/ 5670043 w 5670042"/>
                            <a:gd name="connsiteY2" fmla="*/ 733806 h 733806"/>
                            <a:gd name="connsiteX3" fmla="*/ 0 w 5670042"/>
                            <a:gd name="connsiteY3" fmla="*/ 733806 h 733806"/>
                          </a:gdLst>
                          <a:ahLst/>
                          <a:cxnLst>
                            <a:cxn ang="0">
                              <a:pos x="connsiteX0" y="connsiteY0"/>
                            </a:cxn>
                            <a:cxn ang="0">
                              <a:pos x="connsiteX1" y="connsiteY1"/>
                            </a:cxn>
                            <a:cxn ang="0">
                              <a:pos x="connsiteX2" y="connsiteY2"/>
                            </a:cxn>
                            <a:cxn ang="0">
                              <a:pos x="connsiteX3" y="connsiteY3"/>
                            </a:cxn>
                          </a:cxnLst>
                          <a:rect l="l" t="t" r="r" b="b"/>
                          <a:pathLst>
                            <a:path w="5670042" h="733806">
                              <a:moveTo>
                                <a:pt x="0" y="0"/>
                              </a:moveTo>
                              <a:lnTo>
                                <a:pt x="5670043" y="0"/>
                              </a:lnTo>
                              <a:lnTo>
                                <a:pt x="5670043" y="733806"/>
                              </a:lnTo>
                              <a:lnTo>
                                <a:pt x="0" y="733806"/>
                              </a:lnTo>
                              <a:close/>
                            </a:path>
                          </a:pathLst>
                        </a:custGeom>
                        <a:solidFill>
                          <a:schemeClr val="bg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Shape  4"/>
                      <wps:cNvSpPr/>
                      <wps:spPr>
                        <a:xfrm>
                          <a:off x="5972433" y="1270"/>
                          <a:ext cx="1621308" cy="978408"/>
                        </a:xfrm>
                        <a:custGeom>
                          <a:avLst/>
                          <a:gdLst>
                            <a:gd name="connsiteX0" fmla="*/ 1209580 w 1209579"/>
                            <a:gd name="connsiteY0" fmla="*/ 0 h 733806"/>
                            <a:gd name="connsiteX1" fmla="*/ 1209580 w 1209579"/>
                            <a:gd name="connsiteY1" fmla="*/ 733806 h 733806"/>
                            <a:gd name="connsiteX2" fmla="*/ 0 w 1209579"/>
                            <a:gd name="connsiteY2" fmla="*/ 733806 h 733806"/>
                            <a:gd name="connsiteX3" fmla="*/ 346805 w 1209579"/>
                            <a:gd name="connsiteY3" fmla="*/ 0 h 733806"/>
                          </a:gdLst>
                          <a:ahLst/>
                          <a:cxnLst>
                            <a:cxn ang="0">
                              <a:pos x="connsiteX0" y="connsiteY0"/>
                            </a:cxn>
                            <a:cxn ang="0">
                              <a:pos x="connsiteX1" y="connsiteY1"/>
                            </a:cxn>
                            <a:cxn ang="0">
                              <a:pos x="connsiteX2" y="connsiteY2"/>
                            </a:cxn>
                            <a:cxn ang="0">
                              <a:pos x="connsiteX3" y="connsiteY3"/>
                            </a:cxn>
                          </a:cxnLst>
                          <a:rect l="l" t="t" r="r" b="b"/>
                          <a:pathLst>
                            <a:path w="1209579" h="733806">
                              <a:moveTo>
                                <a:pt x="1209580" y="0"/>
                              </a:moveTo>
                              <a:lnTo>
                                <a:pt x="1209580" y="733806"/>
                              </a:lnTo>
                              <a:lnTo>
                                <a:pt x="0" y="733806"/>
                              </a:lnTo>
                              <a:lnTo>
                                <a:pt x="346805" y="0"/>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Shape 3"/>
                      <wps:cNvSpPr/>
                      <wps:spPr>
                        <a:xfrm>
                          <a:off x="4940490" y="1270"/>
                          <a:ext cx="1503468" cy="978408"/>
                        </a:xfrm>
                        <a:custGeom>
                          <a:avLst/>
                          <a:gdLst>
                            <a:gd name="connsiteX0" fmla="*/ 0 w 1121664"/>
                            <a:gd name="connsiteY0" fmla="*/ 733806 h 733806"/>
                            <a:gd name="connsiteX1" fmla="*/ 774859 w 1121664"/>
                            <a:gd name="connsiteY1" fmla="*/ 733806 h 733806"/>
                            <a:gd name="connsiteX2" fmla="*/ 1121664 w 1121664"/>
                            <a:gd name="connsiteY2" fmla="*/ 0 h 733806"/>
                            <a:gd name="connsiteX3" fmla="*/ 346805 w 1121664"/>
                            <a:gd name="connsiteY3" fmla="*/ 0 h 733806"/>
                          </a:gdLst>
                          <a:ahLst/>
                          <a:cxnLst>
                            <a:cxn ang="0">
                              <a:pos x="connsiteX0" y="connsiteY0"/>
                            </a:cxn>
                            <a:cxn ang="0">
                              <a:pos x="connsiteX1" y="connsiteY1"/>
                            </a:cxn>
                            <a:cxn ang="0">
                              <a:pos x="connsiteX2" y="connsiteY2"/>
                            </a:cxn>
                            <a:cxn ang="0">
                              <a:pos x="connsiteX3" y="connsiteY3"/>
                            </a:cxn>
                          </a:cxnLst>
                          <a:rect l="l" t="t" r="r" b="b"/>
                          <a:pathLst>
                            <a:path w="1121664" h="733806">
                              <a:moveTo>
                                <a:pt x="0" y="733806"/>
                              </a:moveTo>
                              <a:lnTo>
                                <a:pt x="774859" y="733806"/>
                              </a:lnTo>
                              <a:lnTo>
                                <a:pt x="1121664" y="0"/>
                              </a:lnTo>
                              <a:lnTo>
                                <a:pt x="346805" y="0"/>
                              </a:lnTo>
                              <a:close/>
                            </a:path>
                          </a:pathLst>
                        </a:custGeom>
                        <a:solidFill>
                          <a:schemeClr val="accent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Shape 2"/>
                      <wps:cNvSpPr/>
                      <wps:spPr>
                        <a:xfrm>
                          <a:off x="6441743" y="1270"/>
                          <a:ext cx="1156454" cy="978280"/>
                        </a:xfrm>
                        <a:custGeom>
                          <a:avLst/>
                          <a:gdLst>
                            <a:gd name="connsiteX0" fmla="*/ 0 w 862774"/>
                            <a:gd name="connsiteY0" fmla="*/ 0 h 733710"/>
                            <a:gd name="connsiteX1" fmla="*/ 346805 w 862774"/>
                            <a:gd name="connsiteY1" fmla="*/ 733711 h 733710"/>
                            <a:gd name="connsiteX2" fmla="*/ 862774 w 862774"/>
                            <a:gd name="connsiteY2" fmla="*/ 733711 h 733710"/>
                            <a:gd name="connsiteX3" fmla="*/ 862774 w 862774"/>
                            <a:gd name="connsiteY3" fmla="*/ 0 h 733710"/>
                          </a:gdLst>
                          <a:ahLst/>
                          <a:cxnLst>
                            <a:cxn ang="0">
                              <a:pos x="connsiteX0" y="connsiteY0"/>
                            </a:cxn>
                            <a:cxn ang="0">
                              <a:pos x="connsiteX1" y="connsiteY1"/>
                            </a:cxn>
                            <a:cxn ang="0">
                              <a:pos x="connsiteX2" y="connsiteY2"/>
                            </a:cxn>
                            <a:cxn ang="0">
                              <a:pos x="connsiteX3" y="connsiteY3"/>
                            </a:cxn>
                          </a:cxnLst>
                          <a:rect l="l" t="t" r="r" b="b"/>
                          <a:pathLst>
                            <a:path w="862774" h="733710">
                              <a:moveTo>
                                <a:pt x="0" y="0"/>
                              </a:moveTo>
                              <a:lnTo>
                                <a:pt x="346805" y="733711"/>
                              </a:lnTo>
                              <a:lnTo>
                                <a:pt x="862774" y="733711"/>
                              </a:lnTo>
                              <a:lnTo>
                                <a:pt x="862774" y="0"/>
                              </a:lnTo>
                              <a:close/>
                            </a:path>
                          </a:pathLst>
                        </a:custGeom>
                        <a:solidFill>
                          <a:schemeClr val="tx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Shape 1"/>
                      <wps:cNvSpPr/>
                      <wps:spPr>
                        <a:xfrm>
                          <a:off x="4701654" y="477672"/>
                          <a:ext cx="1276722" cy="501649"/>
                        </a:xfrm>
                        <a:custGeom>
                          <a:avLst/>
                          <a:gdLst>
                            <a:gd name="connsiteX0" fmla="*/ 0 w 952500"/>
                            <a:gd name="connsiteY0" fmla="*/ 0 h 376237"/>
                            <a:gd name="connsiteX1" fmla="*/ 774573 w 952500"/>
                            <a:gd name="connsiteY1" fmla="*/ 0 h 376237"/>
                            <a:gd name="connsiteX2" fmla="*/ 952500 w 952500"/>
                            <a:gd name="connsiteY2" fmla="*/ 376238 h 376237"/>
                            <a:gd name="connsiteX3" fmla="*/ 177832 w 952500"/>
                            <a:gd name="connsiteY3" fmla="*/ 376238 h 376237"/>
                          </a:gdLst>
                          <a:ahLst/>
                          <a:cxnLst>
                            <a:cxn ang="0">
                              <a:pos x="connsiteX0" y="connsiteY0"/>
                            </a:cxn>
                            <a:cxn ang="0">
                              <a:pos x="connsiteX1" y="connsiteY1"/>
                            </a:cxn>
                            <a:cxn ang="0">
                              <a:pos x="connsiteX2" y="connsiteY2"/>
                            </a:cxn>
                            <a:cxn ang="0">
                              <a:pos x="connsiteX3" y="connsiteY3"/>
                            </a:cxn>
                          </a:cxnLst>
                          <a:rect l="l" t="t" r="r" b="b"/>
                          <a:pathLst>
                            <a:path w="952500" h="376237">
                              <a:moveTo>
                                <a:pt x="0" y="0"/>
                              </a:moveTo>
                              <a:lnTo>
                                <a:pt x="774573" y="0"/>
                              </a:lnTo>
                              <a:lnTo>
                                <a:pt x="952500" y="376238"/>
                              </a:lnTo>
                              <a:lnTo>
                                <a:pt x="177832" y="376238"/>
                              </a:lnTo>
                              <a:close/>
                            </a:path>
                          </a:pathLst>
                        </a:custGeom>
                        <a:solidFill>
                          <a:srgbClr val="FFFFFF">
                            <a:alpha val="50000"/>
                          </a:srgbClr>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10EBF2" id="Page banner" o:spid="_x0000_s1026" alt="&quot;&quot;" style="position:absolute;margin-left:0;margin-top:0;width:598.3pt;height:77.05pt;z-index:251658241;mso-position-horizontal:left;mso-position-horizontal-relative:page;mso-position-vertical:top;mso-position-vertical-relative:page;mso-width-relative:margin;mso-height-relative:margin" coordorigin=",12" coordsize="75981,9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">
              <v:shape id="Shape 5" o:spid="_x0000_s1027" style="position:absolute;top:12;width:75653;height:9784;visibility:visible;mso-wrap-style:square;v-text-anchor:middle" coordsize="5670042,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" path="m,l5670043,r,733806l,733806,,xe" fillcolor="#c2ebfa [3214]" stroked="f">
                <v:stroke joinstyle="miter"/>
                <v:path arrowok="t" o:connecttype="custom" o:connectlocs="0,0;7565307,0;7565307,978408;0,978408" o:connectangles="0,0,0,0"/>
              </v:shape>
              <v:shape id="Shape  4" o:spid="_x0000_s1028" style="position:absolute;left:59724;top:12;width:16213;height:9784;visibility:visible;mso-wrap-style:square;v-text-anchor:middle" coordsize="1209579,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" path="m1209580,r,733806l,733806,346805,r862775,xe" fillcolor="#0072ce [3204]" stroked="f">
                <v:stroke joinstyle="miter"/>
                <v:path arrowok="t" o:connecttype="custom" o:connectlocs="1621309,0;1621309,978408;0,978408;464854,0" o:connectangles="0,0,0,0"/>
              </v:shape>
              <v:shape id="Shape 3" o:spid="_x0000_s1029" style="position:absolute;left:49404;top:12;width:15035;height:9784;visibility:visible;mso-wrap-style:square;v-text-anchor:middle" coordsize="1121664,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" path="m,733806r774859,l1121664,,346805,,,733806xe" fillcolor="#68cef2 [3205]" stroked="f">
                <v:stroke joinstyle="miter"/>
                <v:path arrowok="t" o:connecttype="custom" o:connectlocs="0,978408;1038614,978408;1503468,0;464854,0" o:connectangles="0,0,0,0"/>
              </v:shape>
              <v:shape id="Shape 2" o:spid="_x0000_s1030" style="position:absolute;left:64417;top:12;width:11564;height:9783;visibility:visible;mso-wrap-style:square;v-text-anchor:middle" coordsize="862774,73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" path="m,l346805,733711r515969,l862774,,,xe" fillcolor="#232b39 [3213]" stroked="f">
                <v:stroke joinstyle="miter"/>
                <v:path arrowok="t" o:connecttype="custom" o:connectlocs="0,0;464854,978281;1156454,978281;1156454,0" o:connectangles="0,0,0,0"/>
              </v:shape>
              <v:shape id="Shape 1" o:spid="_x0000_s1031" style="position:absolute;left:47016;top:4776;width:12767;height:5017;visibility:visible;mso-wrap-style:square;v-text-anchor:middle" coordsize="952500,37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" path="m,l774573,,952500,376238r-774668,l,xe" stroked="f">
                <v:fill opacity="32896f"/>
                <v:stroke joinstyle="miter"/>
                <v:path arrowok="t" o:connecttype="custom" o:connectlocs="0,0;1038230,0;1276722,501650;238364,501650" o:connectangles="0,0,0,0"/>
              </v:shape>
              <w10:wrap anchorx="page" anchory="page"/>
            </v:group>
          </w:pict>
        </mc:Fallback>
      </mc:AlternateContent>
    </w:r>
  </w:p>
  <w:p w14:paraId="5BF4E944" w14:textId="05991732" w:rsidR="00737C44" w:rsidRPr="003B2EA8" w:rsidRDefault="00737C44" w:rsidP="003B2EA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17458" w14:textId="77777777" w:rsidR="00DD5964" w:rsidRPr="0041689E" w:rsidRDefault="00DD5964" w:rsidP="00DD5964">
    <w:pPr>
      <w:pStyle w:val="Header"/>
    </w:pPr>
    <w:r>
      <w:rPr>
        <w:noProof/>
      </w:rPr>
      <mc:AlternateContent>
        <mc:Choice Requires="wpg">
          <w:drawing>
            <wp:anchor distT="0" distB="0" distL="114300" distR="114300" simplePos="0" relativeHeight="251658245" behindDoc="0" locked="0" layoutInCell="1" allowOverlap="1" wp14:anchorId="3D37E00A" wp14:editId="239AA312">
              <wp:simplePos x="0" y="0"/>
              <wp:positionH relativeFrom="page">
                <wp:align>left</wp:align>
              </wp:positionH>
              <wp:positionV relativeFrom="page">
                <wp:align>top</wp:align>
              </wp:positionV>
              <wp:extent cx="7598664" cy="978408"/>
              <wp:effectExtent l="0" t="0" r="2540" b="0"/>
              <wp:wrapNone/>
              <wp:docPr id="1756384532" name="Page banner">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98664" cy="978408"/>
                        <a:chOff x="0" y="1270"/>
                        <a:chExt cx="7598197" cy="978408"/>
                      </a:xfrm>
                    </wpg:grpSpPr>
                    <wps:wsp>
                      <wps:cNvPr id="1139394632" name="Shape 5"/>
                      <wps:cNvSpPr/>
                      <wps:spPr>
                        <a:xfrm>
                          <a:off x="0" y="1270"/>
                          <a:ext cx="7565306" cy="978408"/>
                        </a:xfrm>
                        <a:custGeom>
                          <a:avLst/>
                          <a:gdLst>
                            <a:gd name="connsiteX0" fmla="*/ 0 w 5670042"/>
                            <a:gd name="connsiteY0" fmla="*/ 0 h 733806"/>
                            <a:gd name="connsiteX1" fmla="*/ 5670043 w 5670042"/>
                            <a:gd name="connsiteY1" fmla="*/ 0 h 733806"/>
                            <a:gd name="connsiteX2" fmla="*/ 5670043 w 5670042"/>
                            <a:gd name="connsiteY2" fmla="*/ 733806 h 733806"/>
                            <a:gd name="connsiteX3" fmla="*/ 0 w 5670042"/>
                            <a:gd name="connsiteY3" fmla="*/ 733806 h 733806"/>
                          </a:gdLst>
                          <a:ahLst/>
                          <a:cxnLst>
                            <a:cxn ang="0">
                              <a:pos x="connsiteX0" y="connsiteY0"/>
                            </a:cxn>
                            <a:cxn ang="0">
                              <a:pos x="connsiteX1" y="connsiteY1"/>
                            </a:cxn>
                            <a:cxn ang="0">
                              <a:pos x="connsiteX2" y="connsiteY2"/>
                            </a:cxn>
                            <a:cxn ang="0">
                              <a:pos x="connsiteX3" y="connsiteY3"/>
                            </a:cxn>
                          </a:cxnLst>
                          <a:rect l="l" t="t" r="r" b="b"/>
                          <a:pathLst>
                            <a:path w="5670042" h="733806">
                              <a:moveTo>
                                <a:pt x="0" y="0"/>
                              </a:moveTo>
                              <a:lnTo>
                                <a:pt x="5670043" y="0"/>
                              </a:lnTo>
                              <a:lnTo>
                                <a:pt x="5670043" y="733806"/>
                              </a:lnTo>
                              <a:lnTo>
                                <a:pt x="0" y="733806"/>
                              </a:lnTo>
                              <a:close/>
                            </a:path>
                          </a:pathLst>
                        </a:custGeom>
                        <a:solidFill>
                          <a:schemeClr val="bg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4848632" name="Shape  4"/>
                      <wps:cNvSpPr/>
                      <wps:spPr>
                        <a:xfrm>
                          <a:off x="5972433" y="1270"/>
                          <a:ext cx="1621308" cy="978408"/>
                        </a:xfrm>
                        <a:custGeom>
                          <a:avLst/>
                          <a:gdLst>
                            <a:gd name="connsiteX0" fmla="*/ 1209580 w 1209579"/>
                            <a:gd name="connsiteY0" fmla="*/ 0 h 733806"/>
                            <a:gd name="connsiteX1" fmla="*/ 1209580 w 1209579"/>
                            <a:gd name="connsiteY1" fmla="*/ 733806 h 733806"/>
                            <a:gd name="connsiteX2" fmla="*/ 0 w 1209579"/>
                            <a:gd name="connsiteY2" fmla="*/ 733806 h 733806"/>
                            <a:gd name="connsiteX3" fmla="*/ 346805 w 1209579"/>
                            <a:gd name="connsiteY3" fmla="*/ 0 h 733806"/>
                          </a:gdLst>
                          <a:ahLst/>
                          <a:cxnLst>
                            <a:cxn ang="0">
                              <a:pos x="connsiteX0" y="connsiteY0"/>
                            </a:cxn>
                            <a:cxn ang="0">
                              <a:pos x="connsiteX1" y="connsiteY1"/>
                            </a:cxn>
                            <a:cxn ang="0">
                              <a:pos x="connsiteX2" y="connsiteY2"/>
                            </a:cxn>
                            <a:cxn ang="0">
                              <a:pos x="connsiteX3" y="connsiteY3"/>
                            </a:cxn>
                          </a:cxnLst>
                          <a:rect l="l" t="t" r="r" b="b"/>
                          <a:pathLst>
                            <a:path w="1209579" h="733806">
                              <a:moveTo>
                                <a:pt x="1209580" y="0"/>
                              </a:moveTo>
                              <a:lnTo>
                                <a:pt x="1209580" y="733806"/>
                              </a:lnTo>
                              <a:lnTo>
                                <a:pt x="0" y="733806"/>
                              </a:lnTo>
                              <a:lnTo>
                                <a:pt x="346805" y="0"/>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6968725" name="Shape 3"/>
                      <wps:cNvSpPr/>
                      <wps:spPr>
                        <a:xfrm>
                          <a:off x="4940490" y="1270"/>
                          <a:ext cx="1503468" cy="978408"/>
                        </a:xfrm>
                        <a:custGeom>
                          <a:avLst/>
                          <a:gdLst>
                            <a:gd name="connsiteX0" fmla="*/ 0 w 1121664"/>
                            <a:gd name="connsiteY0" fmla="*/ 733806 h 733806"/>
                            <a:gd name="connsiteX1" fmla="*/ 774859 w 1121664"/>
                            <a:gd name="connsiteY1" fmla="*/ 733806 h 733806"/>
                            <a:gd name="connsiteX2" fmla="*/ 1121664 w 1121664"/>
                            <a:gd name="connsiteY2" fmla="*/ 0 h 733806"/>
                            <a:gd name="connsiteX3" fmla="*/ 346805 w 1121664"/>
                            <a:gd name="connsiteY3" fmla="*/ 0 h 733806"/>
                          </a:gdLst>
                          <a:ahLst/>
                          <a:cxnLst>
                            <a:cxn ang="0">
                              <a:pos x="connsiteX0" y="connsiteY0"/>
                            </a:cxn>
                            <a:cxn ang="0">
                              <a:pos x="connsiteX1" y="connsiteY1"/>
                            </a:cxn>
                            <a:cxn ang="0">
                              <a:pos x="connsiteX2" y="connsiteY2"/>
                            </a:cxn>
                            <a:cxn ang="0">
                              <a:pos x="connsiteX3" y="connsiteY3"/>
                            </a:cxn>
                          </a:cxnLst>
                          <a:rect l="l" t="t" r="r" b="b"/>
                          <a:pathLst>
                            <a:path w="1121664" h="733806">
                              <a:moveTo>
                                <a:pt x="0" y="733806"/>
                              </a:moveTo>
                              <a:lnTo>
                                <a:pt x="774859" y="733806"/>
                              </a:lnTo>
                              <a:lnTo>
                                <a:pt x="1121664" y="0"/>
                              </a:lnTo>
                              <a:lnTo>
                                <a:pt x="346805" y="0"/>
                              </a:lnTo>
                              <a:close/>
                            </a:path>
                          </a:pathLst>
                        </a:custGeom>
                        <a:solidFill>
                          <a:schemeClr val="accent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2136732" name="Shape 2"/>
                      <wps:cNvSpPr/>
                      <wps:spPr>
                        <a:xfrm>
                          <a:off x="6441743" y="1270"/>
                          <a:ext cx="1156454" cy="978280"/>
                        </a:xfrm>
                        <a:custGeom>
                          <a:avLst/>
                          <a:gdLst>
                            <a:gd name="connsiteX0" fmla="*/ 0 w 862774"/>
                            <a:gd name="connsiteY0" fmla="*/ 0 h 733710"/>
                            <a:gd name="connsiteX1" fmla="*/ 346805 w 862774"/>
                            <a:gd name="connsiteY1" fmla="*/ 733711 h 733710"/>
                            <a:gd name="connsiteX2" fmla="*/ 862774 w 862774"/>
                            <a:gd name="connsiteY2" fmla="*/ 733711 h 733710"/>
                            <a:gd name="connsiteX3" fmla="*/ 862774 w 862774"/>
                            <a:gd name="connsiteY3" fmla="*/ 0 h 733710"/>
                          </a:gdLst>
                          <a:ahLst/>
                          <a:cxnLst>
                            <a:cxn ang="0">
                              <a:pos x="connsiteX0" y="connsiteY0"/>
                            </a:cxn>
                            <a:cxn ang="0">
                              <a:pos x="connsiteX1" y="connsiteY1"/>
                            </a:cxn>
                            <a:cxn ang="0">
                              <a:pos x="connsiteX2" y="connsiteY2"/>
                            </a:cxn>
                            <a:cxn ang="0">
                              <a:pos x="connsiteX3" y="connsiteY3"/>
                            </a:cxn>
                          </a:cxnLst>
                          <a:rect l="l" t="t" r="r" b="b"/>
                          <a:pathLst>
                            <a:path w="862774" h="733710">
                              <a:moveTo>
                                <a:pt x="0" y="0"/>
                              </a:moveTo>
                              <a:lnTo>
                                <a:pt x="346805" y="733711"/>
                              </a:lnTo>
                              <a:lnTo>
                                <a:pt x="862774" y="733711"/>
                              </a:lnTo>
                              <a:lnTo>
                                <a:pt x="862774" y="0"/>
                              </a:lnTo>
                              <a:close/>
                            </a:path>
                          </a:pathLst>
                        </a:custGeom>
                        <a:solidFill>
                          <a:schemeClr val="tx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3195768" name="Shape 1"/>
                      <wps:cNvSpPr/>
                      <wps:spPr>
                        <a:xfrm>
                          <a:off x="4701654" y="477672"/>
                          <a:ext cx="1276722" cy="501649"/>
                        </a:xfrm>
                        <a:custGeom>
                          <a:avLst/>
                          <a:gdLst>
                            <a:gd name="connsiteX0" fmla="*/ 0 w 952500"/>
                            <a:gd name="connsiteY0" fmla="*/ 0 h 376237"/>
                            <a:gd name="connsiteX1" fmla="*/ 774573 w 952500"/>
                            <a:gd name="connsiteY1" fmla="*/ 0 h 376237"/>
                            <a:gd name="connsiteX2" fmla="*/ 952500 w 952500"/>
                            <a:gd name="connsiteY2" fmla="*/ 376238 h 376237"/>
                            <a:gd name="connsiteX3" fmla="*/ 177832 w 952500"/>
                            <a:gd name="connsiteY3" fmla="*/ 376238 h 376237"/>
                          </a:gdLst>
                          <a:ahLst/>
                          <a:cxnLst>
                            <a:cxn ang="0">
                              <a:pos x="connsiteX0" y="connsiteY0"/>
                            </a:cxn>
                            <a:cxn ang="0">
                              <a:pos x="connsiteX1" y="connsiteY1"/>
                            </a:cxn>
                            <a:cxn ang="0">
                              <a:pos x="connsiteX2" y="connsiteY2"/>
                            </a:cxn>
                            <a:cxn ang="0">
                              <a:pos x="connsiteX3" y="connsiteY3"/>
                            </a:cxn>
                          </a:cxnLst>
                          <a:rect l="l" t="t" r="r" b="b"/>
                          <a:pathLst>
                            <a:path w="952500" h="376237">
                              <a:moveTo>
                                <a:pt x="0" y="0"/>
                              </a:moveTo>
                              <a:lnTo>
                                <a:pt x="774573" y="0"/>
                              </a:lnTo>
                              <a:lnTo>
                                <a:pt x="952500" y="376238"/>
                              </a:lnTo>
                              <a:lnTo>
                                <a:pt x="177832" y="376238"/>
                              </a:lnTo>
                              <a:close/>
                            </a:path>
                          </a:pathLst>
                        </a:custGeom>
                        <a:solidFill>
                          <a:srgbClr val="FFFFFF">
                            <a:alpha val="50000"/>
                          </a:srgbClr>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1C9A9F" id="Page banner" o:spid="_x0000_s1026" alt="&quot;&quot;" style="position:absolute;margin-left:0;margin-top:0;width:598.3pt;height:77.05pt;z-index:251658245;mso-position-horizontal:left;mso-position-horizontal-relative:page;mso-position-vertical:top;mso-position-vertical-relative:page;mso-width-relative:margin;mso-height-relative:margin" coordorigin=",12" coordsize="75981,9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">
              <v:shape id="Shape 5" o:spid="_x0000_s1027" style="position:absolute;top:12;width:75653;height:9784;visibility:visible;mso-wrap-style:square;v-text-anchor:middle" coordsize="5670042,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" path="m,l5670043,r,733806l,733806,,xe" fillcolor="#c2ebfa [3214]" stroked="f">
                <v:stroke joinstyle="miter"/>
                <v:path arrowok="t" o:connecttype="custom" o:connectlocs="0,0;7565307,0;7565307,978408;0,978408" o:connectangles="0,0,0,0"/>
              </v:shape>
              <v:shape id="Shape  4" o:spid="_x0000_s1028" style="position:absolute;left:59724;top:12;width:16213;height:9784;visibility:visible;mso-wrap-style:square;v-text-anchor:middle" coordsize="1209579,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" path="m1209580,r,733806l,733806,346805,r862775,xe" fillcolor="#0072ce [3204]" stroked="f">
                <v:stroke joinstyle="miter"/>
                <v:path arrowok="t" o:connecttype="custom" o:connectlocs="1621309,0;1621309,978408;0,978408;464854,0" o:connectangles="0,0,0,0"/>
              </v:shape>
              <v:shape id="Shape 3" o:spid="_x0000_s1029" style="position:absolute;left:49404;top:12;width:15035;height:9784;visibility:visible;mso-wrap-style:square;v-text-anchor:middle" coordsize="1121664,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" path="m,733806r774859,l1121664,,346805,,,733806xe" fillcolor="#68cef2 [3205]" stroked="f">
                <v:stroke joinstyle="miter"/>
                <v:path arrowok="t" o:connecttype="custom" o:connectlocs="0,978408;1038614,978408;1503468,0;464854,0" o:connectangles="0,0,0,0"/>
              </v:shape>
              <v:shape id="Shape 2" o:spid="_x0000_s1030" style="position:absolute;left:64417;top:12;width:11564;height:9783;visibility:visible;mso-wrap-style:square;v-text-anchor:middle" coordsize="862774,73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" path="m,l346805,733711r515969,l862774,,,xe" fillcolor="#232b39 [3213]" stroked="f">
                <v:stroke joinstyle="miter"/>
                <v:path arrowok="t" o:connecttype="custom" o:connectlocs="0,0;464854,978281;1156454,978281;1156454,0" o:connectangles="0,0,0,0"/>
              </v:shape>
              <v:shape id="Shape 1" o:spid="_x0000_s1031" style="position:absolute;left:47016;top:4776;width:12767;height:5017;visibility:visible;mso-wrap-style:square;v-text-anchor:middle" coordsize="952500,37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" path="m,l774573,,952500,376238r-774668,l,xe" stroked="f">
                <v:fill opacity="32896f"/>
                <v:stroke joinstyle="miter"/>
                <v:path arrowok="t" o:connecttype="custom" o:connectlocs="0,0;1038230,0;1276722,501650;238364,501650" o:connectangles="0,0,0,0"/>
              </v:shape>
              <w10:wrap anchorx="page" anchory="page"/>
            </v:group>
          </w:pict>
        </mc:Fallback>
      </mc:AlternateContent>
    </w:r>
  </w:p>
  <w:p w14:paraId="3A392471" w14:textId="77777777" w:rsidR="00DD5964" w:rsidRPr="003B2EA8" w:rsidRDefault="00DD5964" w:rsidP="00DD59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953C2"/>
    <w:multiLevelType w:val="hybridMultilevel"/>
    <w:tmpl w:val="6B449E9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48D32A5"/>
    <w:multiLevelType w:val="hybridMultilevel"/>
    <w:tmpl w:val="5F7C7DA2"/>
    <w:lvl w:ilvl="0" w:tplc="FA02A52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B777F72"/>
    <w:multiLevelType w:val="hybridMultilevel"/>
    <w:tmpl w:val="AD620FF2"/>
    <w:lvl w:ilvl="0" w:tplc="0D502630">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BE32E70"/>
    <w:multiLevelType w:val="hybridMultilevel"/>
    <w:tmpl w:val="76AC3F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EAA35A7"/>
    <w:multiLevelType w:val="hybridMultilevel"/>
    <w:tmpl w:val="1AD02676"/>
    <w:lvl w:ilvl="0" w:tplc="D55E0C6C">
      <w:start w:val="1"/>
      <w:numFmt w:val="bullet"/>
      <w:lvlText w:val=""/>
      <w:lvlJc w:val="left"/>
      <w:pPr>
        <w:ind w:left="1080" w:hanging="360"/>
      </w:pPr>
      <w:rPr>
        <w:rFonts w:ascii="Symbol" w:hAnsi="Symbol"/>
      </w:rPr>
    </w:lvl>
    <w:lvl w:ilvl="1" w:tplc="1114AE9E">
      <w:start w:val="1"/>
      <w:numFmt w:val="bullet"/>
      <w:lvlText w:val=""/>
      <w:lvlJc w:val="left"/>
      <w:pPr>
        <w:ind w:left="1080" w:hanging="360"/>
      </w:pPr>
      <w:rPr>
        <w:rFonts w:ascii="Symbol" w:hAnsi="Symbol"/>
      </w:rPr>
    </w:lvl>
    <w:lvl w:ilvl="2" w:tplc="8F8203C0">
      <w:start w:val="1"/>
      <w:numFmt w:val="bullet"/>
      <w:lvlText w:val=""/>
      <w:lvlJc w:val="left"/>
      <w:pPr>
        <w:ind w:left="1080" w:hanging="360"/>
      </w:pPr>
      <w:rPr>
        <w:rFonts w:ascii="Symbol" w:hAnsi="Symbol"/>
      </w:rPr>
    </w:lvl>
    <w:lvl w:ilvl="3" w:tplc="5A5A8722">
      <w:start w:val="1"/>
      <w:numFmt w:val="bullet"/>
      <w:lvlText w:val=""/>
      <w:lvlJc w:val="left"/>
      <w:pPr>
        <w:ind w:left="1080" w:hanging="360"/>
      </w:pPr>
      <w:rPr>
        <w:rFonts w:ascii="Symbol" w:hAnsi="Symbol"/>
      </w:rPr>
    </w:lvl>
    <w:lvl w:ilvl="4" w:tplc="9EFA5724">
      <w:start w:val="1"/>
      <w:numFmt w:val="bullet"/>
      <w:lvlText w:val=""/>
      <w:lvlJc w:val="left"/>
      <w:pPr>
        <w:ind w:left="1080" w:hanging="360"/>
      </w:pPr>
      <w:rPr>
        <w:rFonts w:ascii="Symbol" w:hAnsi="Symbol"/>
      </w:rPr>
    </w:lvl>
    <w:lvl w:ilvl="5" w:tplc="91EA69B8">
      <w:start w:val="1"/>
      <w:numFmt w:val="bullet"/>
      <w:lvlText w:val=""/>
      <w:lvlJc w:val="left"/>
      <w:pPr>
        <w:ind w:left="1080" w:hanging="360"/>
      </w:pPr>
      <w:rPr>
        <w:rFonts w:ascii="Symbol" w:hAnsi="Symbol"/>
      </w:rPr>
    </w:lvl>
    <w:lvl w:ilvl="6" w:tplc="2DA0E31E">
      <w:start w:val="1"/>
      <w:numFmt w:val="bullet"/>
      <w:lvlText w:val=""/>
      <w:lvlJc w:val="left"/>
      <w:pPr>
        <w:ind w:left="1080" w:hanging="360"/>
      </w:pPr>
      <w:rPr>
        <w:rFonts w:ascii="Symbol" w:hAnsi="Symbol"/>
      </w:rPr>
    </w:lvl>
    <w:lvl w:ilvl="7" w:tplc="8C1C92CE">
      <w:start w:val="1"/>
      <w:numFmt w:val="bullet"/>
      <w:lvlText w:val=""/>
      <w:lvlJc w:val="left"/>
      <w:pPr>
        <w:ind w:left="1080" w:hanging="360"/>
      </w:pPr>
      <w:rPr>
        <w:rFonts w:ascii="Symbol" w:hAnsi="Symbol"/>
      </w:rPr>
    </w:lvl>
    <w:lvl w:ilvl="8" w:tplc="50F685DC">
      <w:start w:val="1"/>
      <w:numFmt w:val="bullet"/>
      <w:lvlText w:val=""/>
      <w:lvlJc w:val="left"/>
      <w:pPr>
        <w:ind w:left="1080" w:hanging="360"/>
      </w:pPr>
      <w:rPr>
        <w:rFonts w:ascii="Symbol" w:hAnsi="Symbol"/>
      </w:rPr>
    </w:lvl>
  </w:abstractNum>
  <w:abstractNum w:abstractNumId="5" w15:restartNumberingAfterBreak="0">
    <w:nsid w:val="15D36A6E"/>
    <w:multiLevelType w:val="hybridMultilevel"/>
    <w:tmpl w:val="3E4E88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A21240A"/>
    <w:multiLevelType w:val="hybridMultilevel"/>
    <w:tmpl w:val="772065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A5B5635"/>
    <w:multiLevelType w:val="hybridMultilevel"/>
    <w:tmpl w:val="E9B213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C4C53EF"/>
    <w:multiLevelType w:val="hybridMultilevel"/>
    <w:tmpl w:val="932A1F14"/>
    <w:lvl w:ilvl="0" w:tplc="A3E63BE8">
      <w:start w:val="1"/>
      <w:numFmt w:val="bullet"/>
      <w:lvlText w:val=""/>
      <w:lvlJc w:val="left"/>
      <w:pPr>
        <w:ind w:left="720" w:hanging="360"/>
      </w:pPr>
      <w:rPr>
        <w:rFonts w:ascii="Symbol" w:hAnsi="Symbol"/>
      </w:rPr>
    </w:lvl>
    <w:lvl w:ilvl="1" w:tplc="AEBE45EE">
      <w:start w:val="1"/>
      <w:numFmt w:val="bullet"/>
      <w:lvlText w:val=""/>
      <w:lvlJc w:val="left"/>
      <w:pPr>
        <w:ind w:left="720" w:hanging="360"/>
      </w:pPr>
      <w:rPr>
        <w:rFonts w:ascii="Symbol" w:hAnsi="Symbol"/>
      </w:rPr>
    </w:lvl>
    <w:lvl w:ilvl="2" w:tplc="087CBFBE">
      <w:start w:val="1"/>
      <w:numFmt w:val="bullet"/>
      <w:lvlText w:val=""/>
      <w:lvlJc w:val="left"/>
      <w:pPr>
        <w:ind w:left="720" w:hanging="360"/>
      </w:pPr>
      <w:rPr>
        <w:rFonts w:ascii="Symbol" w:hAnsi="Symbol"/>
      </w:rPr>
    </w:lvl>
    <w:lvl w:ilvl="3" w:tplc="72BAB9FE">
      <w:start w:val="1"/>
      <w:numFmt w:val="bullet"/>
      <w:lvlText w:val=""/>
      <w:lvlJc w:val="left"/>
      <w:pPr>
        <w:ind w:left="720" w:hanging="360"/>
      </w:pPr>
      <w:rPr>
        <w:rFonts w:ascii="Symbol" w:hAnsi="Symbol"/>
      </w:rPr>
    </w:lvl>
    <w:lvl w:ilvl="4" w:tplc="D1321482">
      <w:start w:val="1"/>
      <w:numFmt w:val="bullet"/>
      <w:lvlText w:val=""/>
      <w:lvlJc w:val="left"/>
      <w:pPr>
        <w:ind w:left="720" w:hanging="360"/>
      </w:pPr>
      <w:rPr>
        <w:rFonts w:ascii="Symbol" w:hAnsi="Symbol"/>
      </w:rPr>
    </w:lvl>
    <w:lvl w:ilvl="5" w:tplc="18C23CB6">
      <w:start w:val="1"/>
      <w:numFmt w:val="bullet"/>
      <w:lvlText w:val=""/>
      <w:lvlJc w:val="left"/>
      <w:pPr>
        <w:ind w:left="720" w:hanging="360"/>
      </w:pPr>
      <w:rPr>
        <w:rFonts w:ascii="Symbol" w:hAnsi="Symbol"/>
      </w:rPr>
    </w:lvl>
    <w:lvl w:ilvl="6" w:tplc="9E3C121A">
      <w:start w:val="1"/>
      <w:numFmt w:val="bullet"/>
      <w:lvlText w:val=""/>
      <w:lvlJc w:val="left"/>
      <w:pPr>
        <w:ind w:left="720" w:hanging="360"/>
      </w:pPr>
      <w:rPr>
        <w:rFonts w:ascii="Symbol" w:hAnsi="Symbol"/>
      </w:rPr>
    </w:lvl>
    <w:lvl w:ilvl="7" w:tplc="DB4684E8">
      <w:start w:val="1"/>
      <w:numFmt w:val="bullet"/>
      <w:lvlText w:val=""/>
      <w:lvlJc w:val="left"/>
      <w:pPr>
        <w:ind w:left="720" w:hanging="360"/>
      </w:pPr>
      <w:rPr>
        <w:rFonts w:ascii="Symbol" w:hAnsi="Symbol"/>
      </w:rPr>
    </w:lvl>
    <w:lvl w:ilvl="8" w:tplc="4A6ED61C">
      <w:start w:val="1"/>
      <w:numFmt w:val="bullet"/>
      <w:lvlText w:val=""/>
      <w:lvlJc w:val="left"/>
      <w:pPr>
        <w:ind w:left="720" w:hanging="360"/>
      </w:pPr>
      <w:rPr>
        <w:rFonts w:ascii="Symbol" w:hAnsi="Symbol"/>
      </w:rPr>
    </w:lvl>
  </w:abstractNum>
  <w:abstractNum w:abstractNumId="9" w15:restartNumberingAfterBreak="0">
    <w:nsid w:val="1FCB7787"/>
    <w:multiLevelType w:val="multilevel"/>
    <w:tmpl w:val="414098FC"/>
    <w:lvl w:ilvl="0">
      <w:start w:val="1"/>
      <w:numFmt w:val="decimal"/>
      <w:pStyle w:val="ListNumber"/>
      <w:lvlText w:val="%1."/>
      <w:lvlJc w:val="left"/>
      <w:pPr>
        <w:tabs>
          <w:tab w:val="num" w:pos="1077"/>
        </w:tabs>
        <w:ind w:left="1077" w:hanging="283"/>
      </w:pPr>
      <w:rPr>
        <w:rFonts w:ascii="Calibri" w:hAnsi="Calibri" w:cs="Calibri"/>
        <w:b w:val="0"/>
        <w:i w:val="0"/>
        <w:sz w:val="20"/>
      </w:rPr>
    </w:lvl>
    <w:lvl w:ilvl="1">
      <w:start w:val="1"/>
      <w:numFmt w:val="lowerLetter"/>
      <w:pStyle w:val="ListNumber2"/>
      <w:lvlText w:val="%2)"/>
      <w:lvlJc w:val="left"/>
      <w:pPr>
        <w:tabs>
          <w:tab w:val="num" w:pos="1361"/>
        </w:tabs>
        <w:ind w:left="1361" w:hanging="284"/>
      </w:pPr>
      <w:rPr>
        <w:rFonts w:ascii="Calibri" w:hAnsi="Calibri" w:cs="Calibri"/>
        <w:b w:val="0"/>
        <w:i w:val="0"/>
        <w:sz w:val="20"/>
      </w:rPr>
    </w:lvl>
    <w:lvl w:ilvl="2">
      <w:start w:val="1"/>
      <w:numFmt w:val="lowerRoman"/>
      <w:pStyle w:val="ListNumber3"/>
      <w:lvlText w:val="%3."/>
      <w:lvlJc w:val="left"/>
      <w:pPr>
        <w:tabs>
          <w:tab w:val="num" w:pos="1644"/>
        </w:tabs>
        <w:ind w:left="1644" w:hanging="283"/>
      </w:pPr>
      <w:rPr>
        <w:rFonts w:ascii="Calibri" w:hAnsi="Calibri" w:cs="Calibri"/>
        <w:b w:val="0"/>
        <w:i w:val="0"/>
        <w:sz w:val="20"/>
      </w:rPr>
    </w:lvl>
    <w:lvl w:ilvl="3">
      <w:start w:val="1"/>
      <w:numFmt w:val="decimal"/>
      <w:lvlText w:val="–"/>
      <w:lvlJc w:val="left"/>
      <w:pPr>
        <w:tabs>
          <w:tab w:val="num" w:pos="1928"/>
        </w:tabs>
        <w:ind w:left="1928" w:hanging="284"/>
      </w:pPr>
      <w:rPr>
        <w:rFonts w:ascii="Calibri" w:hAnsi="Calibri" w:cs="Calibri"/>
        <w:b w:val="0"/>
        <w:i w:val="0"/>
        <w:sz w:val="20"/>
      </w:rPr>
    </w:lvl>
    <w:lvl w:ilvl="4">
      <w:start w:val="1"/>
      <w:numFmt w:val="decimal"/>
      <w:lvlText w:val="–"/>
      <w:lvlJc w:val="left"/>
      <w:pPr>
        <w:tabs>
          <w:tab w:val="num" w:pos="2211"/>
        </w:tabs>
        <w:ind w:left="2211" w:hanging="283"/>
      </w:pPr>
      <w:rPr>
        <w:rFonts w:ascii="Calibri" w:hAnsi="Calibri" w:cs="Calibri"/>
        <w:b w:val="0"/>
        <w:i w:val="0"/>
        <w:sz w:val="20"/>
      </w:rPr>
    </w:lvl>
    <w:lvl w:ilvl="5">
      <w:start w:val="1"/>
      <w:numFmt w:val="decimal"/>
      <w:lvlText w:val="–"/>
      <w:lvlJc w:val="left"/>
      <w:pPr>
        <w:tabs>
          <w:tab w:val="num" w:pos="2495"/>
        </w:tabs>
        <w:ind w:left="2495" w:hanging="284"/>
      </w:pPr>
      <w:rPr>
        <w:rFonts w:ascii="Calibri" w:hAnsi="Calibri" w:cs="Calibri"/>
        <w:b w:val="0"/>
        <w:i w:val="0"/>
        <w:sz w:val="20"/>
      </w:rPr>
    </w:lvl>
    <w:lvl w:ilvl="6">
      <w:start w:val="1"/>
      <w:numFmt w:val="decimal"/>
      <w:lvlText w:val="–"/>
      <w:lvlJc w:val="left"/>
      <w:pPr>
        <w:tabs>
          <w:tab w:val="num" w:pos="2778"/>
        </w:tabs>
        <w:ind w:left="2778" w:hanging="283"/>
      </w:pPr>
      <w:rPr>
        <w:rFonts w:ascii="Calibri" w:hAnsi="Calibri" w:cs="Calibri"/>
        <w:b w:val="0"/>
        <w:i w:val="0"/>
        <w:sz w:val="20"/>
      </w:rPr>
    </w:lvl>
    <w:lvl w:ilvl="7">
      <w:start w:val="1"/>
      <w:numFmt w:val="decimal"/>
      <w:lvlText w:val="–"/>
      <w:lvlJc w:val="left"/>
      <w:pPr>
        <w:tabs>
          <w:tab w:val="num" w:pos="3062"/>
        </w:tabs>
        <w:ind w:left="3062" w:hanging="284"/>
      </w:pPr>
      <w:rPr>
        <w:rFonts w:ascii="Calibri" w:hAnsi="Calibri" w:cs="Calibri"/>
        <w:b w:val="0"/>
        <w:i w:val="0"/>
        <w:sz w:val="20"/>
      </w:rPr>
    </w:lvl>
    <w:lvl w:ilvl="8">
      <w:start w:val="1"/>
      <w:numFmt w:val="decimal"/>
      <w:lvlText w:val="–"/>
      <w:lvlJc w:val="left"/>
      <w:pPr>
        <w:tabs>
          <w:tab w:val="num" w:pos="3345"/>
        </w:tabs>
        <w:ind w:left="3345" w:hanging="283"/>
      </w:pPr>
      <w:rPr>
        <w:rFonts w:ascii="Calibri" w:hAnsi="Calibri" w:cs="Calibri"/>
        <w:b w:val="0"/>
        <w:i w:val="0"/>
        <w:sz w:val="20"/>
      </w:rPr>
    </w:lvl>
  </w:abstractNum>
  <w:abstractNum w:abstractNumId="10" w15:restartNumberingAfterBreak="0">
    <w:nsid w:val="24586FFE"/>
    <w:multiLevelType w:val="hybridMultilevel"/>
    <w:tmpl w:val="5388FE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52940E9"/>
    <w:multiLevelType w:val="hybridMultilevel"/>
    <w:tmpl w:val="B3AC4B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6456FFD"/>
    <w:multiLevelType w:val="multilevel"/>
    <w:tmpl w:val="C0D2F066"/>
    <w:lvl w:ilvl="0">
      <w:start w:val="1"/>
      <w:numFmt w:val="bullet"/>
      <w:pStyle w:val="Tablebullet"/>
      <w:lvlText w:val=""/>
      <w:lvlJc w:val="left"/>
      <w:pPr>
        <w:ind w:left="288" w:hanging="288"/>
      </w:pPr>
      <w:rPr>
        <w:rFonts w:ascii="Symbol" w:hAnsi="Symbol" w:hint="default"/>
        <w:color w:val="auto"/>
      </w:rPr>
    </w:lvl>
    <w:lvl w:ilvl="1">
      <w:start w:val="1"/>
      <w:numFmt w:val="bullet"/>
      <w:pStyle w:val="Tabledash"/>
      <w:lvlText w:val="–"/>
      <w:lvlJc w:val="left"/>
      <w:pPr>
        <w:ind w:left="576" w:hanging="288"/>
      </w:pPr>
      <w:rPr>
        <w:rFonts w:ascii="Calibri" w:hAnsi="Calibri" w:hint="default"/>
        <w:color w:val="auto"/>
      </w:rPr>
    </w:lvl>
    <w:lvl w:ilvl="2">
      <w:start w:val="1"/>
      <w:numFmt w:val="decimal"/>
      <w:pStyle w:val="Tablenum1"/>
      <w:lvlText w:val="%3."/>
      <w:lvlJc w:val="left"/>
      <w:pPr>
        <w:tabs>
          <w:tab w:val="num" w:pos="360"/>
        </w:tabs>
        <w:ind w:left="360" w:hanging="360"/>
      </w:pPr>
      <w:rPr>
        <w:rFonts w:hint="default"/>
      </w:rPr>
    </w:lvl>
    <w:lvl w:ilvl="3">
      <w:start w:val="1"/>
      <w:numFmt w:val="lowerLetter"/>
      <w:pStyle w:val="Tablenum2"/>
      <w:lvlText w:val="(%4)"/>
      <w:lvlJc w:val="left"/>
      <w:pPr>
        <w:tabs>
          <w:tab w:val="num" w:pos="720"/>
        </w:tabs>
        <w:ind w:left="72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ABE760A"/>
    <w:multiLevelType w:val="hybridMultilevel"/>
    <w:tmpl w:val="803603CA"/>
    <w:lvl w:ilvl="0" w:tplc="BC8E0748">
      <w:start w:val="1"/>
      <w:numFmt w:val="bullet"/>
      <w:lvlText w:val=""/>
      <w:lvlJc w:val="left"/>
      <w:pPr>
        <w:ind w:left="1080" w:hanging="360"/>
      </w:pPr>
      <w:rPr>
        <w:rFonts w:ascii="Symbol" w:hAnsi="Symbol"/>
      </w:rPr>
    </w:lvl>
    <w:lvl w:ilvl="1" w:tplc="94448AEC">
      <w:start w:val="1"/>
      <w:numFmt w:val="bullet"/>
      <w:lvlText w:val=""/>
      <w:lvlJc w:val="left"/>
      <w:pPr>
        <w:ind w:left="1080" w:hanging="360"/>
      </w:pPr>
      <w:rPr>
        <w:rFonts w:ascii="Symbol" w:hAnsi="Symbol"/>
      </w:rPr>
    </w:lvl>
    <w:lvl w:ilvl="2" w:tplc="0C60FE3C">
      <w:start w:val="1"/>
      <w:numFmt w:val="bullet"/>
      <w:lvlText w:val=""/>
      <w:lvlJc w:val="left"/>
      <w:pPr>
        <w:ind w:left="1080" w:hanging="360"/>
      </w:pPr>
      <w:rPr>
        <w:rFonts w:ascii="Symbol" w:hAnsi="Symbol"/>
      </w:rPr>
    </w:lvl>
    <w:lvl w:ilvl="3" w:tplc="CAC80C90">
      <w:start w:val="1"/>
      <w:numFmt w:val="bullet"/>
      <w:lvlText w:val=""/>
      <w:lvlJc w:val="left"/>
      <w:pPr>
        <w:ind w:left="1080" w:hanging="360"/>
      </w:pPr>
      <w:rPr>
        <w:rFonts w:ascii="Symbol" w:hAnsi="Symbol"/>
      </w:rPr>
    </w:lvl>
    <w:lvl w:ilvl="4" w:tplc="67826CEE">
      <w:start w:val="1"/>
      <w:numFmt w:val="bullet"/>
      <w:lvlText w:val=""/>
      <w:lvlJc w:val="left"/>
      <w:pPr>
        <w:ind w:left="1080" w:hanging="360"/>
      </w:pPr>
      <w:rPr>
        <w:rFonts w:ascii="Symbol" w:hAnsi="Symbol"/>
      </w:rPr>
    </w:lvl>
    <w:lvl w:ilvl="5" w:tplc="7736D3E4">
      <w:start w:val="1"/>
      <w:numFmt w:val="bullet"/>
      <w:lvlText w:val=""/>
      <w:lvlJc w:val="left"/>
      <w:pPr>
        <w:ind w:left="1080" w:hanging="360"/>
      </w:pPr>
      <w:rPr>
        <w:rFonts w:ascii="Symbol" w:hAnsi="Symbol"/>
      </w:rPr>
    </w:lvl>
    <w:lvl w:ilvl="6" w:tplc="6D6E9BCE">
      <w:start w:val="1"/>
      <w:numFmt w:val="bullet"/>
      <w:lvlText w:val=""/>
      <w:lvlJc w:val="left"/>
      <w:pPr>
        <w:ind w:left="1080" w:hanging="360"/>
      </w:pPr>
      <w:rPr>
        <w:rFonts w:ascii="Symbol" w:hAnsi="Symbol"/>
      </w:rPr>
    </w:lvl>
    <w:lvl w:ilvl="7" w:tplc="DA188A62">
      <w:start w:val="1"/>
      <w:numFmt w:val="bullet"/>
      <w:lvlText w:val=""/>
      <w:lvlJc w:val="left"/>
      <w:pPr>
        <w:ind w:left="1080" w:hanging="360"/>
      </w:pPr>
      <w:rPr>
        <w:rFonts w:ascii="Symbol" w:hAnsi="Symbol"/>
      </w:rPr>
    </w:lvl>
    <w:lvl w:ilvl="8" w:tplc="63007892">
      <w:start w:val="1"/>
      <w:numFmt w:val="bullet"/>
      <w:lvlText w:val=""/>
      <w:lvlJc w:val="left"/>
      <w:pPr>
        <w:ind w:left="1080" w:hanging="360"/>
      </w:pPr>
      <w:rPr>
        <w:rFonts w:ascii="Symbol" w:hAnsi="Symbol"/>
      </w:rPr>
    </w:lvl>
  </w:abstractNum>
  <w:abstractNum w:abstractNumId="14" w15:restartNumberingAfterBreak="0">
    <w:nsid w:val="2BB3256E"/>
    <w:multiLevelType w:val="hybridMultilevel"/>
    <w:tmpl w:val="34AC01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D927F5C"/>
    <w:multiLevelType w:val="multilevel"/>
    <w:tmpl w:val="FDBA714E"/>
    <w:lvl w:ilvl="0">
      <w:start w:val="2"/>
      <w:numFmt w:val="lowerLetter"/>
      <w:lvlText w:val="(%1)"/>
      <w:lvlJc w:val="left"/>
      <w:pPr>
        <w:tabs>
          <w:tab w:val="num" w:pos="360"/>
        </w:tabs>
        <w:ind w:left="360" w:hanging="360"/>
      </w:pPr>
      <w:rPr>
        <w:rFonts w:hint="default"/>
      </w:rPr>
    </w:lvl>
    <w:lvl w:ilvl="1">
      <w:start w:val="1"/>
      <w:numFmt w:val="lowerRoman"/>
      <w:lvlText w:val="(%2)"/>
      <w:lvlJc w:val="left"/>
      <w:pPr>
        <w:tabs>
          <w:tab w:val="num" w:pos="1213"/>
        </w:tabs>
        <w:ind w:left="1069" w:hanging="360"/>
      </w:pPr>
      <w:rPr>
        <w:rFonts w:hint="default"/>
      </w:rPr>
    </w:lvl>
    <w:lvl w:ilvl="2">
      <w:start w:val="1"/>
      <w:numFmt w:val="decimal"/>
      <w:lvlText w:val="%3."/>
      <w:lvlJc w:val="left"/>
      <w:pPr>
        <w:tabs>
          <w:tab w:val="num" w:pos="650"/>
        </w:tabs>
        <w:ind w:left="650" w:hanging="792"/>
      </w:pPr>
      <w:rPr>
        <w:rFonts w:hint="default"/>
      </w:rPr>
    </w:lvl>
    <w:lvl w:ilvl="3">
      <w:start w:val="1"/>
      <w:numFmt w:val="decimal"/>
      <w:lvlText w:val="%3.%4"/>
      <w:lvlJc w:val="left"/>
      <w:pPr>
        <w:tabs>
          <w:tab w:val="num" w:pos="650"/>
        </w:tabs>
        <w:ind w:left="650" w:hanging="792"/>
      </w:pPr>
      <w:rPr>
        <w:rFonts w:hint="default"/>
      </w:rPr>
    </w:lvl>
    <w:lvl w:ilvl="4">
      <w:start w:val="1"/>
      <w:numFmt w:val="decimal"/>
      <w:lvlRestart w:val="1"/>
      <w:lvlText w:val="%3.%4.%5"/>
      <w:lvlJc w:val="left"/>
      <w:pPr>
        <w:tabs>
          <w:tab w:val="num" w:pos="650"/>
        </w:tabs>
        <w:ind w:left="650" w:hanging="792"/>
      </w:pPr>
      <w:rPr>
        <w:rFonts w:hint="default"/>
      </w:rPr>
    </w:lvl>
    <w:lvl w:ilvl="5">
      <w:start w:val="1"/>
      <w:numFmt w:val="decimal"/>
      <w:lvlText w:val="%3.%4.%5.%6"/>
      <w:lvlJc w:val="left"/>
      <w:pPr>
        <w:tabs>
          <w:tab w:val="num" w:pos="650"/>
        </w:tabs>
        <w:ind w:left="650" w:hanging="792"/>
      </w:pPr>
      <w:rPr>
        <w:rFonts w:hint="default"/>
      </w:rPr>
    </w:lvl>
    <w:lvl w:ilvl="6">
      <w:start w:val="1"/>
      <w:numFmt w:val="lowerLetter"/>
      <w:lvlText w:val="(%7)"/>
      <w:lvlJc w:val="left"/>
      <w:pPr>
        <w:tabs>
          <w:tab w:val="num" w:pos="1154"/>
        </w:tabs>
        <w:ind w:left="1154" w:hanging="504"/>
      </w:pPr>
      <w:rPr>
        <w:rFonts w:hint="default"/>
      </w:rPr>
    </w:lvl>
    <w:lvl w:ilvl="7">
      <w:start w:val="1"/>
      <w:numFmt w:val="lowerRoman"/>
      <w:lvlText w:val="(%8)"/>
      <w:lvlJc w:val="left"/>
      <w:pPr>
        <w:tabs>
          <w:tab w:val="num" w:pos="1658"/>
        </w:tabs>
        <w:ind w:left="1658" w:hanging="504"/>
      </w:pPr>
      <w:rPr>
        <w:rFonts w:hint="default"/>
      </w:rPr>
    </w:lvl>
    <w:lvl w:ilvl="8">
      <w:start w:val="1"/>
      <w:numFmt w:val="decimal"/>
      <w:lvlText w:val="%9."/>
      <w:lvlJc w:val="left"/>
      <w:pPr>
        <w:tabs>
          <w:tab w:val="num" w:pos="1154"/>
        </w:tabs>
        <w:ind w:left="1154" w:hanging="504"/>
      </w:pPr>
      <w:rPr>
        <w:rFonts w:hint="default"/>
      </w:rPr>
    </w:lvl>
  </w:abstractNum>
  <w:abstractNum w:abstractNumId="16" w15:restartNumberingAfterBreak="0">
    <w:nsid w:val="30DD3B96"/>
    <w:multiLevelType w:val="hybridMultilevel"/>
    <w:tmpl w:val="39BE8DCA"/>
    <w:lvl w:ilvl="0" w:tplc="0EC282F2">
      <w:start w:val="1"/>
      <w:numFmt w:val="bullet"/>
      <w:lvlText w:val=""/>
      <w:lvlJc w:val="left"/>
      <w:pPr>
        <w:ind w:left="1080" w:hanging="360"/>
      </w:pPr>
      <w:rPr>
        <w:rFonts w:ascii="Symbol" w:hAnsi="Symbol"/>
      </w:rPr>
    </w:lvl>
    <w:lvl w:ilvl="1" w:tplc="E752D092">
      <w:start w:val="1"/>
      <w:numFmt w:val="bullet"/>
      <w:lvlText w:val=""/>
      <w:lvlJc w:val="left"/>
      <w:pPr>
        <w:ind w:left="1080" w:hanging="360"/>
      </w:pPr>
      <w:rPr>
        <w:rFonts w:ascii="Symbol" w:hAnsi="Symbol"/>
      </w:rPr>
    </w:lvl>
    <w:lvl w:ilvl="2" w:tplc="044AFF6C">
      <w:start w:val="1"/>
      <w:numFmt w:val="bullet"/>
      <w:lvlText w:val=""/>
      <w:lvlJc w:val="left"/>
      <w:pPr>
        <w:ind w:left="1080" w:hanging="360"/>
      </w:pPr>
      <w:rPr>
        <w:rFonts w:ascii="Symbol" w:hAnsi="Symbol"/>
      </w:rPr>
    </w:lvl>
    <w:lvl w:ilvl="3" w:tplc="61CA0AA4">
      <w:start w:val="1"/>
      <w:numFmt w:val="bullet"/>
      <w:lvlText w:val=""/>
      <w:lvlJc w:val="left"/>
      <w:pPr>
        <w:ind w:left="1080" w:hanging="360"/>
      </w:pPr>
      <w:rPr>
        <w:rFonts w:ascii="Symbol" w:hAnsi="Symbol"/>
      </w:rPr>
    </w:lvl>
    <w:lvl w:ilvl="4" w:tplc="B52E46A6">
      <w:start w:val="1"/>
      <w:numFmt w:val="bullet"/>
      <w:lvlText w:val=""/>
      <w:lvlJc w:val="left"/>
      <w:pPr>
        <w:ind w:left="1080" w:hanging="360"/>
      </w:pPr>
      <w:rPr>
        <w:rFonts w:ascii="Symbol" w:hAnsi="Symbol"/>
      </w:rPr>
    </w:lvl>
    <w:lvl w:ilvl="5" w:tplc="B7D86D24">
      <w:start w:val="1"/>
      <w:numFmt w:val="bullet"/>
      <w:lvlText w:val=""/>
      <w:lvlJc w:val="left"/>
      <w:pPr>
        <w:ind w:left="1080" w:hanging="360"/>
      </w:pPr>
      <w:rPr>
        <w:rFonts w:ascii="Symbol" w:hAnsi="Symbol"/>
      </w:rPr>
    </w:lvl>
    <w:lvl w:ilvl="6" w:tplc="7B807474">
      <w:start w:val="1"/>
      <w:numFmt w:val="bullet"/>
      <w:lvlText w:val=""/>
      <w:lvlJc w:val="left"/>
      <w:pPr>
        <w:ind w:left="1080" w:hanging="360"/>
      </w:pPr>
      <w:rPr>
        <w:rFonts w:ascii="Symbol" w:hAnsi="Symbol"/>
      </w:rPr>
    </w:lvl>
    <w:lvl w:ilvl="7" w:tplc="04F68C4E">
      <w:start w:val="1"/>
      <w:numFmt w:val="bullet"/>
      <w:lvlText w:val=""/>
      <w:lvlJc w:val="left"/>
      <w:pPr>
        <w:ind w:left="1080" w:hanging="360"/>
      </w:pPr>
      <w:rPr>
        <w:rFonts w:ascii="Symbol" w:hAnsi="Symbol"/>
      </w:rPr>
    </w:lvl>
    <w:lvl w:ilvl="8" w:tplc="00EE1F28">
      <w:start w:val="1"/>
      <w:numFmt w:val="bullet"/>
      <w:lvlText w:val=""/>
      <w:lvlJc w:val="left"/>
      <w:pPr>
        <w:ind w:left="1080" w:hanging="360"/>
      </w:pPr>
      <w:rPr>
        <w:rFonts w:ascii="Symbol" w:hAnsi="Symbol"/>
      </w:rPr>
    </w:lvl>
  </w:abstractNum>
  <w:abstractNum w:abstractNumId="17" w15:restartNumberingAfterBreak="0">
    <w:nsid w:val="319B4982"/>
    <w:multiLevelType w:val="hybridMultilevel"/>
    <w:tmpl w:val="B93EF618"/>
    <w:lvl w:ilvl="0" w:tplc="0C090017">
      <w:start w:val="1"/>
      <w:numFmt w:val="lowerLetter"/>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3FCB1905"/>
    <w:multiLevelType w:val="hybridMultilevel"/>
    <w:tmpl w:val="13A64B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43FF51E7"/>
    <w:multiLevelType w:val="hybridMultilevel"/>
    <w:tmpl w:val="B2A85F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46D3A6A"/>
    <w:multiLevelType w:val="multilevel"/>
    <w:tmpl w:val="EA3CA930"/>
    <w:lvl w:ilvl="0">
      <w:start w:val="1"/>
      <w:numFmt w:val="bullet"/>
      <w:pStyle w:val="Bullet1"/>
      <w:lvlText w:val=""/>
      <w:lvlJc w:val="left"/>
      <w:pPr>
        <w:tabs>
          <w:tab w:val="num" w:pos="360"/>
        </w:tabs>
        <w:ind w:left="360" w:hanging="360"/>
      </w:pPr>
      <w:rPr>
        <w:rFonts w:ascii="Symbol" w:hAnsi="Symbol" w:hint="default"/>
        <w:b w:val="0"/>
        <w:i w:val="0"/>
        <w:vanish w:val="0"/>
        <w:color w:val="auto"/>
        <w:sz w:val="22"/>
      </w:rPr>
    </w:lvl>
    <w:lvl w:ilvl="1">
      <w:start w:val="1"/>
      <w:numFmt w:val="bullet"/>
      <w:pStyle w:val="Bullet2"/>
      <w:lvlText w:val="–"/>
      <w:lvlJc w:val="left"/>
      <w:pPr>
        <w:tabs>
          <w:tab w:val="num" w:pos="720"/>
        </w:tabs>
        <w:ind w:left="720" w:hanging="360"/>
      </w:pPr>
      <w:rPr>
        <w:rFonts w:ascii="Calibri" w:hAnsi="Calibri" w:hint="default"/>
        <w:b w:val="0"/>
        <w:i w:val="0"/>
        <w:vanish w:val="0"/>
        <w:color w:val="auto"/>
        <w:sz w:val="22"/>
      </w:rPr>
    </w:lvl>
    <w:lvl w:ilvl="2">
      <w:start w:val="1"/>
      <w:numFmt w:val="bullet"/>
      <w:pStyle w:val="Bulletindent"/>
      <w:lvlText w:val=""/>
      <w:lvlJc w:val="left"/>
      <w:pPr>
        <w:tabs>
          <w:tab w:val="num" w:pos="1152"/>
        </w:tabs>
        <w:ind w:left="1152" w:hanging="360"/>
      </w:pPr>
      <w:rPr>
        <w:rFonts w:ascii="Symbol" w:hAnsi="Symbol" w:hint="default"/>
        <w:b w:val="0"/>
        <w:i w:val="0"/>
        <w:vanish w:val="0"/>
        <w:color w:val="auto"/>
        <w:sz w:val="22"/>
      </w:rPr>
    </w:lvl>
    <w:lvl w:ilvl="3">
      <w:start w:val="1"/>
      <w:numFmt w:val="bullet"/>
      <w:pStyle w:val="Bulletindent2"/>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21" w15:restartNumberingAfterBreak="0">
    <w:nsid w:val="4FE24FBF"/>
    <w:multiLevelType w:val="multilevel"/>
    <w:tmpl w:val="098C9B26"/>
    <w:lvl w:ilvl="0">
      <w:start w:val="2"/>
      <w:numFmt w:val="lowerLetter"/>
      <w:lvlText w:val="(%1)"/>
      <w:lvlJc w:val="left"/>
      <w:pPr>
        <w:tabs>
          <w:tab w:val="num" w:pos="360"/>
        </w:tabs>
        <w:ind w:left="360" w:hanging="360"/>
      </w:pPr>
      <w:rPr>
        <w:rFonts w:hint="default"/>
      </w:rPr>
    </w:lvl>
    <w:lvl w:ilvl="1">
      <w:start w:val="1"/>
      <w:numFmt w:val="lowerRoman"/>
      <w:lvlText w:val="(%2)"/>
      <w:lvlJc w:val="left"/>
      <w:pPr>
        <w:tabs>
          <w:tab w:val="num" w:pos="864"/>
        </w:tabs>
        <w:ind w:left="720" w:hanging="360"/>
      </w:pPr>
      <w:rPr>
        <w:rFonts w:hint="default"/>
      </w:rPr>
    </w:lvl>
    <w:lvl w:ilvl="2">
      <w:start w:val="1"/>
      <w:numFmt w:val="decimal"/>
      <w:lvlText w:val="%3."/>
      <w:lvlJc w:val="left"/>
      <w:pPr>
        <w:tabs>
          <w:tab w:val="num" w:pos="792"/>
        </w:tabs>
        <w:ind w:left="792" w:hanging="792"/>
      </w:pPr>
      <w:rPr>
        <w:rFonts w:hint="default"/>
      </w:rPr>
    </w:lvl>
    <w:lvl w:ilvl="3">
      <w:start w:val="1"/>
      <w:numFmt w:val="decimal"/>
      <w:lvlText w:val="%3.%4"/>
      <w:lvlJc w:val="left"/>
      <w:pPr>
        <w:tabs>
          <w:tab w:val="num" w:pos="792"/>
        </w:tabs>
        <w:ind w:left="792" w:hanging="792"/>
      </w:pPr>
      <w:rPr>
        <w:rFonts w:hint="default"/>
      </w:rPr>
    </w:lvl>
    <w:lvl w:ilvl="4">
      <w:start w:val="1"/>
      <w:numFmt w:val="decimal"/>
      <w:lvlRestart w:val="1"/>
      <w:lvlText w:val="%3.%4.%5"/>
      <w:lvlJc w:val="left"/>
      <w:pPr>
        <w:tabs>
          <w:tab w:val="num" w:pos="792"/>
        </w:tabs>
        <w:ind w:left="792" w:hanging="792"/>
      </w:pPr>
      <w:rPr>
        <w:rFonts w:hint="default"/>
      </w:rPr>
    </w:lvl>
    <w:lvl w:ilvl="5">
      <w:start w:val="1"/>
      <w:numFmt w:val="decimal"/>
      <w:lvlText w:val="%3.%4.%5.%6"/>
      <w:lvlJc w:val="left"/>
      <w:pPr>
        <w:tabs>
          <w:tab w:val="num" w:pos="792"/>
        </w:tabs>
        <w:ind w:left="792" w:hanging="792"/>
      </w:pPr>
      <w:rPr>
        <w:rFonts w:hint="default"/>
      </w:rPr>
    </w:lvl>
    <w:lvl w:ilvl="6">
      <w:start w:val="1"/>
      <w:numFmt w:val="lowerLetter"/>
      <w:lvlText w:val="(%7)"/>
      <w:lvlJc w:val="left"/>
      <w:pPr>
        <w:tabs>
          <w:tab w:val="num" w:pos="1296"/>
        </w:tabs>
        <w:ind w:left="1296" w:hanging="504"/>
      </w:pPr>
      <w:rPr>
        <w:rFonts w:hint="default"/>
      </w:rPr>
    </w:lvl>
    <w:lvl w:ilvl="7">
      <w:start w:val="1"/>
      <w:numFmt w:val="lowerRoman"/>
      <w:lvlText w:val="(%8)"/>
      <w:lvlJc w:val="left"/>
      <w:pPr>
        <w:tabs>
          <w:tab w:val="num" w:pos="1800"/>
        </w:tabs>
        <w:ind w:left="1800" w:hanging="504"/>
      </w:pPr>
      <w:rPr>
        <w:rFonts w:hint="default"/>
      </w:rPr>
    </w:lvl>
    <w:lvl w:ilvl="8">
      <w:start w:val="1"/>
      <w:numFmt w:val="decimal"/>
      <w:lvlText w:val="%9."/>
      <w:lvlJc w:val="left"/>
      <w:pPr>
        <w:tabs>
          <w:tab w:val="num" w:pos="1296"/>
        </w:tabs>
        <w:ind w:left="1296" w:hanging="504"/>
      </w:pPr>
      <w:rPr>
        <w:rFonts w:hint="default"/>
      </w:rPr>
    </w:lvl>
  </w:abstractNum>
  <w:abstractNum w:abstractNumId="22" w15:restartNumberingAfterBreak="0">
    <w:nsid w:val="604C0E24"/>
    <w:multiLevelType w:val="hybridMultilevel"/>
    <w:tmpl w:val="756872CC"/>
    <w:lvl w:ilvl="0" w:tplc="768C3AB6">
      <w:start w:val="1"/>
      <w:numFmt w:val="bullet"/>
      <w:lvlText w:val=""/>
      <w:lvlJc w:val="left"/>
      <w:pPr>
        <w:ind w:left="1080" w:hanging="360"/>
      </w:pPr>
      <w:rPr>
        <w:rFonts w:ascii="Symbol" w:hAnsi="Symbol"/>
      </w:rPr>
    </w:lvl>
    <w:lvl w:ilvl="1" w:tplc="C5A60A88">
      <w:start w:val="1"/>
      <w:numFmt w:val="bullet"/>
      <w:lvlText w:val=""/>
      <w:lvlJc w:val="left"/>
      <w:pPr>
        <w:ind w:left="1080" w:hanging="360"/>
      </w:pPr>
      <w:rPr>
        <w:rFonts w:ascii="Symbol" w:hAnsi="Symbol"/>
      </w:rPr>
    </w:lvl>
    <w:lvl w:ilvl="2" w:tplc="6554A004">
      <w:start w:val="1"/>
      <w:numFmt w:val="bullet"/>
      <w:lvlText w:val=""/>
      <w:lvlJc w:val="left"/>
      <w:pPr>
        <w:ind w:left="1080" w:hanging="360"/>
      </w:pPr>
      <w:rPr>
        <w:rFonts w:ascii="Symbol" w:hAnsi="Symbol"/>
      </w:rPr>
    </w:lvl>
    <w:lvl w:ilvl="3" w:tplc="6AC6C67E">
      <w:start w:val="1"/>
      <w:numFmt w:val="bullet"/>
      <w:lvlText w:val=""/>
      <w:lvlJc w:val="left"/>
      <w:pPr>
        <w:ind w:left="1080" w:hanging="360"/>
      </w:pPr>
      <w:rPr>
        <w:rFonts w:ascii="Symbol" w:hAnsi="Symbol"/>
      </w:rPr>
    </w:lvl>
    <w:lvl w:ilvl="4" w:tplc="8284787E">
      <w:start w:val="1"/>
      <w:numFmt w:val="bullet"/>
      <w:lvlText w:val=""/>
      <w:lvlJc w:val="left"/>
      <w:pPr>
        <w:ind w:left="1080" w:hanging="360"/>
      </w:pPr>
      <w:rPr>
        <w:rFonts w:ascii="Symbol" w:hAnsi="Symbol"/>
      </w:rPr>
    </w:lvl>
    <w:lvl w:ilvl="5" w:tplc="FD46050A">
      <w:start w:val="1"/>
      <w:numFmt w:val="bullet"/>
      <w:lvlText w:val=""/>
      <w:lvlJc w:val="left"/>
      <w:pPr>
        <w:ind w:left="1080" w:hanging="360"/>
      </w:pPr>
      <w:rPr>
        <w:rFonts w:ascii="Symbol" w:hAnsi="Symbol"/>
      </w:rPr>
    </w:lvl>
    <w:lvl w:ilvl="6" w:tplc="CFB4DBDE">
      <w:start w:val="1"/>
      <w:numFmt w:val="bullet"/>
      <w:lvlText w:val=""/>
      <w:lvlJc w:val="left"/>
      <w:pPr>
        <w:ind w:left="1080" w:hanging="360"/>
      </w:pPr>
      <w:rPr>
        <w:rFonts w:ascii="Symbol" w:hAnsi="Symbol"/>
      </w:rPr>
    </w:lvl>
    <w:lvl w:ilvl="7" w:tplc="969C55A8">
      <w:start w:val="1"/>
      <w:numFmt w:val="bullet"/>
      <w:lvlText w:val=""/>
      <w:lvlJc w:val="left"/>
      <w:pPr>
        <w:ind w:left="1080" w:hanging="360"/>
      </w:pPr>
      <w:rPr>
        <w:rFonts w:ascii="Symbol" w:hAnsi="Symbol"/>
      </w:rPr>
    </w:lvl>
    <w:lvl w:ilvl="8" w:tplc="70E0D4B2">
      <w:start w:val="1"/>
      <w:numFmt w:val="bullet"/>
      <w:lvlText w:val=""/>
      <w:lvlJc w:val="left"/>
      <w:pPr>
        <w:ind w:left="1080" w:hanging="360"/>
      </w:pPr>
      <w:rPr>
        <w:rFonts w:ascii="Symbol" w:hAnsi="Symbol"/>
      </w:rPr>
    </w:lvl>
  </w:abstractNum>
  <w:abstractNum w:abstractNumId="23" w15:restartNumberingAfterBreak="0">
    <w:nsid w:val="617815CE"/>
    <w:multiLevelType w:val="hybridMultilevel"/>
    <w:tmpl w:val="7B1A2A1A"/>
    <w:lvl w:ilvl="0" w:tplc="826E4CAC">
      <w:start w:val="1"/>
      <w:numFmt w:val="bullet"/>
      <w:lvlText w:val=""/>
      <w:lvlJc w:val="left"/>
      <w:pPr>
        <w:ind w:left="1080" w:hanging="360"/>
      </w:pPr>
      <w:rPr>
        <w:rFonts w:ascii="Symbol" w:hAnsi="Symbol"/>
      </w:rPr>
    </w:lvl>
    <w:lvl w:ilvl="1" w:tplc="F9ACEFD4">
      <w:start w:val="1"/>
      <w:numFmt w:val="bullet"/>
      <w:lvlText w:val=""/>
      <w:lvlJc w:val="left"/>
      <w:pPr>
        <w:ind w:left="1080" w:hanging="360"/>
      </w:pPr>
      <w:rPr>
        <w:rFonts w:ascii="Symbol" w:hAnsi="Symbol"/>
      </w:rPr>
    </w:lvl>
    <w:lvl w:ilvl="2" w:tplc="5A70E84A">
      <w:start w:val="1"/>
      <w:numFmt w:val="bullet"/>
      <w:lvlText w:val=""/>
      <w:lvlJc w:val="left"/>
      <w:pPr>
        <w:ind w:left="1080" w:hanging="360"/>
      </w:pPr>
      <w:rPr>
        <w:rFonts w:ascii="Symbol" w:hAnsi="Symbol"/>
      </w:rPr>
    </w:lvl>
    <w:lvl w:ilvl="3" w:tplc="F5DA2C2C">
      <w:start w:val="1"/>
      <w:numFmt w:val="bullet"/>
      <w:lvlText w:val=""/>
      <w:lvlJc w:val="left"/>
      <w:pPr>
        <w:ind w:left="1080" w:hanging="360"/>
      </w:pPr>
      <w:rPr>
        <w:rFonts w:ascii="Symbol" w:hAnsi="Symbol"/>
      </w:rPr>
    </w:lvl>
    <w:lvl w:ilvl="4" w:tplc="13C837CA">
      <w:start w:val="1"/>
      <w:numFmt w:val="bullet"/>
      <w:lvlText w:val=""/>
      <w:lvlJc w:val="left"/>
      <w:pPr>
        <w:ind w:left="1080" w:hanging="360"/>
      </w:pPr>
      <w:rPr>
        <w:rFonts w:ascii="Symbol" w:hAnsi="Symbol"/>
      </w:rPr>
    </w:lvl>
    <w:lvl w:ilvl="5" w:tplc="9F68D284">
      <w:start w:val="1"/>
      <w:numFmt w:val="bullet"/>
      <w:lvlText w:val=""/>
      <w:lvlJc w:val="left"/>
      <w:pPr>
        <w:ind w:left="1080" w:hanging="360"/>
      </w:pPr>
      <w:rPr>
        <w:rFonts w:ascii="Symbol" w:hAnsi="Symbol"/>
      </w:rPr>
    </w:lvl>
    <w:lvl w:ilvl="6" w:tplc="9ABEFC20">
      <w:start w:val="1"/>
      <w:numFmt w:val="bullet"/>
      <w:lvlText w:val=""/>
      <w:lvlJc w:val="left"/>
      <w:pPr>
        <w:ind w:left="1080" w:hanging="360"/>
      </w:pPr>
      <w:rPr>
        <w:rFonts w:ascii="Symbol" w:hAnsi="Symbol"/>
      </w:rPr>
    </w:lvl>
    <w:lvl w:ilvl="7" w:tplc="E482F020">
      <w:start w:val="1"/>
      <w:numFmt w:val="bullet"/>
      <w:lvlText w:val=""/>
      <w:lvlJc w:val="left"/>
      <w:pPr>
        <w:ind w:left="1080" w:hanging="360"/>
      </w:pPr>
      <w:rPr>
        <w:rFonts w:ascii="Symbol" w:hAnsi="Symbol"/>
      </w:rPr>
    </w:lvl>
    <w:lvl w:ilvl="8" w:tplc="86783424">
      <w:start w:val="1"/>
      <w:numFmt w:val="bullet"/>
      <w:lvlText w:val=""/>
      <w:lvlJc w:val="left"/>
      <w:pPr>
        <w:ind w:left="1080" w:hanging="360"/>
      </w:pPr>
      <w:rPr>
        <w:rFonts w:ascii="Symbol" w:hAnsi="Symbol"/>
      </w:rPr>
    </w:lvl>
  </w:abstractNum>
  <w:abstractNum w:abstractNumId="24" w15:restartNumberingAfterBreak="0">
    <w:nsid w:val="69275DA9"/>
    <w:multiLevelType w:val="hybridMultilevel"/>
    <w:tmpl w:val="DBBC660C"/>
    <w:lvl w:ilvl="0" w:tplc="57306722">
      <w:start w:val="1"/>
      <w:numFmt w:val="bullet"/>
      <w:lvlText w:val=""/>
      <w:lvlJc w:val="left"/>
      <w:pPr>
        <w:ind w:left="1080" w:hanging="360"/>
      </w:pPr>
      <w:rPr>
        <w:rFonts w:ascii="Symbol" w:hAnsi="Symbol"/>
      </w:rPr>
    </w:lvl>
    <w:lvl w:ilvl="1" w:tplc="FF96D96A">
      <w:start w:val="1"/>
      <w:numFmt w:val="bullet"/>
      <w:lvlText w:val=""/>
      <w:lvlJc w:val="left"/>
      <w:pPr>
        <w:ind w:left="1080" w:hanging="360"/>
      </w:pPr>
      <w:rPr>
        <w:rFonts w:ascii="Symbol" w:hAnsi="Symbol"/>
      </w:rPr>
    </w:lvl>
    <w:lvl w:ilvl="2" w:tplc="416C2AE4">
      <w:start w:val="1"/>
      <w:numFmt w:val="bullet"/>
      <w:lvlText w:val=""/>
      <w:lvlJc w:val="left"/>
      <w:pPr>
        <w:ind w:left="1080" w:hanging="360"/>
      </w:pPr>
      <w:rPr>
        <w:rFonts w:ascii="Symbol" w:hAnsi="Symbol"/>
      </w:rPr>
    </w:lvl>
    <w:lvl w:ilvl="3" w:tplc="DA64E8A4">
      <w:start w:val="1"/>
      <w:numFmt w:val="bullet"/>
      <w:lvlText w:val=""/>
      <w:lvlJc w:val="left"/>
      <w:pPr>
        <w:ind w:left="1080" w:hanging="360"/>
      </w:pPr>
      <w:rPr>
        <w:rFonts w:ascii="Symbol" w:hAnsi="Symbol"/>
      </w:rPr>
    </w:lvl>
    <w:lvl w:ilvl="4" w:tplc="7ED65208">
      <w:start w:val="1"/>
      <w:numFmt w:val="bullet"/>
      <w:lvlText w:val=""/>
      <w:lvlJc w:val="left"/>
      <w:pPr>
        <w:ind w:left="1080" w:hanging="360"/>
      </w:pPr>
      <w:rPr>
        <w:rFonts w:ascii="Symbol" w:hAnsi="Symbol"/>
      </w:rPr>
    </w:lvl>
    <w:lvl w:ilvl="5" w:tplc="6A72FDBC">
      <w:start w:val="1"/>
      <w:numFmt w:val="bullet"/>
      <w:lvlText w:val=""/>
      <w:lvlJc w:val="left"/>
      <w:pPr>
        <w:ind w:left="1080" w:hanging="360"/>
      </w:pPr>
      <w:rPr>
        <w:rFonts w:ascii="Symbol" w:hAnsi="Symbol"/>
      </w:rPr>
    </w:lvl>
    <w:lvl w:ilvl="6" w:tplc="AA8C4998">
      <w:start w:val="1"/>
      <w:numFmt w:val="bullet"/>
      <w:lvlText w:val=""/>
      <w:lvlJc w:val="left"/>
      <w:pPr>
        <w:ind w:left="1080" w:hanging="360"/>
      </w:pPr>
      <w:rPr>
        <w:rFonts w:ascii="Symbol" w:hAnsi="Symbol"/>
      </w:rPr>
    </w:lvl>
    <w:lvl w:ilvl="7" w:tplc="C6CADD5C">
      <w:start w:val="1"/>
      <w:numFmt w:val="bullet"/>
      <w:lvlText w:val=""/>
      <w:lvlJc w:val="left"/>
      <w:pPr>
        <w:ind w:left="1080" w:hanging="360"/>
      </w:pPr>
      <w:rPr>
        <w:rFonts w:ascii="Symbol" w:hAnsi="Symbol"/>
      </w:rPr>
    </w:lvl>
    <w:lvl w:ilvl="8" w:tplc="95DECE68">
      <w:start w:val="1"/>
      <w:numFmt w:val="bullet"/>
      <w:lvlText w:val=""/>
      <w:lvlJc w:val="left"/>
      <w:pPr>
        <w:ind w:left="1080" w:hanging="360"/>
      </w:pPr>
      <w:rPr>
        <w:rFonts w:ascii="Symbol" w:hAnsi="Symbol"/>
      </w:rPr>
    </w:lvl>
  </w:abstractNum>
  <w:abstractNum w:abstractNumId="25" w15:restartNumberingAfterBreak="0">
    <w:nsid w:val="73351B76"/>
    <w:multiLevelType w:val="hybridMultilevel"/>
    <w:tmpl w:val="4A82F11E"/>
    <w:lvl w:ilvl="0" w:tplc="0C090001">
      <w:start w:val="1"/>
      <w:numFmt w:val="bullet"/>
      <w:lvlText w:val=""/>
      <w:lvlJc w:val="left"/>
      <w:pPr>
        <w:ind w:left="1514" w:hanging="360"/>
      </w:pPr>
      <w:rPr>
        <w:rFonts w:ascii="Symbol" w:hAnsi="Symbol"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abstractNum w:abstractNumId="26" w15:restartNumberingAfterBreak="0">
    <w:nsid w:val="764A478C"/>
    <w:multiLevelType w:val="hybridMultilevel"/>
    <w:tmpl w:val="FFB699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8B452E5"/>
    <w:multiLevelType w:val="hybridMultilevel"/>
    <w:tmpl w:val="49DC06FA"/>
    <w:lvl w:ilvl="0" w:tplc="EB84B8A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A7E12E5"/>
    <w:multiLevelType w:val="hybridMultilevel"/>
    <w:tmpl w:val="3A5E8A9C"/>
    <w:lvl w:ilvl="0" w:tplc="D52C8DEE">
      <w:start w:val="1"/>
      <w:numFmt w:val="decimal"/>
      <w:pStyle w:val="Numpara"/>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BD034B8"/>
    <w:multiLevelType w:val="hybridMultilevel"/>
    <w:tmpl w:val="4664DA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FD44514"/>
    <w:multiLevelType w:val="multilevel"/>
    <w:tmpl w:val="D3A4EDA4"/>
    <w:lvl w:ilvl="0">
      <w:start w:val="1"/>
      <w:numFmt w:val="lowerLetter"/>
      <w:pStyle w:val="Listnum"/>
      <w:lvlText w:val="(%1)"/>
      <w:lvlJc w:val="left"/>
      <w:pPr>
        <w:tabs>
          <w:tab w:val="num" w:pos="360"/>
        </w:tabs>
        <w:ind w:left="360" w:hanging="360"/>
      </w:pPr>
      <w:rPr>
        <w:rFonts w:hint="default"/>
      </w:rPr>
    </w:lvl>
    <w:lvl w:ilvl="1">
      <w:start w:val="1"/>
      <w:numFmt w:val="lowerRoman"/>
      <w:pStyle w:val="Listnum2"/>
      <w:lvlText w:val="(%2)"/>
      <w:lvlJc w:val="left"/>
      <w:pPr>
        <w:tabs>
          <w:tab w:val="num" w:pos="864"/>
        </w:tabs>
        <w:ind w:left="720" w:hanging="360"/>
      </w:pPr>
      <w:rPr>
        <w:rFonts w:hint="default"/>
      </w:rPr>
    </w:lvl>
    <w:lvl w:ilvl="2">
      <w:start w:val="1"/>
      <w:numFmt w:val="decimal"/>
      <w:pStyle w:val="Heading1numbered"/>
      <w:lvlText w:val="%3."/>
      <w:lvlJc w:val="left"/>
      <w:pPr>
        <w:tabs>
          <w:tab w:val="num" w:pos="792"/>
        </w:tabs>
        <w:ind w:left="792" w:hanging="792"/>
      </w:pPr>
      <w:rPr>
        <w:rFonts w:hint="default"/>
      </w:rPr>
    </w:lvl>
    <w:lvl w:ilvl="3">
      <w:start w:val="1"/>
      <w:numFmt w:val="decimal"/>
      <w:pStyle w:val="Heading2numbered"/>
      <w:lvlText w:val="%3.%4"/>
      <w:lvlJc w:val="left"/>
      <w:pPr>
        <w:tabs>
          <w:tab w:val="num" w:pos="792"/>
        </w:tabs>
        <w:ind w:left="792" w:hanging="792"/>
      </w:pPr>
      <w:rPr>
        <w:rFonts w:hint="default"/>
      </w:rPr>
    </w:lvl>
    <w:lvl w:ilvl="4">
      <w:start w:val="1"/>
      <w:numFmt w:val="decimal"/>
      <w:pStyle w:val="Heading3numbered"/>
      <w:lvlText w:val="%3.%4.%5"/>
      <w:lvlJc w:val="left"/>
      <w:pPr>
        <w:tabs>
          <w:tab w:val="num" w:pos="792"/>
        </w:tabs>
        <w:ind w:left="792" w:hanging="792"/>
      </w:pPr>
      <w:rPr>
        <w:rFonts w:hint="default"/>
      </w:rPr>
    </w:lvl>
    <w:lvl w:ilvl="5">
      <w:start w:val="1"/>
      <w:numFmt w:val="decimal"/>
      <w:pStyle w:val="Heading4numbered"/>
      <w:lvlText w:val="%3.%4.%5.%6"/>
      <w:lvlJc w:val="left"/>
      <w:pPr>
        <w:tabs>
          <w:tab w:val="num" w:pos="792"/>
        </w:tabs>
        <w:ind w:left="792" w:hanging="792"/>
      </w:pPr>
      <w:rPr>
        <w:rFonts w:hint="default"/>
      </w:rPr>
    </w:lvl>
    <w:lvl w:ilvl="6">
      <w:start w:val="1"/>
      <w:numFmt w:val="lowerLetter"/>
      <w:pStyle w:val="Listnumindent"/>
      <w:lvlText w:val="(%7)"/>
      <w:lvlJc w:val="left"/>
      <w:pPr>
        <w:tabs>
          <w:tab w:val="num" w:pos="1296"/>
        </w:tabs>
        <w:ind w:left="1296" w:hanging="504"/>
      </w:pPr>
      <w:rPr>
        <w:rFonts w:hint="default"/>
      </w:rPr>
    </w:lvl>
    <w:lvl w:ilvl="7">
      <w:start w:val="1"/>
      <w:numFmt w:val="lowerRoman"/>
      <w:pStyle w:val="Listnumindent2"/>
      <w:lvlText w:val="(%8)"/>
      <w:lvlJc w:val="left"/>
      <w:pPr>
        <w:tabs>
          <w:tab w:val="num" w:pos="1800"/>
        </w:tabs>
        <w:ind w:left="1800" w:hanging="504"/>
      </w:pPr>
      <w:rPr>
        <w:rFonts w:hint="default"/>
      </w:rPr>
    </w:lvl>
    <w:lvl w:ilvl="8">
      <w:start w:val="1"/>
      <w:numFmt w:val="decimal"/>
      <w:pStyle w:val="Numparaindent"/>
      <w:lvlText w:val="%9."/>
      <w:lvlJc w:val="left"/>
      <w:pPr>
        <w:tabs>
          <w:tab w:val="num" w:pos="1296"/>
        </w:tabs>
        <w:ind w:left="1296" w:hanging="504"/>
      </w:pPr>
      <w:rPr>
        <w:rFonts w:hint="default"/>
      </w:rPr>
    </w:lvl>
  </w:abstractNum>
  <w:num w:numId="1" w16cid:durableId="1932424218">
    <w:abstractNumId w:val="20"/>
  </w:num>
  <w:num w:numId="2" w16cid:durableId="1786584586">
    <w:abstractNumId w:val="12"/>
  </w:num>
  <w:num w:numId="3" w16cid:durableId="86509463">
    <w:abstractNumId w:val="9"/>
  </w:num>
  <w:num w:numId="4" w16cid:durableId="1602177290">
    <w:abstractNumId w:val="21"/>
    <w:lvlOverride w:ilvl="0">
      <w:startOverride w:val="2"/>
    </w:lvlOverride>
    <w:lvlOverride w:ilvl="1">
      <w:startOverride w:val="3"/>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34068797">
    <w:abstractNumId w:val="21"/>
    <w:lvlOverride w:ilvl="0">
      <w:startOverride w:val="3"/>
    </w:lvlOverride>
    <w:lvlOverride w:ilvl="1">
      <w:startOverride w:val="1"/>
    </w:lvlOverride>
    <w:lvlOverride w:ilvl="2">
      <w:startOverride w:val="1"/>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37778213">
    <w:abstractNumId w:val="21"/>
  </w:num>
  <w:num w:numId="7" w16cid:durableId="1087461761">
    <w:abstractNumId w:val="21"/>
    <w:lvlOverride w:ilvl="0">
      <w:startOverride w:val="2"/>
    </w:lvlOverride>
    <w:lvlOverride w:ilvl="1">
      <w:startOverride w:val="1"/>
    </w:lvlOverride>
    <w:lvlOverride w:ilvl="2">
      <w:startOverride w:val="1"/>
    </w:lvlOverride>
    <w:lvlOverride w:ilvl="3">
      <w:startOverride w:val="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87660907">
    <w:abstractNumId w:val="15"/>
  </w:num>
  <w:num w:numId="9" w16cid:durableId="1835680586">
    <w:abstractNumId w:val="15"/>
    <w:lvlOverride w:ilvl="0">
      <w:startOverride w:val="9"/>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03197440">
    <w:abstractNumId w:val="28"/>
  </w:num>
  <w:num w:numId="11" w16cid:durableId="120174963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64216030">
    <w:abstractNumId w:val="30"/>
  </w:num>
  <w:num w:numId="13" w16cid:durableId="1666974865">
    <w:abstractNumId w:val="3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2"/>
    </w:lvlOverride>
    <w:lvlOverride w:ilvl="7">
      <w:startOverride w:val="1"/>
    </w:lvlOverride>
    <w:lvlOverride w:ilvl="8">
      <w:startOverride w:val="5"/>
    </w:lvlOverride>
  </w:num>
  <w:num w:numId="14" w16cid:durableId="1656952875">
    <w:abstractNumId w:val="30"/>
    <w:lvlOverride w:ilvl="0">
      <w:startOverride w:val="1"/>
    </w:lvlOverride>
    <w:lvlOverride w:ilvl="1">
      <w:startOverride w:val="3"/>
    </w:lvlOverride>
    <w:lvlOverride w:ilvl="2">
      <w:startOverride w:val="2"/>
    </w:lvlOverride>
    <w:lvlOverride w:ilvl="3">
      <w:startOverride w:val="1"/>
    </w:lvlOverride>
    <w:lvlOverride w:ilvl="4">
      <w:startOverride w:val="3"/>
    </w:lvlOverride>
    <w:lvlOverride w:ilvl="5">
      <w:startOverride w:val="1"/>
    </w:lvlOverride>
    <w:lvlOverride w:ilvl="6">
      <w:startOverride w:val="2"/>
    </w:lvlOverride>
    <w:lvlOverride w:ilvl="7">
      <w:startOverride w:val="1"/>
    </w:lvlOverride>
    <w:lvlOverride w:ilvl="8">
      <w:startOverride w:val="1"/>
    </w:lvlOverride>
  </w:num>
  <w:num w:numId="15" w16cid:durableId="339937426">
    <w:abstractNumId w:val="30"/>
    <w:lvlOverride w:ilvl="0">
      <w:startOverride w:val="1"/>
    </w:lvlOverride>
    <w:lvlOverride w:ilvl="1">
      <w:startOverride w:val="2"/>
    </w:lvlOverride>
    <w:lvlOverride w:ilvl="2">
      <w:startOverride w:val="1"/>
    </w:lvlOverride>
    <w:lvlOverride w:ilvl="3">
      <w:startOverride w:val="2"/>
    </w:lvlOverride>
    <w:lvlOverride w:ilvl="4">
      <w:startOverride w:val="2"/>
    </w:lvlOverride>
    <w:lvlOverride w:ilvl="5">
      <w:startOverride w:val="1"/>
    </w:lvlOverride>
    <w:lvlOverride w:ilvl="6">
      <w:startOverride w:val="1"/>
    </w:lvlOverride>
    <w:lvlOverride w:ilvl="7">
      <w:startOverride w:val="1"/>
    </w:lvlOverride>
    <w:lvlOverride w:ilvl="8">
      <w:startOverride w:val="4"/>
    </w:lvlOverride>
  </w:num>
  <w:num w:numId="16" w16cid:durableId="299969167">
    <w:abstractNumId w:val="25"/>
  </w:num>
  <w:num w:numId="17" w16cid:durableId="286594894">
    <w:abstractNumId w:val="19"/>
  </w:num>
  <w:num w:numId="18" w16cid:durableId="1830553526">
    <w:abstractNumId w:val="26"/>
  </w:num>
  <w:num w:numId="19" w16cid:durableId="1143351638">
    <w:abstractNumId w:val="29"/>
  </w:num>
  <w:num w:numId="20" w16cid:durableId="2122650248">
    <w:abstractNumId w:val="6"/>
  </w:num>
  <w:num w:numId="21" w16cid:durableId="1889295653">
    <w:abstractNumId w:val="10"/>
  </w:num>
  <w:num w:numId="22" w16cid:durableId="1677463509">
    <w:abstractNumId w:val="7"/>
  </w:num>
  <w:num w:numId="23" w16cid:durableId="669869486">
    <w:abstractNumId w:val="3"/>
  </w:num>
  <w:num w:numId="24" w16cid:durableId="46802769">
    <w:abstractNumId w:val="5"/>
  </w:num>
  <w:num w:numId="25" w16cid:durableId="1080634714">
    <w:abstractNumId w:val="0"/>
  </w:num>
  <w:num w:numId="26" w16cid:durableId="1726753935">
    <w:abstractNumId w:val="11"/>
  </w:num>
  <w:num w:numId="27" w16cid:durableId="507452284">
    <w:abstractNumId w:val="14"/>
  </w:num>
  <w:num w:numId="28" w16cid:durableId="123475865">
    <w:abstractNumId w:val="1"/>
  </w:num>
  <w:num w:numId="29" w16cid:durableId="1256548341">
    <w:abstractNumId w:val="17"/>
  </w:num>
  <w:num w:numId="30" w16cid:durableId="1650793014">
    <w:abstractNumId w:val="18"/>
  </w:num>
  <w:num w:numId="31" w16cid:durableId="172376416">
    <w:abstractNumId w:val="24"/>
  </w:num>
  <w:num w:numId="32" w16cid:durableId="667170239">
    <w:abstractNumId w:val="22"/>
  </w:num>
  <w:num w:numId="33" w16cid:durableId="1443110406">
    <w:abstractNumId w:val="16"/>
  </w:num>
  <w:num w:numId="34" w16cid:durableId="1769734891">
    <w:abstractNumId w:val="23"/>
  </w:num>
  <w:num w:numId="35" w16cid:durableId="83572964">
    <w:abstractNumId w:val="13"/>
  </w:num>
  <w:num w:numId="36" w16cid:durableId="1693915356">
    <w:abstractNumId w:val="4"/>
  </w:num>
  <w:num w:numId="37" w16cid:durableId="932586754">
    <w:abstractNumId w:val="8"/>
  </w:num>
  <w:num w:numId="38" w16cid:durableId="1862013268">
    <w:abstractNumId w:val="27"/>
  </w:num>
  <w:num w:numId="39" w16cid:durableId="125054774">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CDD"/>
    <w:rsid w:val="00000441"/>
    <w:rsid w:val="0000140D"/>
    <w:rsid w:val="00001431"/>
    <w:rsid w:val="00003359"/>
    <w:rsid w:val="00003B5C"/>
    <w:rsid w:val="00003B7E"/>
    <w:rsid w:val="00004CBA"/>
    <w:rsid w:val="00004E97"/>
    <w:rsid w:val="000055BE"/>
    <w:rsid w:val="00006638"/>
    <w:rsid w:val="00006915"/>
    <w:rsid w:val="000104B7"/>
    <w:rsid w:val="00011F79"/>
    <w:rsid w:val="00012F6F"/>
    <w:rsid w:val="0001401D"/>
    <w:rsid w:val="00014213"/>
    <w:rsid w:val="00014B55"/>
    <w:rsid w:val="00015438"/>
    <w:rsid w:val="00015445"/>
    <w:rsid w:val="00015C3D"/>
    <w:rsid w:val="0002019D"/>
    <w:rsid w:val="00020B84"/>
    <w:rsid w:val="00020E3E"/>
    <w:rsid w:val="00021666"/>
    <w:rsid w:val="000235DA"/>
    <w:rsid w:val="00023722"/>
    <w:rsid w:val="00023BF3"/>
    <w:rsid w:val="00024620"/>
    <w:rsid w:val="00024AC0"/>
    <w:rsid w:val="00024CA9"/>
    <w:rsid w:val="000266CA"/>
    <w:rsid w:val="00026811"/>
    <w:rsid w:val="00026D8A"/>
    <w:rsid w:val="0002714A"/>
    <w:rsid w:val="00027445"/>
    <w:rsid w:val="00027DA1"/>
    <w:rsid w:val="000314BB"/>
    <w:rsid w:val="00031C7B"/>
    <w:rsid w:val="000324A4"/>
    <w:rsid w:val="0003276A"/>
    <w:rsid w:val="0003409A"/>
    <w:rsid w:val="000344B6"/>
    <w:rsid w:val="00034ECC"/>
    <w:rsid w:val="00041478"/>
    <w:rsid w:val="000423B4"/>
    <w:rsid w:val="00042D49"/>
    <w:rsid w:val="00043296"/>
    <w:rsid w:val="0004356D"/>
    <w:rsid w:val="00045296"/>
    <w:rsid w:val="000469A1"/>
    <w:rsid w:val="00047E82"/>
    <w:rsid w:val="0005001F"/>
    <w:rsid w:val="00052141"/>
    <w:rsid w:val="0005323E"/>
    <w:rsid w:val="00055C93"/>
    <w:rsid w:val="00061DB0"/>
    <w:rsid w:val="00062770"/>
    <w:rsid w:val="00062BD4"/>
    <w:rsid w:val="0006364F"/>
    <w:rsid w:val="00065337"/>
    <w:rsid w:val="00070324"/>
    <w:rsid w:val="000721B8"/>
    <w:rsid w:val="000721CE"/>
    <w:rsid w:val="00073321"/>
    <w:rsid w:val="00075CF4"/>
    <w:rsid w:val="00075E6C"/>
    <w:rsid w:val="00076C76"/>
    <w:rsid w:val="00080DA4"/>
    <w:rsid w:val="00081973"/>
    <w:rsid w:val="0008224F"/>
    <w:rsid w:val="00082FBE"/>
    <w:rsid w:val="00083C7B"/>
    <w:rsid w:val="00084CA8"/>
    <w:rsid w:val="0008669B"/>
    <w:rsid w:val="00086DB0"/>
    <w:rsid w:val="00090753"/>
    <w:rsid w:val="00091736"/>
    <w:rsid w:val="00091856"/>
    <w:rsid w:val="00091E4D"/>
    <w:rsid w:val="00092693"/>
    <w:rsid w:val="000953B7"/>
    <w:rsid w:val="00095E80"/>
    <w:rsid w:val="00096B10"/>
    <w:rsid w:val="00096EF1"/>
    <w:rsid w:val="000972BB"/>
    <w:rsid w:val="00097FE1"/>
    <w:rsid w:val="000A1316"/>
    <w:rsid w:val="000A2983"/>
    <w:rsid w:val="000A3473"/>
    <w:rsid w:val="000A3DCE"/>
    <w:rsid w:val="000A41C4"/>
    <w:rsid w:val="000A6D7B"/>
    <w:rsid w:val="000A6E98"/>
    <w:rsid w:val="000A7CBE"/>
    <w:rsid w:val="000B0817"/>
    <w:rsid w:val="000B0933"/>
    <w:rsid w:val="000B29AD"/>
    <w:rsid w:val="000B29F9"/>
    <w:rsid w:val="000B2A38"/>
    <w:rsid w:val="000B4493"/>
    <w:rsid w:val="000B5355"/>
    <w:rsid w:val="000B61BF"/>
    <w:rsid w:val="000B6452"/>
    <w:rsid w:val="000B6927"/>
    <w:rsid w:val="000B69EB"/>
    <w:rsid w:val="000C04D7"/>
    <w:rsid w:val="000C1E04"/>
    <w:rsid w:val="000C2707"/>
    <w:rsid w:val="000C367A"/>
    <w:rsid w:val="000C3F43"/>
    <w:rsid w:val="000C5A83"/>
    <w:rsid w:val="000C6372"/>
    <w:rsid w:val="000C76D4"/>
    <w:rsid w:val="000D0576"/>
    <w:rsid w:val="000D066B"/>
    <w:rsid w:val="000D1068"/>
    <w:rsid w:val="000D5827"/>
    <w:rsid w:val="000D593F"/>
    <w:rsid w:val="000D67BB"/>
    <w:rsid w:val="000D706B"/>
    <w:rsid w:val="000D7B5C"/>
    <w:rsid w:val="000D7C26"/>
    <w:rsid w:val="000E14BA"/>
    <w:rsid w:val="000E1C35"/>
    <w:rsid w:val="000E1C6C"/>
    <w:rsid w:val="000E2844"/>
    <w:rsid w:val="000E3002"/>
    <w:rsid w:val="000E3057"/>
    <w:rsid w:val="000E3695"/>
    <w:rsid w:val="000E392D"/>
    <w:rsid w:val="000E3DD7"/>
    <w:rsid w:val="000E4D3D"/>
    <w:rsid w:val="000E5C26"/>
    <w:rsid w:val="000F019F"/>
    <w:rsid w:val="000F188E"/>
    <w:rsid w:val="000F26F3"/>
    <w:rsid w:val="000F4288"/>
    <w:rsid w:val="000F592A"/>
    <w:rsid w:val="000F6C6A"/>
    <w:rsid w:val="000F6FD5"/>
    <w:rsid w:val="000F7165"/>
    <w:rsid w:val="000F73D8"/>
    <w:rsid w:val="000F76F0"/>
    <w:rsid w:val="000F7E40"/>
    <w:rsid w:val="0010124E"/>
    <w:rsid w:val="00101290"/>
    <w:rsid w:val="00102379"/>
    <w:rsid w:val="00102B5B"/>
    <w:rsid w:val="001037E7"/>
    <w:rsid w:val="001051F1"/>
    <w:rsid w:val="00105525"/>
    <w:rsid w:val="001065D6"/>
    <w:rsid w:val="00106EB0"/>
    <w:rsid w:val="00110AF8"/>
    <w:rsid w:val="00112F6F"/>
    <w:rsid w:val="001133EC"/>
    <w:rsid w:val="00113C1E"/>
    <w:rsid w:val="0011718A"/>
    <w:rsid w:val="00121252"/>
    <w:rsid w:val="00121D9B"/>
    <w:rsid w:val="00121DB0"/>
    <w:rsid w:val="001220B1"/>
    <w:rsid w:val="00123FF6"/>
    <w:rsid w:val="00124609"/>
    <w:rsid w:val="001254CE"/>
    <w:rsid w:val="00125606"/>
    <w:rsid w:val="00126119"/>
    <w:rsid w:val="0012699A"/>
    <w:rsid w:val="00126AF9"/>
    <w:rsid w:val="001326CA"/>
    <w:rsid w:val="00134CEA"/>
    <w:rsid w:val="00135B87"/>
    <w:rsid w:val="00136615"/>
    <w:rsid w:val="001368CE"/>
    <w:rsid w:val="00140008"/>
    <w:rsid w:val="00141469"/>
    <w:rsid w:val="00141D5A"/>
    <w:rsid w:val="001422CC"/>
    <w:rsid w:val="001425A3"/>
    <w:rsid w:val="0014376A"/>
    <w:rsid w:val="00144598"/>
    <w:rsid w:val="00145EEA"/>
    <w:rsid w:val="001461B6"/>
    <w:rsid w:val="00150720"/>
    <w:rsid w:val="00151DF8"/>
    <w:rsid w:val="00151E5C"/>
    <w:rsid w:val="00152587"/>
    <w:rsid w:val="00152A88"/>
    <w:rsid w:val="001545B8"/>
    <w:rsid w:val="001568CB"/>
    <w:rsid w:val="001617B6"/>
    <w:rsid w:val="00162036"/>
    <w:rsid w:val="00163E2A"/>
    <w:rsid w:val="00164781"/>
    <w:rsid w:val="001657FB"/>
    <w:rsid w:val="0016587C"/>
    <w:rsid w:val="00165E66"/>
    <w:rsid w:val="00166470"/>
    <w:rsid w:val="00171327"/>
    <w:rsid w:val="001718DD"/>
    <w:rsid w:val="00171C0E"/>
    <w:rsid w:val="001749AA"/>
    <w:rsid w:val="00176B72"/>
    <w:rsid w:val="00181D0B"/>
    <w:rsid w:val="00184246"/>
    <w:rsid w:val="00185827"/>
    <w:rsid w:val="00185A11"/>
    <w:rsid w:val="00186C88"/>
    <w:rsid w:val="001933EA"/>
    <w:rsid w:val="00193F65"/>
    <w:rsid w:val="001971E8"/>
    <w:rsid w:val="001973BF"/>
    <w:rsid w:val="001973D5"/>
    <w:rsid w:val="00197975"/>
    <w:rsid w:val="001A014C"/>
    <w:rsid w:val="001A0645"/>
    <w:rsid w:val="001A080B"/>
    <w:rsid w:val="001A12FE"/>
    <w:rsid w:val="001A1537"/>
    <w:rsid w:val="001A2245"/>
    <w:rsid w:val="001A3241"/>
    <w:rsid w:val="001A3DD1"/>
    <w:rsid w:val="001A4680"/>
    <w:rsid w:val="001A63FE"/>
    <w:rsid w:val="001B33CD"/>
    <w:rsid w:val="001B5200"/>
    <w:rsid w:val="001B7A76"/>
    <w:rsid w:val="001C01DB"/>
    <w:rsid w:val="001C0F84"/>
    <w:rsid w:val="001C2437"/>
    <w:rsid w:val="001C474A"/>
    <w:rsid w:val="001C4AC5"/>
    <w:rsid w:val="001C5363"/>
    <w:rsid w:val="001C56FB"/>
    <w:rsid w:val="001C66C2"/>
    <w:rsid w:val="001C6AE0"/>
    <w:rsid w:val="001C6CC3"/>
    <w:rsid w:val="001C6DB5"/>
    <w:rsid w:val="001C74A6"/>
    <w:rsid w:val="001C7BAE"/>
    <w:rsid w:val="001D015B"/>
    <w:rsid w:val="001D11A5"/>
    <w:rsid w:val="001D13C3"/>
    <w:rsid w:val="001D140A"/>
    <w:rsid w:val="001D1B5F"/>
    <w:rsid w:val="001D1DDF"/>
    <w:rsid w:val="001D1FDC"/>
    <w:rsid w:val="001D2774"/>
    <w:rsid w:val="001D53E8"/>
    <w:rsid w:val="001D55C5"/>
    <w:rsid w:val="001D5C33"/>
    <w:rsid w:val="001D717E"/>
    <w:rsid w:val="001D7730"/>
    <w:rsid w:val="001E1C8D"/>
    <w:rsid w:val="001E31FA"/>
    <w:rsid w:val="001E38B2"/>
    <w:rsid w:val="001E59A5"/>
    <w:rsid w:val="001E64F6"/>
    <w:rsid w:val="001E6532"/>
    <w:rsid w:val="001F039E"/>
    <w:rsid w:val="001F2068"/>
    <w:rsid w:val="001F42C8"/>
    <w:rsid w:val="001F4C4D"/>
    <w:rsid w:val="001F5E84"/>
    <w:rsid w:val="001F71FD"/>
    <w:rsid w:val="001F7A2E"/>
    <w:rsid w:val="001F7AA1"/>
    <w:rsid w:val="00200DC8"/>
    <w:rsid w:val="00203843"/>
    <w:rsid w:val="00203F4E"/>
    <w:rsid w:val="00204ECB"/>
    <w:rsid w:val="0020613C"/>
    <w:rsid w:val="00207070"/>
    <w:rsid w:val="00207F3E"/>
    <w:rsid w:val="002100EB"/>
    <w:rsid w:val="00211303"/>
    <w:rsid w:val="002122B8"/>
    <w:rsid w:val="00212CFF"/>
    <w:rsid w:val="002144C5"/>
    <w:rsid w:val="0021453E"/>
    <w:rsid w:val="002166D0"/>
    <w:rsid w:val="00217F45"/>
    <w:rsid w:val="00220D62"/>
    <w:rsid w:val="002211C3"/>
    <w:rsid w:val="00222BDC"/>
    <w:rsid w:val="00222BEB"/>
    <w:rsid w:val="002239B0"/>
    <w:rsid w:val="00225E60"/>
    <w:rsid w:val="00225E67"/>
    <w:rsid w:val="002276FE"/>
    <w:rsid w:val="00231136"/>
    <w:rsid w:val="0023202C"/>
    <w:rsid w:val="0023205A"/>
    <w:rsid w:val="00235223"/>
    <w:rsid w:val="0023541B"/>
    <w:rsid w:val="00236203"/>
    <w:rsid w:val="00236B34"/>
    <w:rsid w:val="00240741"/>
    <w:rsid w:val="0024094A"/>
    <w:rsid w:val="002414FE"/>
    <w:rsid w:val="00241851"/>
    <w:rsid w:val="00241887"/>
    <w:rsid w:val="002428C5"/>
    <w:rsid w:val="00243FAF"/>
    <w:rsid w:val="00245019"/>
    <w:rsid w:val="00245043"/>
    <w:rsid w:val="00245E6F"/>
    <w:rsid w:val="00245EB2"/>
    <w:rsid w:val="00246151"/>
    <w:rsid w:val="00246DC5"/>
    <w:rsid w:val="00251E6D"/>
    <w:rsid w:val="0025316C"/>
    <w:rsid w:val="002532F7"/>
    <w:rsid w:val="00254BF0"/>
    <w:rsid w:val="00254F4F"/>
    <w:rsid w:val="00255EE5"/>
    <w:rsid w:val="00257303"/>
    <w:rsid w:val="00257760"/>
    <w:rsid w:val="0026024B"/>
    <w:rsid w:val="002606AE"/>
    <w:rsid w:val="0026140F"/>
    <w:rsid w:val="00263143"/>
    <w:rsid w:val="002631C1"/>
    <w:rsid w:val="00263480"/>
    <w:rsid w:val="00263A00"/>
    <w:rsid w:val="002650C7"/>
    <w:rsid w:val="0026544E"/>
    <w:rsid w:val="00270F02"/>
    <w:rsid w:val="002716D3"/>
    <w:rsid w:val="002727C0"/>
    <w:rsid w:val="0027303B"/>
    <w:rsid w:val="002733DE"/>
    <w:rsid w:val="00274B07"/>
    <w:rsid w:val="00275F7E"/>
    <w:rsid w:val="00276B65"/>
    <w:rsid w:val="00277997"/>
    <w:rsid w:val="002819D4"/>
    <w:rsid w:val="002829D9"/>
    <w:rsid w:val="00290362"/>
    <w:rsid w:val="00290E3E"/>
    <w:rsid w:val="00291328"/>
    <w:rsid w:val="00291828"/>
    <w:rsid w:val="00292D36"/>
    <w:rsid w:val="00293FA9"/>
    <w:rsid w:val="00295335"/>
    <w:rsid w:val="00295BB2"/>
    <w:rsid w:val="00296103"/>
    <w:rsid w:val="00296CC6"/>
    <w:rsid w:val="00297281"/>
    <w:rsid w:val="0029771B"/>
    <w:rsid w:val="002A2D69"/>
    <w:rsid w:val="002A5EB5"/>
    <w:rsid w:val="002B0058"/>
    <w:rsid w:val="002B1051"/>
    <w:rsid w:val="002B1389"/>
    <w:rsid w:val="002B2D9B"/>
    <w:rsid w:val="002B5AFD"/>
    <w:rsid w:val="002B6082"/>
    <w:rsid w:val="002C01A7"/>
    <w:rsid w:val="002C300C"/>
    <w:rsid w:val="002C339C"/>
    <w:rsid w:val="002C3C82"/>
    <w:rsid w:val="002C54E0"/>
    <w:rsid w:val="002D13F5"/>
    <w:rsid w:val="002D1FA9"/>
    <w:rsid w:val="002D2CF8"/>
    <w:rsid w:val="002D4286"/>
    <w:rsid w:val="002D4471"/>
    <w:rsid w:val="002D4DE0"/>
    <w:rsid w:val="002D6067"/>
    <w:rsid w:val="002D62D7"/>
    <w:rsid w:val="002D685A"/>
    <w:rsid w:val="002D6CDA"/>
    <w:rsid w:val="002D711A"/>
    <w:rsid w:val="002D7336"/>
    <w:rsid w:val="002D771F"/>
    <w:rsid w:val="002E29C3"/>
    <w:rsid w:val="002E3396"/>
    <w:rsid w:val="002E3596"/>
    <w:rsid w:val="002E3B40"/>
    <w:rsid w:val="002E3D44"/>
    <w:rsid w:val="002E42A4"/>
    <w:rsid w:val="002E5202"/>
    <w:rsid w:val="002E536A"/>
    <w:rsid w:val="002E60BF"/>
    <w:rsid w:val="002E61C5"/>
    <w:rsid w:val="002E6A83"/>
    <w:rsid w:val="002E6B98"/>
    <w:rsid w:val="002F054F"/>
    <w:rsid w:val="002F06C6"/>
    <w:rsid w:val="002F150E"/>
    <w:rsid w:val="002F41C9"/>
    <w:rsid w:val="002F43A3"/>
    <w:rsid w:val="002F5704"/>
    <w:rsid w:val="002F6F91"/>
    <w:rsid w:val="0030031E"/>
    <w:rsid w:val="00303921"/>
    <w:rsid w:val="0030506A"/>
    <w:rsid w:val="0030507E"/>
    <w:rsid w:val="00305CC5"/>
    <w:rsid w:val="0030669D"/>
    <w:rsid w:val="00307E5B"/>
    <w:rsid w:val="00310C5E"/>
    <w:rsid w:val="0031149C"/>
    <w:rsid w:val="003127A6"/>
    <w:rsid w:val="0031377F"/>
    <w:rsid w:val="0031434B"/>
    <w:rsid w:val="00314586"/>
    <w:rsid w:val="0031637A"/>
    <w:rsid w:val="00316606"/>
    <w:rsid w:val="00316BDF"/>
    <w:rsid w:val="00317524"/>
    <w:rsid w:val="00320BB2"/>
    <w:rsid w:val="003210FC"/>
    <w:rsid w:val="003211DE"/>
    <w:rsid w:val="00321AF0"/>
    <w:rsid w:val="00321F42"/>
    <w:rsid w:val="00322778"/>
    <w:rsid w:val="003232D3"/>
    <w:rsid w:val="00324CB9"/>
    <w:rsid w:val="0032509F"/>
    <w:rsid w:val="00325EAD"/>
    <w:rsid w:val="00332813"/>
    <w:rsid w:val="003329A4"/>
    <w:rsid w:val="00333D8C"/>
    <w:rsid w:val="003343A9"/>
    <w:rsid w:val="00336E66"/>
    <w:rsid w:val="00342374"/>
    <w:rsid w:val="00342C66"/>
    <w:rsid w:val="0034323B"/>
    <w:rsid w:val="003440EB"/>
    <w:rsid w:val="003463BF"/>
    <w:rsid w:val="00346576"/>
    <w:rsid w:val="00346AFE"/>
    <w:rsid w:val="00351D2F"/>
    <w:rsid w:val="00352C7A"/>
    <w:rsid w:val="00352D6B"/>
    <w:rsid w:val="00355383"/>
    <w:rsid w:val="003559E5"/>
    <w:rsid w:val="003607DF"/>
    <w:rsid w:val="003613B8"/>
    <w:rsid w:val="00362152"/>
    <w:rsid w:val="0036279E"/>
    <w:rsid w:val="00364A8F"/>
    <w:rsid w:val="00367671"/>
    <w:rsid w:val="00370C5D"/>
    <w:rsid w:val="00371BC1"/>
    <w:rsid w:val="00371E8D"/>
    <w:rsid w:val="00372756"/>
    <w:rsid w:val="00372FC9"/>
    <w:rsid w:val="003744DA"/>
    <w:rsid w:val="00376A25"/>
    <w:rsid w:val="003774F7"/>
    <w:rsid w:val="00377847"/>
    <w:rsid w:val="00377CB2"/>
    <w:rsid w:val="00377F49"/>
    <w:rsid w:val="00380444"/>
    <w:rsid w:val="00381E08"/>
    <w:rsid w:val="003829B6"/>
    <w:rsid w:val="00384083"/>
    <w:rsid w:val="00384773"/>
    <w:rsid w:val="00386DD6"/>
    <w:rsid w:val="00387538"/>
    <w:rsid w:val="0038771C"/>
    <w:rsid w:val="00390530"/>
    <w:rsid w:val="0039085E"/>
    <w:rsid w:val="00390CB6"/>
    <w:rsid w:val="003924B0"/>
    <w:rsid w:val="00392796"/>
    <w:rsid w:val="00392A8F"/>
    <w:rsid w:val="00392C2D"/>
    <w:rsid w:val="00393150"/>
    <w:rsid w:val="00393719"/>
    <w:rsid w:val="003938B1"/>
    <w:rsid w:val="0039405B"/>
    <w:rsid w:val="00397681"/>
    <w:rsid w:val="003A08C5"/>
    <w:rsid w:val="003A1C92"/>
    <w:rsid w:val="003A2BBF"/>
    <w:rsid w:val="003A2CC6"/>
    <w:rsid w:val="003A517C"/>
    <w:rsid w:val="003A541A"/>
    <w:rsid w:val="003A6344"/>
    <w:rsid w:val="003A6923"/>
    <w:rsid w:val="003A6A7C"/>
    <w:rsid w:val="003B0467"/>
    <w:rsid w:val="003B2EA8"/>
    <w:rsid w:val="003B3C20"/>
    <w:rsid w:val="003B4505"/>
    <w:rsid w:val="003B658D"/>
    <w:rsid w:val="003B74D0"/>
    <w:rsid w:val="003B7C45"/>
    <w:rsid w:val="003C03F5"/>
    <w:rsid w:val="003C061E"/>
    <w:rsid w:val="003C17F9"/>
    <w:rsid w:val="003C1861"/>
    <w:rsid w:val="003C1F9D"/>
    <w:rsid w:val="003C2AB9"/>
    <w:rsid w:val="003C2C67"/>
    <w:rsid w:val="003C2EA2"/>
    <w:rsid w:val="003C4E8D"/>
    <w:rsid w:val="003C5BA4"/>
    <w:rsid w:val="003C6F75"/>
    <w:rsid w:val="003C714B"/>
    <w:rsid w:val="003D0F09"/>
    <w:rsid w:val="003D0F18"/>
    <w:rsid w:val="003D1390"/>
    <w:rsid w:val="003D31BA"/>
    <w:rsid w:val="003D379B"/>
    <w:rsid w:val="003D4AC6"/>
    <w:rsid w:val="003D4DAE"/>
    <w:rsid w:val="003D55DE"/>
    <w:rsid w:val="003D5EF2"/>
    <w:rsid w:val="003D7EE0"/>
    <w:rsid w:val="003E3B7F"/>
    <w:rsid w:val="003E3E26"/>
    <w:rsid w:val="003E539C"/>
    <w:rsid w:val="003E6C18"/>
    <w:rsid w:val="003E7205"/>
    <w:rsid w:val="003E7C0A"/>
    <w:rsid w:val="003F007E"/>
    <w:rsid w:val="003F0256"/>
    <w:rsid w:val="003F05C4"/>
    <w:rsid w:val="003F1295"/>
    <w:rsid w:val="003F185A"/>
    <w:rsid w:val="003F289D"/>
    <w:rsid w:val="003F2D05"/>
    <w:rsid w:val="003F37DE"/>
    <w:rsid w:val="003F41FA"/>
    <w:rsid w:val="003F743E"/>
    <w:rsid w:val="003F76FC"/>
    <w:rsid w:val="004002EB"/>
    <w:rsid w:val="004003FE"/>
    <w:rsid w:val="00401412"/>
    <w:rsid w:val="00405084"/>
    <w:rsid w:val="00405443"/>
    <w:rsid w:val="00405C57"/>
    <w:rsid w:val="00406C31"/>
    <w:rsid w:val="00410EF3"/>
    <w:rsid w:val="00411E8B"/>
    <w:rsid w:val="0041274A"/>
    <w:rsid w:val="00414B2E"/>
    <w:rsid w:val="00415286"/>
    <w:rsid w:val="0041689E"/>
    <w:rsid w:val="0042010F"/>
    <w:rsid w:val="0042059C"/>
    <w:rsid w:val="004210B4"/>
    <w:rsid w:val="00421F30"/>
    <w:rsid w:val="00422C8D"/>
    <w:rsid w:val="004236C8"/>
    <w:rsid w:val="00423CA0"/>
    <w:rsid w:val="00425AC4"/>
    <w:rsid w:val="0042753A"/>
    <w:rsid w:val="00427681"/>
    <w:rsid w:val="00427BB2"/>
    <w:rsid w:val="004302FE"/>
    <w:rsid w:val="0043185F"/>
    <w:rsid w:val="00433907"/>
    <w:rsid w:val="00433DB7"/>
    <w:rsid w:val="00435088"/>
    <w:rsid w:val="00437744"/>
    <w:rsid w:val="0044111B"/>
    <w:rsid w:val="004419C4"/>
    <w:rsid w:val="004434A0"/>
    <w:rsid w:val="0044448E"/>
    <w:rsid w:val="00444DED"/>
    <w:rsid w:val="004466DB"/>
    <w:rsid w:val="00447B2C"/>
    <w:rsid w:val="00451F52"/>
    <w:rsid w:val="00452408"/>
    <w:rsid w:val="00453750"/>
    <w:rsid w:val="00454266"/>
    <w:rsid w:val="00456941"/>
    <w:rsid w:val="00460B48"/>
    <w:rsid w:val="004622A0"/>
    <w:rsid w:val="00462496"/>
    <w:rsid w:val="00462DAF"/>
    <w:rsid w:val="004658E8"/>
    <w:rsid w:val="004663F4"/>
    <w:rsid w:val="00466753"/>
    <w:rsid w:val="004669E3"/>
    <w:rsid w:val="00466C13"/>
    <w:rsid w:val="00466DCB"/>
    <w:rsid w:val="00466F7A"/>
    <w:rsid w:val="004671F4"/>
    <w:rsid w:val="004702EA"/>
    <w:rsid w:val="00471611"/>
    <w:rsid w:val="004724EE"/>
    <w:rsid w:val="00473F12"/>
    <w:rsid w:val="00475042"/>
    <w:rsid w:val="00475AEF"/>
    <w:rsid w:val="00476724"/>
    <w:rsid w:val="00481116"/>
    <w:rsid w:val="00482D02"/>
    <w:rsid w:val="0048487F"/>
    <w:rsid w:val="00484994"/>
    <w:rsid w:val="004877BB"/>
    <w:rsid w:val="00490A70"/>
    <w:rsid w:val="00492083"/>
    <w:rsid w:val="004922A2"/>
    <w:rsid w:val="004941AC"/>
    <w:rsid w:val="00495A23"/>
    <w:rsid w:val="00497378"/>
    <w:rsid w:val="004A2B9B"/>
    <w:rsid w:val="004A2C6C"/>
    <w:rsid w:val="004A37F3"/>
    <w:rsid w:val="004A3B0A"/>
    <w:rsid w:val="004A4E52"/>
    <w:rsid w:val="004A66F0"/>
    <w:rsid w:val="004A7519"/>
    <w:rsid w:val="004B0581"/>
    <w:rsid w:val="004B09EE"/>
    <w:rsid w:val="004B2858"/>
    <w:rsid w:val="004B2DE3"/>
    <w:rsid w:val="004B41CA"/>
    <w:rsid w:val="004B4B35"/>
    <w:rsid w:val="004B5516"/>
    <w:rsid w:val="004C0A1A"/>
    <w:rsid w:val="004C0B7C"/>
    <w:rsid w:val="004C0D07"/>
    <w:rsid w:val="004C33FB"/>
    <w:rsid w:val="004C5D35"/>
    <w:rsid w:val="004C71DC"/>
    <w:rsid w:val="004C796D"/>
    <w:rsid w:val="004D0A7D"/>
    <w:rsid w:val="004D1E05"/>
    <w:rsid w:val="004D3518"/>
    <w:rsid w:val="004D434D"/>
    <w:rsid w:val="004D48EA"/>
    <w:rsid w:val="004D5110"/>
    <w:rsid w:val="004D5813"/>
    <w:rsid w:val="004D62D6"/>
    <w:rsid w:val="004D7B24"/>
    <w:rsid w:val="004E1673"/>
    <w:rsid w:val="004E257E"/>
    <w:rsid w:val="004E35FE"/>
    <w:rsid w:val="004E3FE5"/>
    <w:rsid w:val="004E60D0"/>
    <w:rsid w:val="004E65D3"/>
    <w:rsid w:val="004E7F63"/>
    <w:rsid w:val="004F0F56"/>
    <w:rsid w:val="004F129C"/>
    <w:rsid w:val="004F55B2"/>
    <w:rsid w:val="004F5870"/>
    <w:rsid w:val="004F79A0"/>
    <w:rsid w:val="00500009"/>
    <w:rsid w:val="00501096"/>
    <w:rsid w:val="00501B33"/>
    <w:rsid w:val="0050416D"/>
    <w:rsid w:val="005067D9"/>
    <w:rsid w:val="00511EB7"/>
    <w:rsid w:val="00512F84"/>
    <w:rsid w:val="00513728"/>
    <w:rsid w:val="00513A9B"/>
    <w:rsid w:val="00514DC3"/>
    <w:rsid w:val="00515BC1"/>
    <w:rsid w:val="005162BD"/>
    <w:rsid w:val="00516C32"/>
    <w:rsid w:val="005210A2"/>
    <w:rsid w:val="00521F13"/>
    <w:rsid w:val="00526AB9"/>
    <w:rsid w:val="00531D73"/>
    <w:rsid w:val="005326EA"/>
    <w:rsid w:val="005328A8"/>
    <w:rsid w:val="0053326F"/>
    <w:rsid w:val="00533C49"/>
    <w:rsid w:val="0053416C"/>
    <w:rsid w:val="00534B4C"/>
    <w:rsid w:val="005369E8"/>
    <w:rsid w:val="00537D97"/>
    <w:rsid w:val="00541C2F"/>
    <w:rsid w:val="00543FF6"/>
    <w:rsid w:val="005449FB"/>
    <w:rsid w:val="00545B9C"/>
    <w:rsid w:val="00547417"/>
    <w:rsid w:val="00547887"/>
    <w:rsid w:val="00550B65"/>
    <w:rsid w:val="00550FD2"/>
    <w:rsid w:val="0055346B"/>
    <w:rsid w:val="0055402C"/>
    <w:rsid w:val="00556227"/>
    <w:rsid w:val="005607E0"/>
    <w:rsid w:val="00561E4A"/>
    <w:rsid w:val="00563527"/>
    <w:rsid w:val="0056437C"/>
    <w:rsid w:val="00566E2F"/>
    <w:rsid w:val="00567979"/>
    <w:rsid w:val="00567A0E"/>
    <w:rsid w:val="00570F74"/>
    <w:rsid w:val="0057107E"/>
    <w:rsid w:val="00575245"/>
    <w:rsid w:val="00580C34"/>
    <w:rsid w:val="00580D00"/>
    <w:rsid w:val="0058124E"/>
    <w:rsid w:val="00583167"/>
    <w:rsid w:val="00584301"/>
    <w:rsid w:val="005848CB"/>
    <w:rsid w:val="00584D61"/>
    <w:rsid w:val="005875A3"/>
    <w:rsid w:val="00592E19"/>
    <w:rsid w:val="00592F93"/>
    <w:rsid w:val="00592FC7"/>
    <w:rsid w:val="0059390F"/>
    <w:rsid w:val="0059392A"/>
    <w:rsid w:val="00593D6A"/>
    <w:rsid w:val="00593F28"/>
    <w:rsid w:val="0059631E"/>
    <w:rsid w:val="00596964"/>
    <w:rsid w:val="005A24C7"/>
    <w:rsid w:val="005A2E5C"/>
    <w:rsid w:val="005A3416"/>
    <w:rsid w:val="005A45B3"/>
    <w:rsid w:val="005A630C"/>
    <w:rsid w:val="005B1E82"/>
    <w:rsid w:val="005B27FE"/>
    <w:rsid w:val="005B339F"/>
    <w:rsid w:val="005B5A62"/>
    <w:rsid w:val="005B645C"/>
    <w:rsid w:val="005C1C15"/>
    <w:rsid w:val="005C3E6D"/>
    <w:rsid w:val="005C3F40"/>
    <w:rsid w:val="005C50DF"/>
    <w:rsid w:val="005C58A2"/>
    <w:rsid w:val="005C5C0C"/>
    <w:rsid w:val="005C6EA2"/>
    <w:rsid w:val="005C70F0"/>
    <w:rsid w:val="005C723F"/>
    <w:rsid w:val="005C772A"/>
    <w:rsid w:val="005C7C3B"/>
    <w:rsid w:val="005D0987"/>
    <w:rsid w:val="005D0FBB"/>
    <w:rsid w:val="005D1370"/>
    <w:rsid w:val="005D15EF"/>
    <w:rsid w:val="005D1D9C"/>
    <w:rsid w:val="005D3740"/>
    <w:rsid w:val="005D3C37"/>
    <w:rsid w:val="005D5048"/>
    <w:rsid w:val="005E32EA"/>
    <w:rsid w:val="005E36F8"/>
    <w:rsid w:val="005E47D3"/>
    <w:rsid w:val="005E4A2E"/>
    <w:rsid w:val="005E67B6"/>
    <w:rsid w:val="005E6E73"/>
    <w:rsid w:val="005E7435"/>
    <w:rsid w:val="005F0D65"/>
    <w:rsid w:val="005F209E"/>
    <w:rsid w:val="005F22F4"/>
    <w:rsid w:val="005F464A"/>
    <w:rsid w:val="005F51A4"/>
    <w:rsid w:val="005F5424"/>
    <w:rsid w:val="005F61DF"/>
    <w:rsid w:val="005F686C"/>
    <w:rsid w:val="0060078E"/>
    <w:rsid w:val="00601C7C"/>
    <w:rsid w:val="006023F9"/>
    <w:rsid w:val="00602D7F"/>
    <w:rsid w:val="006042FD"/>
    <w:rsid w:val="0060670D"/>
    <w:rsid w:val="006071F5"/>
    <w:rsid w:val="00607B02"/>
    <w:rsid w:val="00610559"/>
    <w:rsid w:val="0061055F"/>
    <w:rsid w:val="0061088C"/>
    <w:rsid w:val="006119D4"/>
    <w:rsid w:val="0061223E"/>
    <w:rsid w:val="00612C6A"/>
    <w:rsid w:val="00616FA4"/>
    <w:rsid w:val="0061718A"/>
    <w:rsid w:val="006173DF"/>
    <w:rsid w:val="00617AAF"/>
    <w:rsid w:val="00617B6C"/>
    <w:rsid w:val="00621D3A"/>
    <w:rsid w:val="0062271D"/>
    <w:rsid w:val="00625422"/>
    <w:rsid w:val="00625A47"/>
    <w:rsid w:val="00626455"/>
    <w:rsid w:val="00633034"/>
    <w:rsid w:val="006332F6"/>
    <w:rsid w:val="0063336C"/>
    <w:rsid w:val="006361E7"/>
    <w:rsid w:val="006413A8"/>
    <w:rsid w:val="006420A9"/>
    <w:rsid w:val="00645920"/>
    <w:rsid w:val="0064655F"/>
    <w:rsid w:val="0064697B"/>
    <w:rsid w:val="00646B05"/>
    <w:rsid w:val="00646D83"/>
    <w:rsid w:val="00647638"/>
    <w:rsid w:val="006507A9"/>
    <w:rsid w:val="00650C4F"/>
    <w:rsid w:val="00650EC1"/>
    <w:rsid w:val="0065256A"/>
    <w:rsid w:val="00652625"/>
    <w:rsid w:val="006534B2"/>
    <w:rsid w:val="00655D25"/>
    <w:rsid w:val="0065615D"/>
    <w:rsid w:val="00657011"/>
    <w:rsid w:val="0066085C"/>
    <w:rsid w:val="00661902"/>
    <w:rsid w:val="00662E00"/>
    <w:rsid w:val="006650B5"/>
    <w:rsid w:val="006651B1"/>
    <w:rsid w:val="00665778"/>
    <w:rsid w:val="00665B5A"/>
    <w:rsid w:val="00670AE4"/>
    <w:rsid w:val="00673507"/>
    <w:rsid w:val="006738C4"/>
    <w:rsid w:val="00674BCB"/>
    <w:rsid w:val="0067523D"/>
    <w:rsid w:val="006754FC"/>
    <w:rsid w:val="00681592"/>
    <w:rsid w:val="00682DAA"/>
    <w:rsid w:val="00682E25"/>
    <w:rsid w:val="00684170"/>
    <w:rsid w:val="00684DB9"/>
    <w:rsid w:val="0068615E"/>
    <w:rsid w:val="006867A5"/>
    <w:rsid w:val="00687268"/>
    <w:rsid w:val="00690529"/>
    <w:rsid w:val="006908DA"/>
    <w:rsid w:val="00690E4E"/>
    <w:rsid w:val="00691A23"/>
    <w:rsid w:val="006930EA"/>
    <w:rsid w:val="00693BC9"/>
    <w:rsid w:val="00696646"/>
    <w:rsid w:val="006966C9"/>
    <w:rsid w:val="00696D32"/>
    <w:rsid w:val="00697C61"/>
    <w:rsid w:val="006A09AA"/>
    <w:rsid w:val="006A1B97"/>
    <w:rsid w:val="006A47DE"/>
    <w:rsid w:val="006A5103"/>
    <w:rsid w:val="006A5B34"/>
    <w:rsid w:val="006A5F5B"/>
    <w:rsid w:val="006A6B5D"/>
    <w:rsid w:val="006A73A7"/>
    <w:rsid w:val="006B0890"/>
    <w:rsid w:val="006B32CD"/>
    <w:rsid w:val="006B4162"/>
    <w:rsid w:val="006B5483"/>
    <w:rsid w:val="006B5695"/>
    <w:rsid w:val="006B5D9C"/>
    <w:rsid w:val="006B65A0"/>
    <w:rsid w:val="006C05B6"/>
    <w:rsid w:val="006C0CB7"/>
    <w:rsid w:val="006C1921"/>
    <w:rsid w:val="006C546D"/>
    <w:rsid w:val="006C6B1F"/>
    <w:rsid w:val="006C75B5"/>
    <w:rsid w:val="006C77A9"/>
    <w:rsid w:val="006D219C"/>
    <w:rsid w:val="006D22AB"/>
    <w:rsid w:val="006D37B6"/>
    <w:rsid w:val="006D3B86"/>
    <w:rsid w:val="006D40DF"/>
    <w:rsid w:val="006D4C4A"/>
    <w:rsid w:val="006D4C6E"/>
    <w:rsid w:val="006D4FDC"/>
    <w:rsid w:val="006D5CDD"/>
    <w:rsid w:val="006D5D2E"/>
    <w:rsid w:val="006D7E56"/>
    <w:rsid w:val="006E078E"/>
    <w:rsid w:val="006E100D"/>
    <w:rsid w:val="006E14B0"/>
    <w:rsid w:val="006E166A"/>
    <w:rsid w:val="006E1956"/>
    <w:rsid w:val="006E1F2C"/>
    <w:rsid w:val="006E276A"/>
    <w:rsid w:val="006E2F43"/>
    <w:rsid w:val="006E488E"/>
    <w:rsid w:val="006F3751"/>
    <w:rsid w:val="006F605B"/>
    <w:rsid w:val="006F6693"/>
    <w:rsid w:val="00702708"/>
    <w:rsid w:val="0070404B"/>
    <w:rsid w:val="007040DC"/>
    <w:rsid w:val="007055CF"/>
    <w:rsid w:val="00706E91"/>
    <w:rsid w:val="00707FE8"/>
    <w:rsid w:val="007103ED"/>
    <w:rsid w:val="007110BF"/>
    <w:rsid w:val="007123BB"/>
    <w:rsid w:val="00712E86"/>
    <w:rsid w:val="00713423"/>
    <w:rsid w:val="007143A3"/>
    <w:rsid w:val="00715A1C"/>
    <w:rsid w:val="00715DB5"/>
    <w:rsid w:val="0072003B"/>
    <w:rsid w:val="007200E8"/>
    <w:rsid w:val="00720A6A"/>
    <w:rsid w:val="00724962"/>
    <w:rsid w:val="00724A0F"/>
    <w:rsid w:val="0073072C"/>
    <w:rsid w:val="00731371"/>
    <w:rsid w:val="00731E2F"/>
    <w:rsid w:val="007320B4"/>
    <w:rsid w:val="00732162"/>
    <w:rsid w:val="00735839"/>
    <w:rsid w:val="00735D3E"/>
    <w:rsid w:val="00736732"/>
    <w:rsid w:val="00736D59"/>
    <w:rsid w:val="00736ECA"/>
    <w:rsid w:val="00737503"/>
    <w:rsid w:val="0073750B"/>
    <w:rsid w:val="00737C44"/>
    <w:rsid w:val="007409F9"/>
    <w:rsid w:val="00740C49"/>
    <w:rsid w:val="007413CE"/>
    <w:rsid w:val="00745204"/>
    <w:rsid w:val="00745795"/>
    <w:rsid w:val="00745B31"/>
    <w:rsid w:val="007465BB"/>
    <w:rsid w:val="00747B41"/>
    <w:rsid w:val="00747F61"/>
    <w:rsid w:val="00750CBE"/>
    <w:rsid w:val="00751387"/>
    <w:rsid w:val="007516DE"/>
    <w:rsid w:val="00751943"/>
    <w:rsid w:val="0075228E"/>
    <w:rsid w:val="00754CC1"/>
    <w:rsid w:val="00755DBB"/>
    <w:rsid w:val="00763298"/>
    <w:rsid w:val="00763652"/>
    <w:rsid w:val="007639DB"/>
    <w:rsid w:val="00763BA7"/>
    <w:rsid w:val="00764356"/>
    <w:rsid w:val="00765D8B"/>
    <w:rsid w:val="007667AC"/>
    <w:rsid w:val="00766B5A"/>
    <w:rsid w:val="007679F9"/>
    <w:rsid w:val="00772FF5"/>
    <w:rsid w:val="00773281"/>
    <w:rsid w:val="007745ED"/>
    <w:rsid w:val="00775ED4"/>
    <w:rsid w:val="00776713"/>
    <w:rsid w:val="0078050E"/>
    <w:rsid w:val="00780C0B"/>
    <w:rsid w:val="0078149F"/>
    <w:rsid w:val="00782BAD"/>
    <w:rsid w:val="00782E1A"/>
    <w:rsid w:val="007832A5"/>
    <w:rsid w:val="00783315"/>
    <w:rsid w:val="00783318"/>
    <w:rsid w:val="007834F2"/>
    <w:rsid w:val="00784E8B"/>
    <w:rsid w:val="00786EDC"/>
    <w:rsid w:val="00791020"/>
    <w:rsid w:val="0079531A"/>
    <w:rsid w:val="0079695C"/>
    <w:rsid w:val="00796A51"/>
    <w:rsid w:val="00796DF4"/>
    <w:rsid w:val="007A064B"/>
    <w:rsid w:val="007A393B"/>
    <w:rsid w:val="007A50D2"/>
    <w:rsid w:val="007A5F82"/>
    <w:rsid w:val="007A794E"/>
    <w:rsid w:val="007A7DB5"/>
    <w:rsid w:val="007A7DEB"/>
    <w:rsid w:val="007B0582"/>
    <w:rsid w:val="007B0D28"/>
    <w:rsid w:val="007B14F2"/>
    <w:rsid w:val="007B34EE"/>
    <w:rsid w:val="007B56F2"/>
    <w:rsid w:val="007B6E05"/>
    <w:rsid w:val="007B700D"/>
    <w:rsid w:val="007B75A4"/>
    <w:rsid w:val="007B7D4C"/>
    <w:rsid w:val="007C1AD0"/>
    <w:rsid w:val="007C2361"/>
    <w:rsid w:val="007C752C"/>
    <w:rsid w:val="007D0FE5"/>
    <w:rsid w:val="007D12FC"/>
    <w:rsid w:val="007D167F"/>
    <w:rsid w:val="007D2450"/>
    <w:rsid w:val="007D2C6A"/>
    <w:rsid w:val="007D70EE"/>
    <w:rsid w:val="007D7FD2"/>
    <w:rsid w:val="007E0D89"/>
    <w:rsid w:val="007E1308"/>
    <w:rsid w:val="007E1B1E"/>
    <w:rsid w:val="007E2A9D"/>
    <w:rsid w:val="007E2B65"/>
    <w:rsid w:val="007E313D"/>
    <w:rsid w:val="007E3CA7"/>
    <w:rsid w:val="007E619F"/>
    <w:rsid w:val="007F10B2"/>
    <w:rsid w:val="007F1A4C"/>
    <w:rsid w:val="007F1EEB"/>
    <w:rsid w:val="007F2D05"/>
    <w:rsid w:val="007F40A5"/>
    <w:rsid w:val="007F6250"/>
    <w:rsid w:val="007F6565"/>
    <w:rsid w:val="00801EE5"/>
    <w:rsid w:val="008022C3"/>
    <w:rsid w:val="0080312C"/>
    <w:rsid w:val="0080342E"/>
    <w:rsid w:val="00803810"/>
    <w:rsid w:val="008041E6"/>
    <w:rsid w:val="00805A5F"/>
    <w:rsid w:val="008065D2"/>
    <w:rsid w:val="00807830"/>
    <w:rsid w:val="008079DE"/>
    <w:rsid w:val="00807CCB"/>
    <w:rsid w:val="008141E1"/>
    <w:rsid w:val="00816467"/>
    <w:rsid w:val="00820708"/>
    <w:rsid w:val="0082194C"/>
    <w:rsid w:val="00821B7C"/>
    <w:rsid w:val="00822052"/>
    <w:rsid w:val="008220C4"/>
    <w:rsid w:val="008222FF"/>
    <w:rsid w:val="008241FF"/>
    <w:rsid w:val="00825212"/>
    <w:rsid w:val="0083077A"/>
    <w:rsid w:val="0083137B"/>
    <w:rsid w:val="0083427B"/>
    <w:rsid w:val="008411B1"/>
    <w:rsid w:val="008411E9"/>
    <w:rsid w:val="0084153E"/>
    <w:rsid w:val="00841C31"/>
    <w:rsid w:val="0084200F"/>
    <w:rsid w:val="008426E0"/>
    <w:rsid w:val="00842FB0"/>
    <w:rsid w:val="00843B2C"/>
    <w:rsid w:val="008446D5"/>
    <w:rsid w:val="00844879"/>
    <w:rsid w:val="008449AE"/>
    <w:rsid w:val="0084516A"/>
    <w:rsid w:val="008465C2"/>
    <w:rsid w:val="008471C4"/>
    <w:rsid w:val="00847CBE"/>
    <w:rsid w:val="00851593"/>
    <w:rsid w:val="008527CB"/>
    <w:rsid w:val="0085582B"/>
    <w:rsid w:val="008564EC"/>
    <w:rsid w:val="00857C8D"/>
    <w:rsid w:val="00857D85"/>
    <w:rsid w:val="00860564"/>
    <w:rsid w:val="00861C3B"/>
    <w:rsid w:val="00861DB3"/>
    <w:rsid w:val="008620EA"/>
    <w:rsid w:val="008638DA"/>
    <w:rsid w:val="00866463"/>
    <w:rsid w:val="008716C2"/>
    <w:rsid w:val="00873326"/>
    <w:rsid w:val="0087354F"/>
    <w:rsid w:val="00873C03"/>
    <w:rsid w:val="00874433"/>
    <w:rsid w:val="008750D4"/>
    <w:rsid w:val="0088252D"/>
    <w:rsid w:val="00883DC1"/>
    <w:rsid w:val="00884E0F"/>
    <w:rsid w:val="008868E2"/>
    <w:rsid w:val="00887CE1"/>
    <w:rsid w:val="00890823"/>
    <w:rsid w:val="00891F63"/>
    <w:rsid w:val="00893580"/>
    <w:rsid w:val="00894C10"/>
    <w:rsid w:val="00894F47"/>
    <w:rsid w:val="00895842"/>
    <w:rsid w:val="008A0626"/>
    <w:rsid w:val="008A1440"/>
    <w:rsid w:val="008A3859"/>
    <w:rsid w:val="008A4900"/>
    <w:rsid w:val="008A594A"/>
    <w:rsid w:val="008A5F1B"/>
    <w:rsid w:val="008A6B95"/>
    <w:rsid w:val="008A7126"/>
    <w:rsid w:val="008B1A52"/>
    <w:rsid w:val="008B22EC"/>
    <w:rsid w:val="008B27FD"/>
    <w:rsid w:val="008B41EF"/>
    <w:rsid w:val="008B4CF6"/>
    <w:rsid w:val="008B5A9B"/>
    <w:rsid w:val="008B5E2B"/>
    <w:rsid w:val="008B6449"/>
    <w:rsid w:val="008C00EB"/>
    <w:rsid w:val="008C04DB"/>
    <w:rsid w:val="008C0FAE"/>
    <w:rsid w:val="008C1E1C"/>
    <w:rsid w:val="008C2D32"/>
    <w:rsid w:val="008C35F0"/>
    <w:rsid w:val="008C3726"/>
    <w:rsid w:val="008C3D22"/>
    <w:rsid w:val="008C58A2"/>
    <w:rsid w:val="008C7873"/>
    <w:rsid w:val="008C7921"/>
    <w:rsid w:val="008C7A16"/>
    <w:rsid w:val="008D0281"/>
    <w:rsid w:val="008D0D2B"/>
    <w:rsid w:val="008D1A18"/>
    <w:rsid w:val="008D62A9"/>
    <w:rsid w:val="008E0583"/>
    <w:rsid w:val="008E05FE"/>
    <w:rsid w:val="008E1108"/>
    <w:rsid w:val="008E3C4E"/>
    <w:rsid w:val="008E4D73"/>
    <w:rsid w:val="008E50CC"/>
    <w:rsid w:val="008E6E97"/>
    <w:rsid w:val="008E7BE5"/>
    <w:rsid w:val="008F2439"/>
    <w:rsid w:val="008F245E"/>
    <w:rsid w:val="008F4A55"/>
    <w:rsid w:val="008F6D45"/>
    <w:rsid w:val="008F6E45"/>
    <w:rsid w:val="008F76F7"/>
    <w:rsid w:val="00902956"/>
    <w:rsid w:val="00904A22"/>
    <w:rsid w:val="009050B2"/>
    <w:rsid w:val="0090584D"/>
    <w:rsid w:val="00911472"/>
    <w:rsid w:val="0091355A"/>
    <w:rsid w:val="009142C4"/>
    <w:rsid w:val="009154B0"/>
    <w:rsid w:val="009172C3"/>
    <w:rsid w:val="00917D24"/>
    <w:rsid w:val="009205CD"/>
    <w:rsid w:val="00920B97"/>
    <w:rsid w:val="00920BE9"/>
    <w:rsid w:val="00922442"/>
    <w:rsid w:val="00922F50"/>
    <w:rsid w:val="00924F5D"/>
    <w:rsid w:val="009263C1"/>
    <w:rsid w:val="0093072F"/>
    <w:rsid w:val="00930E1F"/>
    <w:rsid w:val="00931152"/>
    <w:rsid w:val="009321DD"/>
    <w:rsid w:val="009322D7"/>
    <w:rsid w:val="00932CE5"/>
    <w:rsid w:val="00933989"/>
    <w:rsid w:val="00933EF2"/>
    <w:rsid w:val="009374C4"/>
    <w:rsid w:val="009419EC"/>
    <w:rsid w:val="00942531"/>
    <w:rsid w:val="00943113"/>
    <w:rsid w:val="009473DF"/>
    <w:rsid w:val="0095130C"/>
    <w:rsid w:val="0095273F"/>
    <w:rsid w:val="00952C2A"/>
    <w:rsid w:val="00953D4B"/>
    <w:rsid w:val="009541F5"/>
    <w:rsid w:val="00955059"/>
    <w:rsid w:val="00956514"/>
    <w:rsid w:val="009565B4"/>
    <w:rsid w:val="009577F5"/>
    <w:rsid w:val="0096076A"/>
    <w:rsid w:val="00960950"/>
    <w:rsid w:val="00960AF4"/>
    <w:rsid w:val="00960DF7"/>
    <w:rsid w:val="00961677"/>
    <w:rsid w:val="009624AD"/>
    <w:rsid w:val="0096352D"/>
    <w:rsid w:val="00964B7F"/>
    <w:rsid w:val="009655C4"/>
    <w:rsid w:val="009661FC"/>
    <w:rsid w:val="009665E9"/>
    <w:rsid w:val="00966BE6"/>
    <w:rsid w:val="00966D7F"/>
    <w:rsid w:val="009701A8"/>
    <w:rsid w:val="00970D4F"/>
    <w:rsid w:val="00972667"/>
    <w:rsid w:val="00975870"/>
    <w:rsid w:val="00975CDC"/>
    <w:rsid w:val="00976ED3"/>
    <w:rsid w:val="00980FDD"/>
    <w:rsid w:val="00981651"/>
    <w:rsid w:val="00981C50"/>
    <w:rsid w:val="00981C65"/>
    <w:rsid w:val="00981DE6"/>
    <w:rsid w:val="00982941"/>
    <w:rsid w:val="00982F14"/>
    <w:rsid w:val="009834C0"/>
    <w:rsid w:val="009835ED"/>
    <w:rsid w:val="0098473C"/>
    <w:rsid w:val="00984C95"/>
    <w:rsid w:val="0098645B"/>
    <w:rsid w:val="00986AAC"/>
    <w:rsid w:val="009905E3"/>
    <w:rsid w:val="00990F6D"/>
    <w:rsid w:val="009979EF"/>
    <w:rsid w:val="00997A36"/>
    <w:rsid w:val="009A1B29"/>
    <w:rsid w:val="009A1DA2"/>
    <w:rsid w:val="009A23A8"/>
    <w:rsid w:val="009A36C7"/>
    <w:rsid w:val="009A3704"/>
    <w:rsid w:val="009A3986"/>
    <w:rsid w:val="009A4739"/>
    <w:rsid w:val="009A4E01"/>
    <w:rsid w:val="009A5FD9"/>
    <w:rsid w:val="009A674F"/>
    <w:rsid w:val="009A6907"/>
    <w:rsid w:val="009A6F5E"/>
    <w:rsid w:val="009A7DD3"/>
    <w:rsid w:val="009B0985"/>
    <w:rsid w:val="009B1734"/>
    <w:rsid w:val="009B199C"/>
    <w:rsid w:val="009B54C8"/>
    <w:rsid w:val="009B60EE"/>
    <w:rsid w:val="009B61F1"/>
    <w:rsid w:val="009B62E0"/>
    <w:rsid w:val="009B7B64"/>
    <w:rsid w:val="009C0ED2"/>
    <w:rsid w:val="009C2909"/>
    <w:rsid w:val="009C381A"/>
    <w:rsid w:val="009C3D37"/>
    <w:rsid w:val="009C3D88"/>
    <w:rsid w:val="009C6582"/>
    <w:rsid w:val="009C678C"/>
    <w:rsid w:val="009C7735"/>
    <w:rsid w:val="009C7D5F"/>
    <w:rsid w:val="009D1CBF"/>
    <w:rsid w:val="009D26BD"/>
    <w:rsid w:val="009D2804"/>
    <w:rsid w:val="009D3237"/>
    <w:rsid w:val="009D452E"/>
    <w:rsid w:val="009D4587"/>
    <w:rsid w:val="009D46BD"/>
    <w:rsid w:val="009D581C"/>
    <w:rsid w:val="009D6895"/>
    <w:rsid w:val="009E031D"/>
    <w:rsid w:val="009E04E1"/>
    <w:rsid w:val="009E0BD5"/>
    <w:rsid w:val="009E374B"/>
    <w:rsid w:val="009E3858"/>
    <w:rsid w:val="009E38AF"/>
    <w:rsid w:val="009E52C6"/>
    <w:rsid w:val="009E70DD"/>
    <w:rsid w:val="009E7DF0"/>
    <w:rsid w:val="009F0720"/>
    <w:rsid w:val="009F09E1"/>
    <w:rsid w:val="009F0A42"/>
    <w:rsid w:val="009F1281"/>
    <w:rsid w:val="009F2ED9"/>
    <w:rsid w:val="009F316B"/>
    <w:rsid w:val="009F3231"/>
    <w:rsid w:val="009F3A0A"/>
    <w:rsid w:val="009F50B2"/>
    <w:rsid w:val="009F5C58"/>
    <w:rsid w:val="009F6FE0"/>
    <w:rsid w:val="009F7003"/>
    <w:rsid w:val="00A023A0"/>
    <w:rsid w:val="00A024B8"/>
    <w:rsid w:val="00A02552"/>
    <w:rsid w:val="00A03230"/>
    <w:rsid w:val="00A057D5"/>
    <w:rsid w:val="00A0611C"/>
    <w:rsid w:val="00A13BCE"/>
    <w:rsid w:val="00A13C0F"/>
    <w:rsid w:val="00A14B74"/>
    <w:rsid w:val="00A1519E"/>
    <w:rsid w:val="00A1562B"/>
    <w:rsid w:val="00A16474"/>
    <w:rsid w:val="00A170F4"/>
    <w:rsid w:val="00A17156"/>
    <w:rsid w:val="00A17CDE"/>
    <w:rsid w:val="00A20CEC"/>
    <w:rsid w:val="00A23596"/>
    <w:rsid w:val="00A2494B"/>
    <w:rsid w:val="00A253BD"/>
    <w:rsid w:val="00A2559E"/>
    <w:rsid w:val="00A25FD9"/>
    <w:rsid w:val="00A2657B"/>
    <w:rsid w:val="00A26626"/>
    <w:rsid w:val="00A270E9"/>
    <w:rsid w:val="00A31031"/>
    <w:rsid w:val="00A324D1"/>
    <w:rsid w:val="00A33CE3"/>
    <w:rsid w:val="00A34EE4"/>
    <w:rsid w:val="00A35503"/>
    <w:rsid w:val="00A3737A"/>
    <w:rsid w:val="00A37897"/>
    <w:rsid w:val="00A37E3B"/>
    <w:rsid w:val="00A41B07"/>
    <w:rsid w:val="00A44577"/>
    <w:rsid w:val="00A45503"/>
    <w:rsid w:val="00A456CD"/>
    <w:rsid w:val="00A46BA8"/>
    <w:rsid w:val="00A4721B"/>
    <w:rsid w:val="00A47634"/>
    <w:rsid w:val="00A50C62"/>
    <w:rsid w:val="00A5182D"/>
    <w:rsid w:val="00A51F79"/>
    <w:rsid w:val="00A528E0"/>
    <w:rsid w:val="00A5342B"/>
    <w:rsid w:val="00A537B0"/>
    <w:rsid w:val="00A53867"/>
    <w:rsid w:val="00A544D1"/>
    <w:rsid w:val="00A570DA"/>
    <w:rsid w:val="00A571D1"/>
    <w:rsid w:val="00A57877"/>
    <w:rsid w:val="00A60B75"/>
    <w:rsid w:val="00A612FE"/>
    <w:rsid w:val="00A62221"/>
    <w:rsid w:val="00A6254B"/>
    <w:rsid w:val="00A62601"/>
    <w:rsid w:val="00A62C46"/>
    <w:rsid w:val="00A6405F"/>
    <w:rsid w:val="00A6412C"/>
    <w:rsid w:val="00A6451A"/>
    <w:rsid w:val="00A65DCF"/>
    <w:rsid w:val="00A67FED"/>
    <w:rsid w:val="00A70644"/>
    <w:rsid w:val="00A70F1B"/>
    <w:rsid w:val="00A71124"/>
    <w:rsid w:val="00A71832"/>
    <w:rsid w:val="00A73CEC"/>
    <w:rsid w:val="00A73D5E"/>
    <w:rsid w:val="00A74EB0"/>
    <w:rsid w:val="00A75189"/>
    <w:rsid w:val="00A754A6"/>
    <w:rsid w:val="00A767F2"/>
    <w:rsid w:val="00A823FE"/>
    <w:rsid w:val="00A846C6"/>
    <w:rsid w:val="00A84949"/>
    <w:rsid w:val="00A873CC"/>
    <w:rsid w:val="00A87B03"/>
    <w:rsid w:val="00A94F5F"/>
    <w:rsid w:val="00A95138"/>
    <w:rsid w:val="00A95283"/>
    <w:rsid w:val="00A9721C"/>
    <w:rsid w:val="00A97A4D"/>
    <w:rsid w:val="00AA131A"/>
    <w:rsid w:val="00AA1614"/>
    <w:rsid w:val="00AA20AE"/>
    <w:rsid w:val="00AA231E"/>
    <w:rsid w:val="00AA26B8"/>
    <w:rsid w:val="00AA360F"/>
    <w:rsid w:val="00AA38A8"/>
    <w:rsid w:val="00AA42E7"/>
    <w:rsid w:val="00AA6FB5"/>
    <w:rsid w:val="00AB0BF9"/>
    <w:rsid w:val="00AB115F"/>
    <w:rsid w:val="00AB3544"/>
    <w:rsid w:val="00AB35DF"/>
    <w:rsid w:val="00AB3643"/>
    <w:rsid w:val="00AB37A0"/>
    <w:rsid w:val="00AB3FE2"/>
    <w:rsid w:val="00AB6A31"/>
    <w:rsid w:val="00AB7056"/>
    <w:rsid w:val="00AC0654"/>
    <w:rsid w:val="00AC5849"/>
    <w:rsid w:val="00AC77CC"/>
    <w:rsid w:val="00AD06C4"/>
    <w:rsid w:val="00AD1AD6"/>
    <w:rsid w:val="00AD308E"/>
    <w:rsid w:val="00AD3322"/>
    <w:rsid w:val="00AD5407"/>
    <w:rsid w:val="00AD629D"/>
    <w:rsid w:val="00AD7E4E"/>
    <w:rsid w:val="00AE088B"/>
    <w:rsid w:val="00AE1651"/>
    <w:rsid w:val="00AE5C4B"/>
    <w:rsid w:val="00AE5C5E"/>
    <w:rsid w:val="00AE7336"/>
    <w:rsid w:val="00AF0AB0"/>
    <w:rsid w:val="00AF14F1"/>
    <w:rsid w:val="00AF1763"/>
    <w:rsid w:val="00AF1DCD"/>
    <w:rsid w:val="00AF208B"/>
    <w:rsid w:val="00AF34DE"/>
    <w:rsid w:val="00AF404F"/>
    <w:rsid w:val="00AF4D58"/>
    <w:rsid w:val="00AF6497"/>
    <w:rsid w:val="00AF6666"/>
    <w:rsid w:val="00B003CF"/>
    <w:rsid w:val="00B0388C"/>
    <w:rsid w:val="00B039BD"/>
    <w:rsid w:val="00B046A7"/>
    <w:rsid w:val="00B046FD"/>
    <w:rsid w:val="00B048CC"/>
    <w:rsid w:val="00B0559C"/>
    <w:rsid w:val="00B10154"/>
    <w:rsid w:val="00B10CB9"/>
    <w:rsid w:val="00B116EB"/>
    <w:rsid w:val="00B11E63"/>
    <w:rsid w:val="00B13357"/>
    <w:rsid w:val="00B20A88"/>
    <w:rsid w:val="00B21742"/>
    <w:rsid w:val="00B21D12"/>
    <w:rsid w:val="00B222DB"/>
    <w:rsid w:val="00B22B37"/>
    <w:rsid w:val="00B26022"/>
    <w:rsid w:val="00B31982"/>
    <w:rsid w:val="00B31ACE"/>
    <w:rsid w:val="00B322F9"/>
    <w:rsid w:val="00B3288F"/>
    <w:rsid w:val="00B32C98"/>
    <w:rsid w:val="00B35DD7"/>
    <w:rsid w:val="00B35F1D"/>
    <w:rsid w:val="00B36399"/>
    <w:rsid w:val="00B40C6C"/>
    <w:rsid w:val="00B42159"/>
    <w:rsid w:val="00B43040"/>
    <w:rsid w:val="00B46D7A"/>
    <w:rsid w:val="00B47361"/>
    <w:rsid w:val="00B51444"/>
    <w:rsid w:val="00B517DF"/>
    <w:rsid w:val="00B5240E"/>
    <w:rsid w:val="00B52F99"/>
    <w:rsid w:val="00B5320E"/>
    <w:rsid w:val="00B54766"/>
    <w:rsid w:val="00B5621C"/>
    <w:rsid w:val="00B56B86"/>
    <w:rsid w:val="00B6137D"/>
    <w:rsid w:val="00B61794"/>
    <w:rsid w:val="00B61B3A"/>
    <w:rsid w:val="00B620C0"/>
    <w:rsid w:val="00B621EB"/>
    <w:rsid w:val="00B6351C"/>
    <w:rsid w:val="00B63633"/>
    <w:rsid w:val="00B63D3A"/>
    <w:rsid w:val="00B66A32"/>
    <w:rsid w:val="00B66DB2"/>
    <w:rsid w:val="00B66F86"/>
    <w:rsid w:val="00B67AA6"/>
    <w:rsid w:val="00B7149E"/>
    <w:rsid w:val="00B73801"/>
    <w:rsid w:val="00B7564E"/>
    <w:rsid w:val="00B77398"/>
    <w:rsid w:val="00B776C3"/>
    <w:rsid w:val="00B812CA"/>
    <w:rsid w:val="00B81B44"/>
    <w:rsid w:val="00B82172"/>
    <w:rsid w:val="00B826E6"/>
    <w:rsid w:val="00B82C0D"/>
    <w:rsid w:val="00B83B74"/>
    <w:rsid w:val="00B844CB"/>
    <w:rsid w:val="00B854E4"/>
    <w:rsid w:val="00B8759B"/>
    <w:rsid w:val="00B87CC2"/>
    <w:rsid w:val="00B90260"/>
    <w:rsid w:val="00B9053B"/>
    <w:rsid w:val="00B919CE"/>
    <w:rsid w:val="00B9284A"/>
    <w:rsid w:val="00B96556"/>
    <w:rsid w:val="00B973F6"/>
    <w:rsid w:val="00B97A98"/>
    <w:rsid w:val="00B97B0B"/>
    <w:rsid w:val="00B97F6A"/>
    <w:rsid w:val="00BA1354"/>
    <w:rsid w:val="00BA1BD7"/>
    <w:rsid w:val="00BA277F"/>
    <w:rsid w:val="00BA2B60"/>
    <w:rsid w:val="00BA2B9B"/>
    <w:rsid w:val="00BA3420"/>
    <w:rsid w:val="00BA36C1"/>
    <w:rsid w:val="00BA4358"/>
    <w:rsid w:val="00BA4E6B"/>
    <w:rsid w:val="00BA71D9"/>
    <w:rsid w:val="00BB416F"/>
    <w:rsid w:val="00BB5226"/>
    <w:rsid w:val="00BC0612"/>
    <w:rsid w:val="00BC1A37"/>
    <w:rsid w:val="00BC3422"/>
    <w:rsid w:val="00BC5A03"/>
    <w:rsid w:val="00BC66AC"/>
    <w:rsid w:val="00BC676E"/>
    <w:rsid w:val="00BC6C0C"/>
    <w:rsid w:val="00BD0267"/>
    <w:rsid w:val="00BD1328"/>
    <w:rsid w:val="00BD1D19"/>
    <w:rsid w:val="00BD2494"/>
    <w:rsid w:val="00BD34C7"/>
    <w:rsid w:val="00BD38F2"/>
    <w:rsid w:val="00BD5697"/>
    <w:rsid w:val="00BD6582"/>
    <w:rsid w:val="00BD7074"/>
    <w:rsid w:val="00BD7528"/>
    <w:rsid w:val="00BD7B12"/>
    <w:rsid w:val="00BE0758"/>
    <w:rsid w:val="00BE11C6"/>
    <w:rsid w:val="00BE1FA7"/>
    <w:rsid w:val="00BE206A"/>
    <w:rsid w:val="00BE3891"/>
    <w:rsid w:val="00BE4700"/>
    <w:rsid w:val="00BE4A3B"/>
    <w:rsid w:val="00BE4C37"/>
    <w:rsid w:val="00BE5E77"/>
    <w:rsid w:val="00BE5F5A"/>
    <w:rsid w:val="00BE64EB"/>
    <w:rsid w:val="00BE6B41"/>
    <w:rsid w:val="00BE6BE3"/>
    <w:rsid w:val="00BE6DBE"/>
    <w:rsid w:val="00BE7730"/>
    <w:rsid w:val="00BE7D45"/>
    <w:rsid w:val="00BE7DF8"/>
    <w:rsid w:val="00BF1F4A"/>
    <w:rsid w:val="00BF2774"/>
    <w:rsid w:val="00BF7AD8"/>
    <w:rsid w:val="00C015B9"/>
    <w:rsid w:val="00C01F29"/>
    <w:rsid w:val="00C022F9"/>
    <w:rsid w:val="00C02524"/>
    <w:rsid w:val="00C02554"/>
    <w:rsid w:val="00C032EA"/>
    <w:rsid w:val="00C03594"/>
    <w:rsid w:val="00C042BA"/>
    <w:rsid w:val="00C04AF5"/>
    <w:rsid w:val="00C05981"/>
    <w:rsid w:val="00C063B4"/>
    <w:rsid w:val="00C06EB5"/>
    <w:rsid w:val="00C06F70"/>
    <w:rsid w:val="00C1145F"/>
    <w:rsid w:val="00C12474"/>
    <w:rsid w:val="00C1427E"/>
    <w:rsid w:val="00C14F56"/>
    <w:rsid w:val="00C16C0A"/>
    <w:rsid w:val="00C17128"/>
    <w:rsid w:val="00C20CCF"/>
    <w:rsid w:val="00C211B3"/>
    <w:rsid w:val="00C235C1"/>
    <w:rsid w:val="00C27776"/>
    <w:rsid w:val="00C30491"/>
    <w:rsid w:val="00C32D29"/>
    <w:rsid w:val="00C34A13"/>
    <w:rsid w:val="00C34B50"/>
    <w:rsid w:val="00C35EEA"/>
    <w:rsid w:val="00C35F74"/>
    <w:rsid w:val="00C37D7D"/>
    <w:rsid w:val="00C40220"/>
    <w:rsid w:val="00C43ACA"/>
    <w:rsid w:val="00C43C0A"/>
    <w:rsid w:val="00C455E9"/>
    <w:rsid w:val="00C46FFE"/>
    <w:rsid w:val="00C47F01"/>
    <w:rsid w:val="00C47FD8"/>
    <w:rsid w:val="00C52FC6"/>
    <w:rsid w:val="00C53EA9"/>
    <w:rsid w:val="00C54D9B"/>
    <w:rsid w:val="00C603AC"/>
    <w:rsid w:val="00C605C4"/>
    <w:rsid w:val="00C610BF"/>
    <w:rsid w:val="00C61177"/>
    <w:rsid w:val="00C637E1"/>
    <w:rsid w:val="00C642D2"/>
    <w:rsid w:val="00C643DB"/>
    <w:rsid w:val="00C64D5D"/>
    <w:rsid w:val="00C66DED"/>
    <w:rsid w:val="00C6788D"/>
    <w:rsid w:val="00C7003A"/>
    <w:rsid w:val="00C706E5"/>
    <w:rsid w:val="00C70D50"/>
    <w:rsid w:val="00C71D4A"/>
    <w:rsid w:val="00C72788"/>
    <w:rsid w:val="00C72AAB"/>
    <w:rsid w:val="00C74F63"/>
    <w:rsid w:val="00C76C1D"/>
    <w:rsid w:val="00C817EE"/>
    <w:rsid w:val="00C8243E"/>
    <w:rsid w:val="00C85485"/>
    <w:rsid w:val="00C85A37"/>
    <w:rsid w:val="00C85C9C"/>
    <w:rsid w:val="00C90337"/>
    <w:rsid w:val="00C907D7"/>
    <w:rsid w:val="00C91ADF"/>
    <w:rsid w:val="00C92165"/>
    <w:rsid w:val="00C92338"/>
    <w:rsid w:val="00C9345C"/>
    <w:rsid w:val="00C944DC"/>
    <w:rsid w:val="00C948AE"/>
    <w:rsid w:val="00C967B7"/>
    <w:rsid w:val="00CA09BF"/>
    <w:rsid w:val="00CA2AA0"/>
    <w:rsid w:val="00CA3B50"/>
    <w:rsid w:val="00CA41AA"/>
    <w:rsid w:val="00CA424C"/>
    <w:rsid w:val="00CA49D9"/>
    <w:rsid w:val="00CA57BF"/>
    <w:rsid w:val="00CA6C73"/>
    <w:rsid w:val="00CA7415"/>
    <w:rsid w:val="00CA7C3A"/>
    <w:rsid w:val="00CB06D4"/>
    <w:rsid w:val="00CB6AC3"/>
    <w:rsid w:val="00CC21B7"/>
    <w:rsid w:val="00CC2751"/>
    <w:rsid w:val="00CC2DB2"/>
    <w:rsid w:val="00CC54EB"/>
    <w:rsid w:val="00CC5A36"/>
    <w:rsid w:val="00CC6066"/>
    <w:rsid w:val="00CC6D22"/>
    <w:rsid w:val="00CC7EBE"/>
    <w:rsid w:val="00CD0307"/>
    <w:rsid w:val="00CD17AB"/>
    <w:rsid w:val="00CD1BFF"/>
    <w:rsid w:val="00CD30F5"/>
    <w:rsid w:val="00CD3D1B"/>
    <w:rsid w:val="00CD4795"/>
    <w:rsid w:val="00CD4B59"/>
    <w:rsid w:val="00CD5DC0"/>
    <w:rsid w:val="00CD7307"/>
    <w:rsid w:val="00CE22BE"/>
    <w:rsid w:val="00CE33A3"/>
    <w:rsid w:val="00CE38EA"/>
    <w:rsid w:val="00CE3D3B"/>
    <w:rsid w:val="00CE4530"/>
    <w:rsid w:val="00CE5AB5"/>
    <w:rsid w:val="00CE61BC"/>
    <w:rsid w:val="00CE62B3"/>
    <w:rsid w:val="00CE65A8"/>
    <w:rsid w:val="00CF0124"/>
    <w:rsid w:val="00CF0DE8"/>
    <w:rsid w:val="00CF2C6D"/>
    <w:rsid w:val="00CF3D4F"/>
    <w:rsid w:val="00CF459E"/>
    <w:rsid w:val="00CF60CB"/>
    <w:rsid w:val="00CF6A8A"/>
    <w:rsid w:val="00CF7742"/>
    <w:rsid w:val="00CF7DCA"/>
    <w:rsid w:val="00D01FEF"/>
    <w:rsid w:val="00D03F62"/>
    <w:rsid w:val="00D04ED1"/>
    <w:rsid w:val="00D0572D"/>
    <w:rsid w:val="00D06698"/>
    <w:rsid w:val="00D10D0E"/>
    <w:rsid w:val="00D1134C"/>
    <w:rsid w:val="00D121D6"/>
    <w:rsid w:val="00D12658"/>
    <w:rsid w:val="00D126B7"/>
    <w:rsid w:val="00D13065"/>
    <w:rsid w:val="00D135F7"/>
    <w:rsid w:val="00D13ECF"/>
    <w:rsid w:val="00D14C8C"/>
    <w:rsid w:val="00D1716B"/>
    <w:rsid w:val="00D17A52"/>
    <w:rsid w:val="00D20595"/>
    <w:rsid w:val="00D211E9"/>
    <w:rsid w:val="00D21FAD"/>
    <w:rsid w:val="00D2312F"/>
    <w:rsid w:val="00D23783"/>
    <w:rsid w:val="00D2459C"/>
    <w:rsid w:val="00D24706"/>
    <w:rsid w:val="00D253EA"/>
    <w:rsid w:val="00D256F8"/>
    <w:rsid w:val="00D269C1"/>
    <w:rsid w:val="00D3060B"/>
    <w:rsid w:val="00D30A2A"/>
    <w:rsid w:val="00D31059"/>
    <w:rsid w:val="00D32BB9"/>
    <w:rsid w:val="00D35C11"/>
    <w:rsid w:val="00D35E7C"/>
    <w:rsid w:val="00D363DC"/>
    <w:rsid w:val="00D36F14"/>
    <w:rsid w:val="00D37565"/>
    <w:rsid w:val="00D37F4F"/>
    <w:rsid w:val="00D40642"/>
    <w:rsid w:val="00D40C6F"/>
    <w:rsid w:val="00D41AEE"/>
    <w:rsid w:val="00D41B58"/>
    <w:rsid w:val="00D42311"/>
    <w:rsid w:val="00D42569"/>
    <w:rsid w:val="00D429CB"/>
    <w:rsid w:val="00D42E96"/>
    <w:rsid w:val="00D42ED5"/>
    <w:rsid w:val="00D44953"/>
    <w:rsid w:val="00D5074D"/>
    <w:rsid w:val="00D5372E"/>
    <w:rsid w:val="00D542F3"/>
    <w:rsid w:val="00D54344"/>
    <w:rsid w:val="00D543E5"/>
    <w:rsid w:val="00D54821"/>
    <w:rsid w:val="00D551FA"/>
    <w:rsid w:val="00D55B68"/>
    <w:rsid w:val="00D5644B"/>
    <w:rsid w:val="00D56954"/>
    <w:rsid w:val="00D56B03"/>
    <w:rsid w:val="00D56C1C"/>
    <w:rsid w:val="00D56C86"/>
    <w:rsid w:val="00D56E25"/>
    <w:rsid w:val="00D570F6"/>
    <w:rsid w:val="00D5723B"/>
    <w:rsid w:val="00D60A3E"/>
    <w:rsid w:val="00D63250"/>
    <w:rsid w:val="00D63E83"/>
    <w:rsid w:val="00D650B3"/>
    <w:rsid w:val="00D6646D"/>
    <w:rsid w:val="00D66492"/>
    <w:rsid w:val="00D66A05"/>
    <w:rsid w:val="00D67047"/>
    <w:rsid w:val="00D673B9"/>
    <w:rsid w:val="00D70251"/>
    <w:rsid w:val="00D7073D"/>
    <w:rsid w:val="00D71161"/>
    <w:rsid w:val="00D71896"/>
    <w:rsid w:val="00D718D7"/>
    <w:rsid w:val="00D724B6"/>
    <w:rsid w:val="00D73212"/>
    <w:rsid w:val="00D74108"/>
    <w:rsid w:val="00D746AF"/>
    <w:rsid w:val="00D748E6"/>
    <w:rsid w:val="00D74C76"/>
    <w:rsid w:val="00D75479"/>
    <w:rsid w:val="00D75603"/>
    <w:rsid w:val="00D768F6"/>
    <w:rsid w:val="00D76D5D"/>
    <w:rsid w:val="00D814B7"/>
    <w:rsid w:val="00D8222C"/>
    <w:rsid w:val="00D82F3E"/>
    <w:rsid w:val="00D83254"/>
    <w:rsid w:val="00D834A3"/>
    <w:rsid w:val="00D86456"/>
    <w:rsid w:val="00D90688"/>
    <w:rsid w:val="00D90D42"/>
    <w:rsid w:val="00D91129"/>
    <w:rsid w:val="00D91420"/>
    <w:rsid w:val="00D93987"/>
    <w:rsid w:val="00D93A1F"/>
    <w:rsid w:val="00D968C3"/>
    <w:rsid w:val="00D970C3"/>
    <w:rsid w:val="00D97CA7"/>
    <w:rsid w:val="00DA038D"/>
    <w:rsid w:val="00DA064F"/>
    <w:rsid w:val="00DA3AAD"/>
    <w:rsid w:val="00DA6200"/>
    <w:rsid w:val="00DA6E0E"/>
    <w:rsid w:val="00DA7960"/>
    <w:rsid w:val="00DB2537"/>
    <w:rsid w:val="00DB2880"/>
    <w:rsid w:val="00DB2900"/>
    <w:rsid w:val="00DB312B"/>
    <w:rsid w:val="00DB3BAA"/>
    <w:rsid w:val="00DB3D2D"/>
    <w:rsid w:val="00DB41E4"/>
    <w:rsid w:val="00DB4545"/>
    <w:rsid w:val="00DB6891"/>
    <w:rsid w:val="00DB7DB2"/>
    <w:rsid w:val="00DC137E"/>
    <w:rsid w:val="00DC20EE"/>
    <w:rsid w:val="00DC298D"/>
    <w:rsid w:val="00DC2B13"/>
    <w:rsid w:val="00DC2F40"/>
    <w:rsid w:val="00DC3945"/>
    <w:rsid w:val="00DC5654"/>
    <w:rsid w:val="00DC61D9"/>
    <w:rsid w:val="00DC658F"/>
    <w:rsid w:val="00DC6962"/>
    <w:rsid w:val="00DD0C40"/>
    <w:rsid w:val="00DD19A1"/>
    <w:rsid w:val="00DD4A4B"/>
    <w:rsid w:val="00DD5964"/>
    <w:rsid w:val="00DD75FE"/>
    <w:rsid w:val="00DE0708"/>
    <w:rsid w:val="00DE1066"/>
    <w:rsid w:val="00DE24E1"/>
    <w:rsid w:val="00DE25B5"/>
    <w:rsid w:val="00DE38EF"/>
    <w:rsid w:val="00DE3EC0"/>
    <w:rsid w:val="00DE488B"/>
    <w:rsid w:val="00DE506C"/>
    <w:rsid w:val="00DE5535"/>
    <w:rsid w:val="00DE56BB"/>
    <w:rsid w:val="00DE5745"/>
    <w:rsid w:val="00DE601E"/>
    <w:rsid w:val="00DE60CC"/>
    <w:rsid w:val="00DE79A1"/>
    <w:rsid w:val="00DE7B0C"/>
    <w:rsid w:val="00DF08EA"/>
    <w:rsid w:val="00DF0A06"/>
    <w:rsid w:val="00DF29D9"/>
    <w:rsid w:val="00DF2ECF"/>
    <w:rsid w:val="00DF4766"/>
    <w:rsid w:val="00DF5649"/>
    <w:rsid w:val="00DF5CC4"/>
    <w:rsid w:val="00DF66FF"/>
    <w:rsid w:val="00E00CCE"/>
    <w:rsid w:val="00E01414"/>
    <w:rsid w:val="00E027D3"/>
    <w:rsid w:val="00E03C11"/>
    <w:rsid w:val="00E04C43"/>
    <w:rsid w:val="00E053B6"/>
    <w:rsid w:val="00E0688D"/>
    <w:rsid w:val="00E06F7F"/>
    <w:rsid w:val="00E1013A"/>
    <w:rsid w:val="00E11291"/>
    <w:rsid w:val="00E11918"/>
    <w:rsid w:val="00E141B8"/>
    <w:rsid w:val="00E150C3"/>
    <w:rsid w:val="00E15A48"/>
    <w:rsid w:val="00E174CD"/>
    <w:rsid w:val="00E229C9"/>
    <w:rsid w:val="00E22A70"/>
    <w:rsid w:val="00E22A8E"/>
    <w:rsid w:val="00E2557A"/>
    <w:rsid w:val="00E26B32"/>
    <w:rsid w:val="00E27401"/>
    <w:rsid w:val="00E31444"/>
    <w:rsid w:val="00E31BC1"/>
    <w:rsid w:val="00E326F6"/>
    <w:rsid w:val="00E32AB4"/>
    <w:rsid w:val="00E32F22"/>
    <w:rsid w:val="00E33787"/>
    <w:rsid w:val="00E345A2"/>
    <w:rsid w:val="00E34C42"/>
    <w:rsid w:val="00E356E0"/>
    <w:rsid w:val="00E361EB"/>
    <w:rsid w:val="00E366C1"/>
    <w:rsid w:val="00E400F1"/>
    <w:rsid w:val="00E407B6"/>
    <w:rsid w:val="00E41EF1"/>
    <w:rsid w:val="00E42942"/>
    <w:rsid w:val="00E42C82"/>
    <w:rsid w:val="00E43340"/>
    <w:rsid w:val="00E43382"/>
    <w:rsid w:val="00E43B51"/>
    <w:rsid w:val="00E43BCF"/>
    <w:rsid w:val="00E468A6"/>
    <w:rsid w:val="00E514FA"/>
    <w:rsid w:val="00E524F7"/>
    <w:rsid w:val="00E54957"/>
    <w:rsid w:val="00E54EF6"/>
    <w:rsid w:val="00E57C02"/>
    <w:rsid w:val="00E62F8E"/>
    <w:rsid w:val="00E632D4"/>
    <w:rsid w:val="00E649E5"/>
    <w:rsid w:val="00E65B7C"/>
    <w:rsid w:val="00E65D1C"/>
    <w:rsid w:val="00E704EE"/>
    <w:rsid w:val="00E7050E"/>
    <w:rsid w:val="00E71BDF"/>
    <w:rsid w:val="00E7213C"/>
    <w:rsid w:val="00E73E46"/>
    <w:rsid w:val="00E8035B"/>
    <w:rsid w:val="00E8130A"/>
    <w:rsid w:val="00E831DA"/>
    <w:rsid w:val="00E83CA7"/>
    <w:rsid w:val="00E858BE"/>
    <w:rsid w:val="00E865B6"/>
    <w:rsid w:val="00E868E7"/>
    <w:rsid w:val="00E869F8"/>
    <w:rsid w:val="00E873F9"/>
    <w:rsid w:val="00E92305"/>
    <w:rsid w:val="00E93124"/>
    <w:rsid w:val="00E9402D"/>
    <w:rsid w:val="00E9750E"/>
    <w:rsid w:val="00EA0895"/>
    <w:rsid w:val="00EA16A2"/>
    <w:rsid w:val="00EA4C47"/>
    <w:rsid w:val="00EA5D2B"/>
    <w:rsid w:val="00EB2C8A"/>
    <w:rsid w:val="00EB3390"/>
    <w:rsid w:val="00EB3EDE"/>
    <w:rsid w:val="00EB5CAE"/>
    <w:rsid w:val="00EB791A"/>
    <w:rsid w:val="00EC02BB"/>
    <w:rsid w:val="00EC0AC1"/>
    <w:rsid w:val="00EC171D"/>
    <w:rsid w:val="00EC2A62"/>
    <w:rsid w:val="00EC3199"/>
    <w:rsid w:val="00EC44E3"/>
    <w:rsid w:val="00EC77C0"/>
    <w:rsid w:val="00EC7C45"/>
    <w:rsid w:val="00ED0B59"/>
    <w:rsid w:val="00ED18F9"/>
    <w:rsid w:val="00ED487E"/>
    <w:rsid w:val="00ED51A2"/>
    <w:rsid w:val="00ED61A7"/>
    <w:rsid w:val="00EE0FF2"/>
    <w:rsid w:val="00EE15AB"/>
    <w:rsid w:val="00EE166D"/>
    <w:rsid w:val="00EE233D"/>
    <w:rsid w:val="00EE41C1"/>
    <w:rsid w:val="00EE48AA"/>
    <w:rsid w:val="00EE4FDA"/>
    <w:rsid w:val="00EE5719"/>
    <w:rsid w:val="00EE6724"/>
    <w:rsid w:val="00EE6ED8"/>
    <w:rsid w:val="00EE7A0D"/>
    <w:rsid w:val="00EF0D21"/>
    <w:rsid w:val="00EF2AAC"/>
    <w:rsid w:val="00EF2BC0"/>
    <w:rsid w:val="00EF427D"/>
    <w:rsid w:val="00EF4341"/>
    <w:rsid w:val="00EF558B"/>
    <w:rsid w:val="00EF7B42"/>
    <w:rsid w:val="00F019E1"/>
    <w:rsid w:val="00F01EA6"/>
    <w:rsid w:val="00F02BB0"/>
    <w:rsid w:val="00F034CB"/>
    <w:rsid w:val="00F05C2F"/>
    <w:rsid w:val="00F05F5D"/>
    <w:rsid w:val="00F0607E"/>
    <w:rsid w:val="00F06212"/>
    <w:rsid w:val="00F06283"/>
    <w:rsid w:val="00F0673F"/>
    <w:rsid w:val="00F07BC6"/>
    <w:rsid w:val="00F07E92"/>
    <w:rsid w:val="00F11121"/>
    <w:rsid w:val="00F12A5B"/>
    <w:rsid w:val="00F12D22"/>
    <w:rsid w:val="00F1569E"/>
    <w:rsid w:val="00F15C41"/>
    <w:rsid w:val="00F16767"/>
    <w:rsid w:val="00F17CE1"/>
    <w:rsid w:val="00F2115C"/>
    <w:rsid w:val="00F214C3"/>
    <w:rsid w:val="00F22074"/>
    <w:rsid w:val="00F22ABA"/>
    <w:rsid w:val="00F2467C"/>
    <w:rsid w:val="00F2569A"/>
    <w:rsid w:val="00F279EC"/>
    <w:rsid w:val="00F3009E"/>
    <w:rsid w:val="00F30EAA"/>
    <w:rsid w:val="00F30F6D"/>
    <w:rsid w:val="00F310A0"/>
    <w:rsid w:val="00F33BEC"/>
    <w:rsid w:val="00F354AB"/>
    <w:rsid w:val="00F36B12"/>
    <w:rsid w:val="00F37D12"/>
    <w:rsid w:val="00F408B9"/>
    <w:rsid w:val="00F41303"/>
    <w:rsid w:val="00F417C3"/>
    <w:rsid w:val="00F4250D"/>
    <w:rsid w:val="00F425F3"/>
    <w:rsid w:val="00F43691"/>
    <w:rsid w:val="00F44AE9"/>
    <w:rsid w:val="00F44E63"/>
    <w:rsid w:val="00F5001E"/>
    <w:rsid w:val="00F50475"/>
    <w:rsid w:val="00F515EC"/>
    <w:rsid w:val="00F55299"/>
    <w:rsid w:val="00F57453"/>
    <w:rsid w:val="00F60F9F"/>
    <w:rsid w:val="00F62441"/>
    <w:rsid w:val="00F6304E"/>
    <w:rsid w:val="00F64F08"/>
    <w:rsid w:val="00F65514"/>
    <w:rsid w:val="00F70945"/>
    <w:rsid w:val="00F709E5"/>
    <w:rsid w:val="00F72A63"/>
    <w:rsid w:val="00F734F5"/>
    <w:rsid w:val="00F73D7D"/>
    <w:rsid w:val="00F757C7"/>
    <w:rsid w:val="00F7618F"/>
    <w:rsid w:val="00F7799D"/>
    <w:rsid w:val="00F77A81"/>
    <w:rsid w:val="00F77AE1"/>
    <w:rsid w:val="00F82A89"/>
    <w:rsid w:val="00F82E15"/>
    <w:rsid w:val="00F86163"/>
    <w:rsid w:val="00F87F34"/>
    <w:rsid w:val="00F90268"/>
    <w:rsid w:val="00F9158C"/>
    <w:rsid w:val="00F961EB"/>
    <w:rsid w:val="00F9657B"/>
    <w:rsid w:val="00F966B1"/>
    <w:rsid w:val="00F97D48"/>
    <w:rsid w:val="00FA0311"/>
    <w:rsid w:val="00FA099F"/>
    <w:rsid w:val="00FA1777"/>
    <w:rsid w:val="00FA1DE4"/>
    <w:rsid w:val="00FA1F9D"/>
    <w:rsid w:val="00FA263E"/>
    <w:rsid w:val="00FA31B6"/>
    <w:rsid w:val="00FA4755"/>
    <w:rsid w:val="00FA4966"/>
    <w:rsid w:val="00FA5D6B"/>
    <w:rsid w:val="00FA7363"/>
    <w:rsid w:val="00FA7812"/>
    <w:rsid w:val="00FA7F84"/>
    <w:rsid w:val="00FB03EC"/>
    <w:rsid w:val="00FB087E"/>
    <w:rsid w:val="00FB0D96"/>
    <w:rsid w:val="00FB1FA7"/>
    <w:rsid w:val="00FB32E5"/>
    <w:rsid w:val="00FB401C"/>
    <w:rsid w:val="00FB415F"/>
    <w:rsid w:val="00FB4C3D"/>
    <w:rsid w:val="00FB4F55"/>
    <w:rsid w:val="00FB6A6C"/>
    <w:rsid w:val="00FC1C0A"/>
    <w:rsid w:val="00FC3587"/>
    <w:rsid w:val="00FC3E86"/>
    <w:rsid w:val="00FC42E5"/>
    <w:rsid w:val="00FC521B"/>
    <w:rsid w:val="00FD397C"/>
    <w:rsid w:val="00FD640F"/>
    <w:rsid w:val="00FD6B4C"/>
    <w:rsid w:val="00FD6BE9"/>
    <w:rsid w:val="00FD6FC7"/>
    <w:rsid w:val="00FE1B52"/>
    <w:rsid w:val="00FE2624"/>
    <w:rsid w:val="00FE7E23"/>
    <w:rsid w:val="00FF0824"/>
    <w:rsid w:val="00FF1015"/>
    <w:rsid w:val="00FF1F5A"/>
    <w:rsid w:val="00FF34A4"/>
    <w:rsid w:val="00FF4E99"/>
    <w:rsid w:val="00FF5541"/>
    <w:rsid w:val="00FF56D8"/>
    <w:rsid w:val="00FF5B73"/>
    <w:rsid w:val="00FF600F"/>
    <w:rsid w:val="01844A40"/>
    <w:rsid w:val="03B2D2CF"/>
    <w:rsid w:val="087666D3"/>
    <w:rsid w:val="08C988CA"/>
    <w:rsid w:val="0BB469D8"/>
    <w:rsid w:val="11279D90"/>
    <w:rsid w:val="11AD1C25"/>
    <w:rsid w:val="16AF7B8B"/>
    <w:rsid w:val="16FB35F9"/>
    <w:rsid w:val="18219420"/>
    <w:rsid w:val="1AE2DDA8"/>
    <w:rsid w:val="1C4F9C77"/>
    <w:rsid w:val="1C7BB9C4"/>
    <w:rsid w:val="1CC4A128"/>
    <w:rsid w:val="1DD71366"/>
    <w:rsid w:val="225E6A40"/>
    <w:rsid w:val="22B56903"/>
    <w:rsid w:val="22D8B419"/>
    <w:rsid w:val="256A894A"/>
    <w:rsid w:val="280C243B"/>
    <w:rsid w:val="28F7DCC0"/>
    <w:rsid w:val="2B3FCB13"/>
    <w:rsid w:val="2F8D9FA0"/>
    <w:rsid w:val="33B68C1B"/>
    <w:rsid w:val="33CF4C78"/>
    <w:rsid w:val="353E33AC"/>
    <w:rsid w:val="36F5C855"/>
    <w:rsid w:val="3761395E"/>
    <w:rsid w:val="38B8AB48"/>
    <w:rsid w:val="396846FE"/>
    <w:rsid w:val="3B87DB59"/>
    <w:rsid w:val="3D2A619F"/>
    <w:rsid w:val="41CF704B"/>
    <w:rsid w:val="4241610A"/>
    <w:rsid w:val="42C06BD7"/>
    <w:rsid w:val="4358CD2C"/>
    <w:rsid w:val="4449B34F"/>
    <w:rsid w:val="44B36821"/>
    <w:rsid w:val="46CF88A4"/>
    <w:rsid w:val="47E7E9D8"/>
    <w:rsid w:val="518644C9"/>
    <w:rsid w:val="54F5215C"/>
    <w:rsid w:val="554C5927"/>
    <w:rsid w:val="57799F99"/>
    <w:rsid w:val="5C573576"/>
    <w:rsid w:val="5E572B5B"/>
    <w:rsid w:val="60021CC2"/>
    <w:rsid w:val="603F2140"/>
    <w:rsid w:val="61018F5F"/>
    <w:rsid w:val="65CA10F5"/>
    <w:rsid w:val="6FC7DF65"/>
    <w:rsid w:val="709D7F00"/>
    <w:rsid w:val="71796BC8"/>
    <w:rsid w:val="718A5913"/>
    <w:rsid w:val="72843AAF"/>
    <w:rsid w:val="74BD7975"/>
    <w:rsid w:val="77112CAF"/>
    <w:rsid w:val="7AD12859"/>
    <w:rsid w:val="7BC2BD53"/>
    <w:rsid w:val="7CA38148"/>
    <w:rsid w:val="7CE673E9"/>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035493"/>
  <w15:docId w15:val="{AB069623-E8EF-4662-B313-0CC49D1D3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AU" w:eastAsia="en-AU" w:bidi="ar-SA"/>
      </w:rPr>
    </w:rPrDefault>
    <w:pPrDefault>
      <w:pPr>
        <w:spacing w:before="160" w:after="1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unhideWhenUsed="1"/>
    <w:lsdException w:name="index 2"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9" w:unhideWhenUsed="1" w:qFormat="1"/>
    <w:lsdException w:name="footnote text" w:semiHidden="1" w:unhideWhenUsed="1"/>
    <w:lsdException w:name="annotation text" w:semiHidden="1" w:unhideWhenUsed="1"/>
    <w:lsdException w:name="header" w:unhideWhenUsed="1"/>
    <w:lsdException w:name="footer" w:unhideWhenUsed="1"/>
    <w:lsdException w:name="index heading" w:unhideWhenUsed="1"/>
    <w:lsdException w:name="caption" w:uiPriority="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49"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lsdException w:name="List Number" w:semiHidden="1" w:uiPriority="7"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7" w:unhideWhenUsed="1"/>
    <w:lsdException w:name="List Number 3" w:semiHidden="1" w:uiPriority="7" w:unhideWhenUsed="1"/>
    <w:lsdException w:name="List Number 4" w:semiHidden="1" w:unhideWhenUsed="1"/>
    <w:lsdException w:name="List Number 5" w:semiHidden="1" w:unhideWhenUsed="1"/>
    <w:lsdException w:name="Title" w:uiPriority="44" w:qFormat="1"/>
    <w:lsdException w:name="Closing" w:semiHidden="1" w:unhideWhenUsed="1"/>
    <w:lsdException w:name="Signature" w:semiHidden="1" w:unhideWhenUsed="1"/>
    <w:lsdException w:name="Default Paragraph Font" w:semiHidden="1" w:uiPriority="1" w:unhideWhenUsed="1"/>
    <w:lsdException w:name="Body Text" w:semiHidden="1" w:uiPriority="49" w:unhideWhenUsed="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45"/>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4"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3986"/>
    <w:pPr>
      <w:keepLines/>
      <w:spacing w:before="120" w:after="120" w:line="252" w:lineRule="auto"/>
    </w:pPr>
    <w:rPr>
      <w:color w:val="232B39" w:themeColor="text1"/>
    </w:rPr>
  </w:style>
  <w:style w:type="paragraph" w:styleId="Heading1">
    <w:name w:val="heading 1"/>
    <w:next w:val="Normal"/>
    <w:link w:val="Heading1Char"/>
    <w:qFormat/>
    <w:rsid w:val="009A3986"/>
    <w:pPr>
      <w:keepNext/>
      <w:keepLines/>
      <w:spacing w:before="360" w:after="120" w:line="240" w:lineRule="auto"/>
      <w:outlineLvl w:val="0"/>
    </w:pPr>
    <w:rPr>
      <w:rFonts w:asciiTheme="majorHAnsi" w:eastAsiaTheme="majorEastAsia" w:hAnsiTheme="majorHAnsi" w:cstheme="majorBidi"/>
      <w:bCs/>
      <w:color w:val="3A3467" w:themeColor="text2"/>
      <w:sz w:val="36"/>
      <w:szCs w:val="28"/>
    </w:rPr>
  </w:style>
  <w:style w:type="paragraph" w:styleId="Heading2">
    <w:name w:val="heading 2"/>
    <w:basedOn w:val="Normal"/>
    <w:next w:val="Normal"/>
    <w:link w:val="Heading2Char"/>
    <w:qFormat/>
    <w:rsid w:val="009A3986"/>
    <w:pPr>
      <w:keepNext/>
      <w:spacing w:before="280" w:line="240" w:lineRule="auto"/>
      <w:outlineLvl w:val="1"/>
    </w:pPr>
    <w:rPr>
      <w:rFonts w:asciiTheme="majorHAnsi" w:eastAsiaTheme="majorEastAsia" w:hAnsiTheme="majorHAnsi" w:cstheme="majorBidi"/>
      <w:bCs/>
      <w:color w:val="3A3467" w:themeColor="text2"/>
      <w:sz w:val="28"/>
      <w:szCs w:val="26"/>
    </w:rPr>
  </w:style>
  <w:style w:type="paragraph" w:styleId="Heading3">
    <w:name w:val="heading 3"/>
    <w:basedOn w:val="Normal"/>
    <w:next w:val="Normal"/>
    <w:link w:val="Heading3Char"/>
    <w:qFormat/>
    <w:rsid w:val="009A3986"/>
    <w:pPr>
      <w:keepNext/>
      <w:spacing w:before="240"/>
      <w:outlineLvl w:val="2"/>
    </w:pPr>
    <w:rPr>
      <w:rFonts w:asciiTheme="majorHAnsi" w:eastAsiaTheme="majorEastAsia" w:hAnsiTheme="majorHAnsi" w:cstheme="majorBidi"/>
      <w:bCs/>
      <w:color w:val="3A3467" w:themeColor="text2"/>
      <w:sz w:val="24"/>
      <w:szCs w:val="24"/>
    </w:rPr>
  </w:style>
  <w:style w:type="paragraph" w:styleId="Heading4">
    <w:name w:val="heading 4"/>
    <w:basedOn w:val="Normal"/>
    <w:next w:val="Normal"/>
    <w:link w:val="Heading4Char"/>
    <w:qFormat/>
    <w:rsid w:val="009A3986"/>
    <w:pPr>
      <w:keepNext/>
      <w:spacing w:before="200"/>
      <w:outlineLvl w:val="3"/>
    </w:pPr>
    <w:rPr>
      <w:rFonts w:asciiTheme="majorHAnsi" w:eastAsiaTheme="majorEastAsia" w:hAnsiTheme="majorHAnsi" w:cstheme="majorBidi"/>
      <w:bCs/>
      <w:iCs/>
      <w:color w:val="3A3467" w:themeColor="text2"/>
      <w:sz w:val="21"/>
      <w:szCs w:val="21"/>
    </w:rPr>
  </w:style>
  <w:style w:type="paragraph" w:styleId="Heading5">
    <w:name w:val="heading 5"/>
    <w:basedOn w:val="Normal"/>
    <w:next w:val="Normal"/>
    <w:link w:val="Heading5Char"/>
    <w:semiHidden/>
    <w:rsid w:val="009A3986"/>
    <w:pPr>
      <w:keepNext/>
      <w:spacing w:before="60" w:after="60"/>
      <w:outlineLvl w:val="4"/>
    </w:pPr>
    <w:rPr>
      <w:rFonts w:asciiTheme="majorHAnsi" w:eastAsiaTheme="majorEastAsia" w:hAnsiTheme="majorHAnsi" w:cstheme="majorBidi"/>
      <w:color w:val="3A3467"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rsid w:val="009A3986"/>
    <w:pPr>
      <w:spacing w:before="0" w:after="0" w:line="240" w:lineRule="auto"/>
    </w:pPr>
    <w:rPr>
      <w:color w:val="1A202A" w:themeColor="text1" w:themeShade="BF"/>
    </w:rPr>
    <w:tblPr>
      <w:tblStyleRowBandSize w:val="1"/>
      <w:tblStyleColBandSize w:val="1"/>
      <w:tblBorders>
        <w:top w:val="single" w:sz="8" w:space="0" w:color="232B39" w:themeColor="text1"/>
        <w:bottom w:val="single" w:sz="8" w:space="0" w:color="232B39" w:themeColor="text1"/>
      </w:tblBorders>
    </w:tblPr>
    <w:tblStylePr w:type="firstRow">
      <w:pPr>
        <w:spacing w:before="0" w:after="0" w:line="240" w:lineRule="auto"/>
      </w:pPr>
      <w:rPr>
        <w:b/>
        <w:bCs/>
      </w:rPr>
      <w:tblPr/>
      <w:tcPr>
        <w:tcBorders>
          <w:top w:val="single" w:sz="8" w:space="0" w:color="232B39" w:themeColor="text1"/>
          <w:left w:val="nil"/>
          <w:bottom w:val="single" w:sz="8" w:space="0" w:color="232B39" w:themeColor="text1"/>
          <w:right w:val="nil"/>
          <w:insideH w:val="nil"/>
          <w:insideV w:val="nil"/>
        </w:tcBorders>
      </w:tcPr>
    </w:tblStylePr>
    <w:tblStylePr w:type="lastRow">
      <w:pPr>
        <w:spacing w:before="0" w:after="0" w:line="240" w:lineRule="auto"/>
      </w:pPr>
      <w:rPr>
        <w:b/>
        <w:bCs/>
      </w:rPr>
      <w:tblPr/>
      <w:tcPr>
        <w:tcBorders>
          <w:top w:val="single" w:sz="8" w:space="0" w:color="232B39" w:themeColor="text1"/>
          <w:left w:val="nil"/>
          <w:bottom w:val="single" w:sz="8" w:space="0" w:color="232B39"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C7D7" w:themeFill="text1" w:themeFillTint="3F"/>
      </w:tcPr>
    </w:tblStylePr>
    <w:tblStylePr w:type="band1Horz">
      <w:tblPr/>
      <w:tcPr>
        <w:tcBorders>
          <w:left w:val="nil"/>
          <w:right w:val="nil"/>
          <w:insideH w:val="nil"/>
          <w:insideV w:val="nil"/>
        </w:tcBorders>
        <w:shd w:val="clear" w:color="auto" w:fill="BFC7D7" w:themeFill="text1" w:themeFillTint="3F"/>
      </w:tcPr>
    </w:tblStylePr>
  </w:style>
  <w:style w:type="table" w:styleId="TableGrid">
    <w:name w:val="Table Grid"/>
    <w:basedOn w:val="TableNormal"/>
    <w:uiPriority w:val="59"/>
    <w:rsid w:val="009A3986"/>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4">
    <w:name w:val="Light List Accent 4"/>
    <w:basedOn w:val="TableNormal"/>
    <w:uiPriority w:val="61"/>
    <w:rsid w:val="009A3986"/>
    <w:pPr>
      <w:spacing w:before="0" w:after="0" w:line="240" w:lineRule="auto"/>
    </w:pPr>
    <w:tblPr>
      <w:tblStyleRowBandSize w:val="1"/>
      <w:tblStyleColBandSize w:val="1"/>
      <w:tblBorders>
        <w:top w:val="single" w:sz="8" w:space="0" w:color="D3D5D7" w:themeColor="accent4"/>
        <w:left w:val="single" w:sz="8" w:space="0" w:color="D3D5D7" w:themeColor="accent4"/>
        <w:bottom w:val="single" w:sz="8" w:space="0" w:color="D3D5D7" w:themeColor="accent4"/>
        <w:right w:val="single" w:sz="8" w:space="0" w:color="D3D5D7" w:themeColor="accent4"/>
      </w:tblBorders>
    </w:tblPr>
    <w:tblStylePr w:type="firstRow">
      <w:pPr>
        <w:spacing w:before="0" w:after="0" w:line="240" w:lineRule="auto"/>
      </w:pPr>
      <w:rPr>
        <w:b/>
        <w:bCs/>
        <w:color w:val="FFFFFF" w:themeColor="background1"/>
      </w:rPr>
      <w:tblPr/>
      <w:tcPr>
        <w:shd w:val="clear" w:color="auto" w:fill="D3D5D7" w:themeFill="accent4"/>
      </w:tcPr>
    </w:tblStylePr>
    <w:tblStylePr w:type="lastRow">
      <w:pPr>
        <w:spacing w:before="0" w:after="0" w:line="240" w:lineRule="auto"/>
      </w:pPr>
      <w:rPr>
        <w:b/>
        <w:bCs/>
      </w:rPr>
      <w:tblPr/>
      <w:tcPr>
        <w:tcBorders>
          <w:top w:val="double" w:sz="6" w:space="0" w:color="D3D5D7" w:themeColor="accent4"/>
          <w:left w:val="single" w:sz="8" w:space="0" w:color="D3D5D7" w:themeColor="accent4"/>
          <w:bottom w:val="single" w:sz="8" w:space="0" w:color="D3D5D7" w:themeColor="accent4"/>
          <w:right w:val="single" w:sz="8" w:space="0" w:color="D3D5D7" w:themeColor="accent4"/>
        </w:tcBorders>
      </w:tcPr>
    </w:tblStylePr>
    <w:tblStylePr w:type="firstCol">
      <w:rPr>
        <w:b/>
        <w:bCs/>
      </w:rPr>
    </w:tblStylePr>
    <w:tblStylePr w:type="lastCol">
      <w:rPr>
        <w:b/>
        <w:bCs/>
      </w:rPr>
    </w:tblStylePr>
    <w:tblStylePr w:type="band1Vert">
      <w:tblPr/>
      <w:tcPr>
        <w:tcBorders>
          <w:top w:val="single" w:sz="8" w:space="0" w:color="D3D5D7" w:themeColor="accent4"/>
          <w:left w:val="single" w:sz="8" w:space="0" w:color="D3D5D7" w:themeColor="accent4"/>
          <w:bottom w:val="single" w:sz="8" w:space="0" w:color="D3D5D7" w:themeColor="accent4"/>
          <w:right w:val="single" w:sz="8" w:space="0" w:color="D3D5D7" w:themeColor="accent4"/>
        </w:tcBorders>
      </w:tcPr>
    </w:tblStylePr>
    <w:tblStylePr w:type="band1Horz">
      <w:tblPr/>
      <w:tcPr>
        <w:tcBorders>
          <w:top w:val="single" w:sz="8" w:space="0" w:color="D3D5D7" w:themeColor="accent4"/>
          <w:left w:val="single" w:sz="8" w:space="0" w:color="D3D5D7" w:themeColor="accent4"/>
          <w:bottom w:val="single" w:sz="8" w:space="0" w:color="D3D5D7" w:themeColor="accent4"/>
          <w:right w:val="single" w:sz="8" w:space="0" w:color="D3D5D7" w:themeColor="accent4"/>
        </w:tcBorders>
      </w:tcPr>
    </w:tblStylePr>
  </w:style>
  <w:style w:type="table" w:styleId="LightList-Accent1">
    <w:name w:val="Light List Accent 1"/>
    <w:basedOn w:val="TableNormal"/>
    <w:uiPriority w:val="61"/>
    <w:rsid w:val="009A3986"/>
    <w:pPr>
      <w:spacing w:before="0" w:after="0" w:line="240" w:lineRule="auto"/>
    </w:pPr>
    <w:tblPr>
      <w:tblStyleRowBandSize w:val="1"/>
      <w:tblStyleColBandSize w:val="1"/>
      <w:tblBorders>
        <w:top w:val="single" w:sz="8" w:space="0" w:color="0072CE" w:themeColor="accent1"/>
        <w:left w:val="single" w:sz="8" w:space="0" w:color="0072CE" w:themeColor="accent1"/>
        <w:bottom w:val="single" w:sz="8" w:space="0" w:color="0072CE" w:themeColor="accent1"/>
        <w:right w:val="single" w:sz="8" w:space="0" w:color="0072CE" w:themeColor="accent1"/>
      </w:tblBorders>
    </w:tblPr>
    <w:tblStylePr w:type="firstRow">
      <w:pPr>
        <w:spacing w:before="0" w:after="0" w:line="240" w:lineRule="auto"/>
      </w:pPr>
      <w:rPr>
        <w:b/>
        <w:bCs/>
        <w:color w:val="FFFFFF" w:themeColor="background1"/>
      </w:rPr>
      <w:tblPr/>
      <w:tcPr>
        <w:shd w:val="clear" w:color="auto" w:fill="0072CE" w:themeFill="accent1"/>
      </w:tcPr>
    </w:tblStylePr>
    <w:tblStylePr w:type="lastRow">
      <w:pPr>
        <w:spacing w:before="0" w:after="0" w:line="240" w:lineRule="auto"/>
      </w:pPr>
      <w:rPr>
        <w:b/>
        <w:bCs/>
      </w:rPr>
      <w:tblPr/>
      <w:tcPr>
        <w:tcBorders>
          <w:top w:val="double" w:sz="6" w:space="0" w:color="0072CE" w:themeColor="accent1"/>
          <w:left w:val="single" w:sz="8" w:space="0" w:color="0072CE" w:themeColor="accent1"/>
          <w:bottom w:val="single" w:sz="8" w:space="0" w:color="0072CE" w:themeColor="accent1"/>
          <w:right w:val="single" w:sz="8" w:space="0" w:color="0072CE" w:themeColor="accent1"/>
        </w:tcBorders>
      </w:tcPr>
    </w:tblStylePr>
    <w:tblStylePr w:type="firstCol">
      <w:rPr>
        <w:b/>
        <w:bCs/>
      </w:rPr>
    </w:tblStylePr>
    <w:tblStylePr w:type="lastCol">
      <w:rPr>
        <w:b/>
        <w:bCs/>
      </w:rPr>
    </w:tblStylePr>
    <w:tblStylePr w:type="band1Vert">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tcPr>
    </w:tblStylePr>
    <w:tblStylePr w:type="band1Horz">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tcPr>
    </w:tblStylePr>
  </w:style>
  <w:style w:type="paragraph" w:styleId="TOC1">
    <w:name w:val="toc 1"/>
    <w:basedOn w:val="Normal"/>
    <w:next w:val="Normal"/>
    <w:uiPriority w:val="39"/>
    <w:rsid w:val="009A3986"/>
    <w:pPr>
      <w:keepLines w:val="0"/>
      <w:pBdr>
        <w:bottom w:val="single" w:sz="12" w:space="4" w:color="auto"/>
      </w:pBdr>
      <w:tabs>
        <w:tab w:val="right" w:pos="9000"/>
      </w:tabs>
      <w:ind w:right="26"/>
    </w:pPr>
    <w:rPr>
      <w:sz w:val="24"/>
      <w:szCs w:val="24"/>
    </w:rPr>
  </w:style>
  <w:style w:type="paragraph" w:styleId="TOC2">
    <w:name w:val="toc 2"/>
    <w:next w:val="Normal"/>
    <w:uiPriority w:val="39"/>
    <w:rsid w:val="009A3986"/>
    <w:pPr>
      <w:tabs>
        <w:tab w:val="right" w:pos="9000"/>
      </w:tabs>
      <w:spacing w:before="0"/>
      <w:ind w:left="446" w:right="432"/>
      <w:contextualSpacing/>
    </w:pPr>
    <w:rPr>
      <w:noProof/>
      <w:spacing w:val="2"/>
    </w:rPr>
  </w:style>
  <w:style w:type="paragraph" w:styleId="TOC3">
    <w:name w:val="toc 3"/>
    <w:basedOn w:val="Normal"/>
    <w:next w:val="Normal"/>
    <w:uiPriority w:val="39"/>
    <w:rsid w:val="009A3986"/>
    <w:pPr>
      <w:keepLines w:val="0"/>
      <w:tabs>
        <w:tab w:val="right" w:pos="9000"/>
      </w:tabs>
      <w:spacing w:before="0"/>
      <w:ind w:left="450" w:right="432"/>
      <w:contextualSpacing/>
    </w:pPr>
    <w:rPr>
      <w:noProof/>
      <w:sz w:val="18"/>
      <w:szCs w:val="18"/>
    </w:rPr>
  </w:style>
  <w:style w:type="paragraph" w:styleId="Index1">
    <w:name w:val="index 1"/>
    <w:basedOn w:val="Normal"/>
    <w:next w:val="Normal"/>
    <w:uiPriority w:val="99"/>
    <w:semiHidden/>
    <w:rsid w:val="009A3986"/>
    <w:pPr>
      <w:spacing w:after="60" w:line="240" w:lineRule="auto"/>
    </w:pPr>
    <w:rPr>
      <w:sz w:val="16"/>
    </w:rPr>
  </w:style>
  <w:style w:type="paragraph" w:styleId="Index2">
    <w:name w:val="index 2"/>
    <w:basedOn w:val="Normal"/>
    <w:next w:val="Normal"/>
    <w:uiPriority w:val="99"/>
    <w:semiHidden/>
    <w:rsid w:val="009A3986"/>
    <w:pPr>
      <w:spacing w:after="0" w:line="240" w:lineRule="auto"/>
      <w:ind w:left="216"/>
    </w:pPr>
    <w:rPr>
      <w:sz w:val="16"/>
      <w:szCs w:val="16"/>
    </w:rPr>
  </w:style>
  <w:style w:type="character" w:styleId="Hyperlink">
    <w:name w:val="Hyperlink"/>
    <w:basedOn w:val="DefaultParagraphFont"/>
    <w:uiPriority w:val="99"/>
    <w:rsid w:val="009A3986"/>
    <w:rPr>
      <w:color w:val="004C97" w:themeColor="accent3"/>
      <w:u w:val="none"/>
    </w:rPr>
  </w:style>
  <w:style w:type="character" w:customStyle="1" w:styleId="Heading1Char">
    <w:name w:val="Heading 1 Char"/>
    <w:basedOn w:val="DefaultParagraphFont"/>
    <w:link w:val="Heading1"/>
    <w:rsid w:val="009A3986"/>
    <w:rPr>
      <w:rFonts w:asciiTheme="majorHAnsi" w:eastAsiaTheme="majorEastAsia" w:hAnsiTheme="majorHAnsi" w:cstheme="majorBidi"/>
      <w:bCs/>
      <w:color w:val="3A3467" w:themeColor="text2"/>
      <w:sz w:val="36"/>
      <w:szCs w:val="28"/>
    </w:rPr>
  </w:style>
  <w:style w:type="character" w:customStyle="1" w:styleId="Heading2Char">
    <w:name w:val="Heading 2 Char"/>
    <w:basedOn w:val="DefaultParagraphFont"/>
    <w:link w:val="Heading2"/>
    <w:rsid w:val="009A3986"/>
    <w:rPr>
      <w:rFonts w:asciiTheme="majorHAnsi" w:eastAsiaTheme="majorEastAsia" w:hAnsiTheme="majorHAnsi" w:cstheme="majorBidi"/>
      <w:bCs/>
      <w:color w:val="3A3467" w:themeColor="text2"/>
      <w:sz w:val="28"/>
      <w:szCs w:val="26"/>
    </w:rPr>
  </w:style>
  <w:style w:type="paragraph" w:customStyle="1" w:styleId="Bullet1">
    <w:name w:val="Bullet 1"/>
    <w:uiPriority w:val="1"/>
    <w:qFormat/>
    <w:rsid w:val="00DD5964"/>
    <w:pPr>
      <w:keepLines/>
      <w:numPr>
        <w:numId w:val="1"/>
      </w:numPr>
      <w:spacing w:before="60" w:after="60" w:line="252" w:lineRule="auto"/>
    </w:pPr>
    <w:rPr>
      <w:rFonts w:eastAsia="Times New Roman" w:cs="Calibri"/>
      <w:color w:val="232B39" w:themeColor="text1"/>
    </w:rPr>
  </w:style>
  <w:style w:type="paragraph" w:customStyle="1" w:styleId="Bullet2">
    <w:name w:val="Bullet 2"/>
    <w:basedOn w:val="Bullet1"/>
    <w:uiPriority w:val="1"/>
    <w:qFormat/>
    <w:rsid w:val="009A3986"/>
    <w:pPr>
      <w:numPr>
        <w:ilvl w:val="1"/>
      </w:numPr>
    </w:pPr>
  </w:style>
  <w:style w:type="paragraph" w:customStyle="1" w:styleId="Bulletindent">
    <w:name w:val="Bullet indent"/>
    <w:basedOn w:val="Bullet2"/>
    <w:uiPriority w:val="9"/>
    <w:qFormat/>
    <w:rsid w:val="009A3986"/>
    <w:pPr>
      <w:numPr>
        <w:ilvl w:val="2"/>
      </w:numPr>
      <w:spacing w:line="264" w:lineRule="auto"/>
    </w:pPr>
  </w:style>
  <w:style w:type="paragraph" w:customStyle="1" w:styleId="Heading1numbered">
    <w:name w:val="Heading 1 numbered"/>
    <w:basedOn w:val="Heading1"/>
    <w:next w:val="NormalIndent"/>
    <w:uiPriority w:val="8"/>
    <w:qFormat/>
    <w:rsid w:val="009A3986"/>
    <w:pPr>
      <w:numPr>
        <w:ilvl w:val="2"/>
        <w:numId w:val="12"/>
      </w:numPr>
    </w:pPr>
  </w:style>
  <w:style w:type="paragraph" w:customStyle="1" w:styleId="Heading2numbered">
    <w:name w:val="Heading 2 numbered"/>
    <w:basedOn w:val="Heading2"/>
    <w:next w:val="NormalIndent"/>
    <w:uiPriority w:val="8"/>
    <w:qFormat/>
    <w:rsid w:val="009A3986"/>
    <w:pPr>
      <w:numPr>
        <w:ilvl w:val="3"/>
        <w:numId w:val="12"/>
      </w:numPr>
    </w:pPr>
  </w:style>
  <w:style w:type="paragraph" w:customStyle="1" w:styleId="Heading3numbered">
    <w:name w:val="Heading 3 numbered"/>
    <w:basedOn w:val="Heading3"/>
    <w:next w:val="NormalIndent"/>
    <w:uiPriority w:val="8"/>
    <w:qFormat/>
    <w:rsid w:val="009A3986"/>
    <w:pPr>
      <w:numPr>
        <w:ilvl w:val="4"/>
        <w:numId w:val="12"/>
      </w:numPr>
    </w:pPr>
  </w:style>
  <w:style w:type="character" w:customStyle="1" w:styleId="Heading3Char">
    <w:name w:val="Heading 3 Char"/>
    <w:basedOn w:val="DefaultParagraphFont"/>
    <w:link w:val="Heading3"/>
    <w:rsid w:val="009A3986"/>
    <w:rPr>
      <w:rFonts w:asciiTheme="majorHAnsi" w:eastAsiaTheme="majorEastAsia" w:hAnsiTheme="majorHAnsi" w:cstheme="majorBidi"/>
      <w:bCs/>
      <w:color w:val="3A3467" w:themeColor="text2"/>
      <w:sz w:val="24"/>
      <w:szCs w:val="24"/>
    </w:rPr>
  </w:style>
  <w:style w:type="paragraph" w:customStyle="1" w:styleId="Heading4numbered">
    <w:name w:val="Heading 4 numbered"/>
    <w:basedOn w:val="Heading4"/>
    <w:next w:val="NormalIndent"/>
    <w:uiPriority w:val="8"/>
    <w:qFormat/>
    <w:rsid w:val="009A3986"/>
    <w:pPr>
      <w:numPr>
        <w:ilvl w:val="5"/>
        <w:numId w:val="12"/>
      </w:numPr>
    </w:pPr>
  </w:style>
  <w:style w:type="character" w:customStyle="1" w:styleId="Heading4Char">
    <w:name w:val="Heading 4 Char"/>
    <w:basedOn w:val="DefaultParagraphFont"/>
    <w:link w:val="Heading4"/>
    <w:rsid w:val="009A3986"/>
    <w:rPr>
      <w:rFonts w:asciiTheme="majorHAnsi" w:eastAsiaTheme="majorEastAsia" w:hAnsiTheme="majorHAnsi" w:cstheme="majorBidi"/>
      <w:bCs/>
      <w:iCs/>
      <w:color w:val="3A3467" w:themeColor="text2"/>
      <w:sz w:val="21"/>
      <w:szCs w:val="21"/>
    </w:rPr>
  </w:style>
  <w:style w:type="paragraph" w:styleId="NormalIndent">
    <w:name w:val="Normal Indent"/>
    <w:basedOn w:val="Normal"/>
    <w:uiPriority w:val="9"/>
    <w:qFormat/>
    <w:rsid w:val="009A3986"/>
    <w:pPr>
      <w:ind w:left="792"/>
    </w:pPr>
  </w:style>
  <w:style w:type="paragraph" w:customStyle="1" w:styleId="NoteNormal">
    <w:name w:val="Note Normal"/>
    <w:basedOn w:val="Normal"/>
    <w:rsid w:val="009A3986"/>
    <w:pPr>
      <w:spacing w:before="80" w:line="240" w:lineRule="auto"/>
    </w:pPr>
    <w:rPr>
      <w:rFonts w:eastAsia="Times New Roman" w:cstheme="minorHAnsi"/>
      <w:color w:val="000000"/>
      <w:spacing w:val="1"/>
      <w:sz w:val="16"/>
      <w:szCs w:val="16"/>
      <w:lang w:eastAsia="en-US"/>
    </w:rPr>
  </w:style>
  <w:style w:type="paragraph" w:customStyle="1" w:styleId="Spacer">
    <w:name w:val="Spacer"/>
    <w:basedOn w:val="Normal"/>
    <w:uiPriority w:val="13"/>
    <w:semiHidden/>
    <w:qFormat/>
    <w:rsid w:val="009A3986"/>
    <w:pPr>
      <w:spacing w:before="0" w:after="0" w:line="120" w:lineRule="atLeast"/>
    </w:pPr>
    <w:rPr>
      <w:rFonts w:eastAsia="Times New Roman" w:cs="Calibri"/>
      <w:sz w:val="10"/>
      <w:szCs w:val="22"/>
    </w:rPr>
  </w:style>
  <w:style w:type="paragraph" w:styleId="Subtitle">
    <w:name w:val="Subtitle"/>
    <w:next w:val="TertiaryTitle"/>
    <w:link w:val="SubtitleChar"/>
    <w:uiPriority w:val="45"/>
    <w:rsid w:val="009A3986"/>
    <w:pPr>
      <w:spacing w:before="200" w:after="120" w:line="440" w:lineRule="exact"/>
      <w:ind w:right="1829"/>
    </w:pPr>
    <w:rPr>
      <w:rFonts w:asciiTheme="majorHAnsi" w:eastAsia="Times New Roman" w:hAnsiTheme="majorHAnsi" w:cstheme="majorHAnsi"/>
      <w:sz w:val="32"/>
      <w:szCs w:val="32"/>
    </w:rPr>
  </w:style>
  <w:style w:type="character" w:customStyle="1" w:styleId="SubtitleChar">
    <w:name w:val="Subtitle Char"/>
    <w:basedOn w:val="DefaultParagraphFont"/>
    <w:link w:val="Subtitle"/>
    <w:uiPriority w:val="45"/>
    <w:rsid w:val="009A3986"/>
    <w:rPr>
      <w:rFonts w:asciiTheme="majorHAnsi" w:eastAsia="Times New Roman" w:hAnsiTheme="majorHAnsi" w:cstheme="majorHAnsi"/>
      <w:sz w:val="32"/>
      <w:szCs w:val="32"/>
    </w:rPr>
  </w:style>
  <w:style w:type="paragraph" w:customStyle="1" w:styleId="TertiaryTitle">
    <w:name w:val="Tertiary Title"/>
    <w:next w:val="Normal"/>
    <w:uiPriority w:val="99"/>
    <w:rsid w:val="009A3986"/>
    <w:pPr>
      <w:spacing w:before="0" w:after="0"/>
    </w:pPr>
    <w:rPr>
      <w:rFonts w:asciiTheme="majorHAnsi" w:eastAsia="Times New Roman" w:hAnsiTheme="majorHAnsi" w:cstheme="majorHAnsi"/>
      <w:color w:val="FFFFFF" w:themeColor="background1"/>
      <w:spacing w:val="-2"/>
      <w:szCs w:val="40"/>
      <w:lang w:eastAsia="en-US"/>
    </w:rPr>
  </w:style>
  <w:style w:type="paragraph" w:styleId="Title">
    <w:name w:val="Title"/>
    <w:next w:val="Subtitle"/>
    <w:link w:val="TitleChar"/>
    <w:uiPriority w:val="44"/>
    <w:qFormat/>
    <w:rsid w:val="009A3986"/>
    <w:pPr>
      <w:spacing w:before="200" w:after="0" w:line="216" w:lineRule="auto"/>
      <w:ind w:right="389"/>
    </w:pPr>
    <w:rPr>
      <w:rFonts w:asciiTheme="majorHAnsi" w:eastAsia="Times New Roman" w:hAnsiTheme="majorHAnsi" w:cstheme="majorHAnsi"/>
      <w:color w:val="3A3467" w:themeColor="text2"/>
      <w:sz w:val="48"/>
      <w:szCs w:val="48"/>
    </w:rPr>
  </w:style>
  <w:style w:type="character" w:customStyle="1" w:styleId="TitleChar">
    <w:name w:val="Title Char"/>
    <w:basedOn w:val="DefaultParagraphFont"/>
    <w:link w:val="Title"/>
    <w:uiPriority w:val="44"/>
    <w:rsid w:val="009A3986"/>
    <w:rPr>
      <w:rFonts w:asciiTheme="majorHAnsi" w:eastAsia="Times New Roman" w:hAnsiTheme="majorHAnsi" w:cstheme="majorHAnsi"/>
      <w:color w:val="3A3467" w:themeColor="text2"/>
      <w:sz w:val="48"/>
      <w:szCs w:val="48"/>
    </w:rPr>
  </w:style>
  <w:style w:type="paragraph" w:styleId="BalloonText">
    <w:name w:val="Balloon Text"/>
    <w:basedOn w:val="Normal"/>
    <w:link w:val="BalloonTextChar"/>
    <w:uiPriority w:val="99"/>
    <w:semiHidden/>
    <w:rsid w:val="009A39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3986"/>
    <w:rPr>
      <w:rFonts w:ascii="Tahoma" w:hAnsi="Tahoma" w:cs="Tahoma"/>
      <w:color w:val="232B39" w:themeColor="text1"/>
      <w:sz w:val="16"/>
      <w:szCs w:val="16"/>
    </w:rPr>
  </w:style>
  <w:style w:type="paragraph" w:customStyle="1" w:styleId="Bulletindent2">
    <w:name w:val="Bullet indent 2"/>
    <w:basedOn w:val="Normal"/>
    <w:uiPriority w:val="9"/>
    <w:qFormat/>
    <w:rsid w:val="009A3986"/>
    <w:pPr>
      <w:numPr>
        <w:ilvl w:val="3"/>
        <w:numId w:val="1"/>
      </w:numPr>
      <w:contextualSpacing/>
    </w:pPr>
  </w:style>
  <w:style w:type="paragraph" w:styleId="IndexHeading">
    <w:name w:val="index heading"/>
    <w:basedOn w:val="Normal"/>
    <w:next w:val="Index1"/>
    <w:uiPriority w:val="99"/>
    <w:semiHidden/>
    <w:rsid w:val="009A3986"/>
    <w:rPr>
      <w:rFonts w:asciiTheme="majorHAnsi" w:eastAsiaTheme="majorEastAsia" w:hAnsiTheme="majorHAnsi" w:cstheme="majorBidi"/>
      <w:b/>
      <w:bCs/>
    </w:rPr>
  </w:style>
  <w:style w:type="paragraph" w:styleId="Header">
    <w:name w:val="header"/>
    <w:basedOn w:val="Normal"/>
    <w:link w:val="HeaderChar"/>
    <w:uiPriority w:val="99"/>
    <w:semiHidden/>
    <w:rsid w:val="009A398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A3986"/>
    <w:rPr>
      <w:color w:val="232B39" w:themeColor="text1"/>
    </w:rPr>
  </w:style>
  <w:style w:type="paragraph" w:styleId="Footer">
    <w:name w:val="footer"/>
    <w:basedOn w:val="Normal"/>
    <w:link w:val="FooterChar"/>
    <w:uiPriority w:val="99"/>
    <w:rsid w:val="009A3986"/>
    <w:pPr>
      <w:tabs>
        <w:tab w:val="right" w:pos="9026"/>
      </w:tabs>
      <w:spacing w:before="0" w:after="0" w:line="240" w:lineRule="auto"/>
    </w:pPr>
    <w:rPr>
      <w:noProof/>
      <w:sz w:val="18"/>
      <w:szCs w:val="18"/>
    </w:rPr>
  </w:style>
  <w:style w:type="character" w:customStyle="1" w:styleId="FooterChar">
    <w:name w:val="Footer Char"/>
    <w:basedOn w:val="DefaultParagraphFont"/>
    <w:link w:val="Footer"/>
    <w:uiPriority w:val="99"/>
    <w:rsid w:val="009A3986"/>
    <w:rPr>
      <w:noProof/>
      <w:color w:val="232B39" w:themeColor="text1"/>
      <w:sz w:val="18"/>
      <w:szCs w:val="18"/>
    </w:rPr>
  </w:style>
  <w:style w:type="character" w:styleId="PageNumber">
    <w:name w:val="page number"/>
    <w:uiPriority w:val="49"/>
    <w:semiHidden/>
    <w:rsid w:val="009A3986"/>
    <w:rPr>
      <w:rFonts w:asciiTheme="minorHAnsi" w:hAnsiTheme="minorHAnsi"/>
      <w:b w:val="0"/>
      <w:color w:val="232B39" w:themeColor="text1"/>
    </w:rPr>
  </w:style>
  <w:style w:type="paragraph" w:styleId="TOCHeading">
    <w:name w:val="TOC Heading"/>
    <w:basedOn w:val="Heading1"/>
    <w:next w:val="Normal"/>
    <w:uiPriority w:val="38"/>
    <w:rsid w:val="009A3986"/>
    <w:pPr>
      <w:spacing w:before="440" w:after="440" w:line="276" w:lineRule="auto"/>
      <w:outlineLvl w:val="9"/>
    </w:pPr>
    <w:rPr>
      <w:spacing w:val="2"/>
    </w:rPr>
  </w:style>
  <w:style w:type="paragraph" w:customStyle="1" w:styleId="NormalTight">
    <w:name w:val="Normal Tight"/>
    <w:uiPriority w:val="99"/>
    <w:semiHidden/>
    <w:rsid w:val="009A3986"/>
    <w:pPr>
      <w:spacing w:before="0" w:after="0" w:line="240" w:lineRule="auto"/>
      <w:ind w:right="2366"/>
    </w:pPr>
    <w:rPr>
      <w:rFonts w:eastAsia="Times New Roman" w:cs="Calibri"/>
      <w:sz w:val="18"/>
      <w:szCs w:val="19"/>
      <w:lang w:eastAsia="en-US"/>
    </w:rPr>
  </w:style>
  <w:style w:type="paragraph" w:styleId="BodyText">
    <w:name w:val="Body Text"/>
    <w:basedOn w:val="Normal"/>
    <w:link w:val="BodyTextChar"/>
    <w:uiPriority w:val="49"/>
    <w:semiHidden/>
    <w:rsid w:val="009A3986"/>
    <w:pPr>
      <w:spacing w:before="100" w:line="240" w:lineRule="auto"/>
      <w:ind w:left="794"/>
    </w:pPr>
    <w:rPr>
      <w:rFonts w:ascii="Calibri" w:eastAsia="Times New Roman" w:hAnsi="Calibri" w:cs="Calibri"/>
      <w:sz w:val="22"/>
      <w:szCs w:val="22"/>
    </w:rPr>
  </w:style>
  <w:style w:type="character" w:customStyle="1" w:styleId="BodyTextChar">
    <w:name w:val="Body Text Char"/>
    <w:basedOn w:val="DefaultParagraphFont"/>
    <w:link w:val="BodyText"/>
    <w:uiPriority w:val="49"/>
    <w:semiHidden/>
    <w:rsid w:val="009A3986"/>
    <w:rPr>
      <w:rFonts w:ascii="Calibri" w:eastAsia="Times New Roman" w:hAnsi="Calibri" w:cs="Calibri"/>
      <w:color w:val="232B39" w:themeColor="text1"/>
      <w:sz w:val="22"/>
      <w:szCs w:val="22"/>
    </w:rPr>
  </w:style>
  <w:style w:type="paragraph" w:customStyle="1" w:styleId="Insidecoverspacer">
    <w:name w:val="Inside cover spacer"/>
    <w:basedOn w:val="NormalTight"/>
    <w:uiPriority w:val="99"/>
    <w:semiHidden/>
    <w:qFormat/>
    <w:rsid w:val="009A3986"/>
    <w:pPr>
      <w:spacing w:before="3800"/>
      <w:ind w:right="1382"/>
    </w:pPr>
  </w:style>
  <w:style w:type="paragraph" w:styleId="TOC4">
    <w:name w:val="toc 4"/>
    <w:basedOn w:val="TOC1"/>
    <w:next w:val="Normal"/>
    <w:uiPriority w:val="39"/>
    <w:rsid w:val="009A3986"/>
    <w:pPr>
      <w:spacing w:before="280"/>
      <w:ind w:left="446" w:right="29" w:hanging="446"/>
    </w:pPr>
    <w:rPr>
      <w:noProof/>
      <w:lang w:eastAsia="en-US"/>
    </w:rPr>
  </w:style>
  <w:style w:type="paragraph" w:styleId="TOC5">
    <w:name w:val="toc 5"/>
    <w:basedOn w:val="TOC2"/>
    <w:next w:val="Normal"/>
    <w:uiPriority w:val="39"/>
    <w:rsid w:val="009A3986"/>
    <w:pPr>
      <w:ind w:left="1080" w:hanging="634"/>
    </w:pPr>
    <w:rPr>
      <w:lang w:eastAsia="en-US"/>
    </w:rPr>
  </w:style>
  <w:style w:type="paragraph" w:styleId="TOC6">
    <w:name w:val="toc 6"/>
    <w:basedOn w:val="TOC3"/>
    <w:next w:val="Normal"/>
    <w:uiPriority w:val="39"/>
    <w:rsid w:val="009A3986"/>
    <w:pPr>
      <w:ind w:left="1800" w:hanging="720"/>
    </w:pPr>
    <w:rPr>
      <w:lang w:eastAsia="en-US"/>
    </w:rPr>
  </w:style>
  <w:style w:type="table" w:customStyle="1" w:styleId="DTFtexttable">
    <w:name w:val="DTF text table"/>
    <w:basedOn w:val="TableNormal"/>
    <w:uiPriority w:val="99"/>
    <w:rsid w:val="009A3986"/>
    <w:pPr>
      <w:spacing w:before="30" w:after="30" w:line="264" w:lineRule="auto"/>
    </w:pPr>
    <w:rPr>
      <w:rFonts w:eastAsiaTheme="minorHAnsi"/>
      <w:spacing w:val="2"/>
      <w:sz w:val="17"/>
      <w:szCs w:val="21"/>
      <w:lang w:eastAsia="en-US"/>
    </w:rPr>
    <w:tblPr>
      <w:tblStyleRowBandSize w:val="1"/>
      <w:tblStyleColBandSize w:val="1"/>
      <w:tblBorders>
        <w:bottom w:val="single" w:sz="12" w:space="0" w:color="68CEF2" w:themeColor="accent2"/>
        <w:insideH w:val="single" w:sz="6" w:space="0" w:color="A6A6A6" w:themeColor="background1" w:themeShade="A6"/>
      </w:tblBorders>
      <w:tblCellMar>
        <w:left w:w="57" w:type="dxa"/>
        <w:right w:w="57" w:type="dxa"/>
      </w:tblCellMar>
    </w:tblPr>
    <w:trPr>
      <w:cantSplit/>
    </w:trPr>
    <w:tblStylePr w:type="firstRow">
      <w:pPr>
        <w:keepNext/>
        <w:keepLines/>
        <w:widowControl/>
        <w:wordWrap/>
        <w:spacing w:beforeLines="0" w:before="120" w:beforeAutospacing="0" w:afterLines="0" w:after="30" w:afterAutospacing="0"/>
        <w:jc w:val="left"/>
      </w:pPr>
      <w:rPr>
        <w:b/>
        <w:i w:val="0"/>
        <w:color w:val="auto"/>
        <w:sz w:val="18"/>
      </w:rPr>
      <w:tblPr/>
      <w:tcPr>
        <w:shd w:val="clear" w:color="auto" w:fill="C2EBFA" w:themeFill="background2"/>
      </w:tcPr>
    </w:tblStylePr>
    <w:tblStylePr w:type="lastRow">
      <w:rPr>
        <w:b/>
      </w:rPr>
      <w:tblPr/>
      <w:tcPr>
        <w:tcBorders>
          <w:top w:val="single" w:sz="6" w:space="0" w:color="68CEF2" w:themeColor="accent2"/>
          <w:left w:val="nil"/>
          <w:bottom w:val="single" w:sz="12" w:space="0" w:color="68CEF2" w:themeColor="accent2"/>
          <w:right w:val="nil"/>
          <w:insideV w:val="nil"/>
        </w:tcBorders>
      </w:tcPr>
    </w:tblStylePr>
    <w:tblStylePr w:type="firstCol">
      <w:pPr>
        <w:jc w:val="left"/>
      </w:pPr>
      <w:tblPr/>
      <w:tcPr>
        <w:shd w:val="clear" w:color="auto" w:fill="F2F2F2" w:themeFill="background1" w:themeFillShade="F2"/>
      </w:tcPr>
    </w:tblStylePr>
    <w:tblStylePr w:type="lastCol">
      <w:pPr>
        <w:jc w:val="left"/>
      </w:pPr>
    </w:tblStylePr>
    <w:tblStylePr w:type="band1Vert">
      <w:pPr>
        <w:jc w:val="left"/>
      </w:pPr>
    </w:tblStylePr>
    <w:tblStylePr w:type="band2Vert">
      <w:pPr>
        <w:jc w:val="left"/>
      </w:pPr>
      <w:tblPr/>
      <w:tcPr>
        <w:shd w:val="clear" w:color="auto" w:fill="FFFFFF" w:themeFill="background1"/>
      </w:tcPr>
    </w:tblStylePr>
    <w:tblStylePr w:type="band2Horz">
      <w:tblPr/>
      <w:tcPr>
        <w:shd w:val="clear" w:color="auto" w:fill="FFFFFF" w:themeFill="background1"/>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
    <w:name w:val="DTF financial table"/>
    <w:basedOn w:val="TableNormal"/>
    <w:uiPriority w:val="99"/>
    <w:rsid w:val="009A3986"/>
    <w:pPr>
      <w:spacing w:before="30" w:after="30" w:line="264" w:lineRule="auto"/>
      <w:jc w:val="right"/>
    </w:pPr>
    <w:rPr>
      <w:rFonts w:eastAsiaTheme="minorHAnsi"/>
      <w:spacing w:val="2"/>
      <w:sz w:val="17"/>
      <w:szCs w:val="21"/>
      <w:lang w:eastAsia="en-US"/>
    </w:rPr>
    <w:tblPr>
      <w:tblStyleRowBandSize w:val="1"/>
      <w:tblStyleColBandSize w:val="1"/>
      <w:tblBorders>
        <w:bottom w:val="single" w:sz="12" w:space="0" w:color="68CEF2" w:themeColor="accent2"/>
      </w:tblBorders>
      <w:tblCellMar>
        <w:left w:w="57" w:type="dxa"/>
        <w:right w:w="57" w:type="dxa"/>
      </w:tblCellMar>
    </w:tblPr>
    <w:tblStylePr w:type="firstRow">
      <w:pPr>
        <w:keepNext/>
        <w:keepLines/>
        <w:widowControl/>
        <w:wordWrap/>
        <w:spacing w:beforeLines="0" w:before="120" w:beforeAutospacing="0" w:afterLines="0" w:after="30" w:afterAutospacing="0"/>
        <w:jc w:val="right"/>
      </w:pPr>
      <w:rPr>
        <w:b/>
        <w:i w:val="0"/>
        <w:color w:val="auto"/>
        <w:sz w:val="18"/>
      </w:rPr>
      <w:tblPr/>
      <w:tcPr>
        <w:tcBorders>
          <w:top w:val="nil"/>
          <w:left w:val="nil"/>
          <w:bottom w:val="nil"/>
          <w:right w:val="nil"/>
          <w:insideH w:val="nil"/>
          <w:insideV w:val="nil"/>
          <w:tl2br w:val="nil"/>
          <w:tr2bl w:val="nil"/>
        </w:tcBorders>
        <w:shd w:val="clear" w:color="auto" w:fill="C2EBFA" w:themeFill="background2"/>
      </w:tcPr>
    </w:tblStylePr>
    <w:tblStylePr w:type="lastRow">
      <w:rPr>
        <w:b/>
      </w:rPr>
      <w:tblPr/>
      <w:tcPr>
        <w:tcBorders>
          <w:top w:val="single" w:sz="6" w:space="0" w:color="0072CE" w:themeColor="accent1"/>
          <w:left w:val="nil"/>
          <w:bottom w:val="single" w:sz="12" w:space="0" w:color="0072CE" w:themeColor="accent1"/>
          <w:right w:val="nil"/>
          <w:insideV w:val="nil"/>
        </w:tcBorders>
      </w:tcPr>
    </w:tblStylePr>
    <w:tblStylePr w:type="firstCol">
      <w:pPr>
        <w:jc w:val="left"/>
      </w:pPr>
      <w:rPr>
        <w:color w:val="F2F2F2" w:themeColor="background1" w:themeShade="F2"/>
      </w:rPr>
      <w:tblPr/>
      <w:tcPr>
        <w:shd w:val="clear" w:color="auto" w:fill="F2F2F2" w:themeFill="background1" w:themeFillShade="F2"/>
      </w:tcPr>
    </w:tblStylePr>
    <w:tblStylePr w:type="band1Vert">
      <w:pPr>
        <w:jc w:val="right"/>
      </w:pPr>
    </w:tblStylePr>
    <w:tblStylePr w:type="band2Vert">
      <w:pPr>
        <w:jc w:val="right"/>
      </w:pPr>
    </w:tblStylePr>
    <w:tblStylePr w:type="band2Horz">
      <w:tblPr/>
      <w:tcPr>
        <w:shd w:val="clear" w:color="auto" w:fill="FFFFFF" w:themeFill="background1"/>
      </w:tcPr>
    </w:tblStylePr>
    <w:tblStylePr w:type="nwCell">
      <w:pPr>
        <w:jc w:val="left"/>
      </w:pPr>
      <w:tblPr/>
      <w:tcPr>
        <w:vAlign w:val="bottom"/>
      </w:tcPr>
    </w:tblStylePr>
  </w:style>
  <w:style w:type="paragraph" w:customStyle="1" w:styleId="Tabletext">
    <w:name w:val="Table text"/>
    <w:basedOn w:val="Normal"/>
    <w:uiPriority w:val="5"/>
    <w:qFormat/>
    <w:rsid w:val="009A3986"/>
    <w:pPr>
      <w:spacing w:before="60" w:after="60"/>
    </w:pPr>
    <w:rPr>
      <w:sz w:val="17"/>
    </w:rPr>
  </w:style>
  <w:style w:type="paragraph" w:customStyle="1" w:styleId="Tabletextright">
    <w:name w:val="Table text right"/>
    <w:basedOn w:val="Tabletext"/>
    <w:uiPriority w:val="5"/>
    <w:qFormat/>
    <w:rsid w:val="009A3986"/>
    <w:pPr>
      <w:jc w:val="right"/>
    </w:pPr>
  </w:style>
  <w:style w:type="paragraph" w:customStyle="1" w:styleId="Listnumindent2">
    <w:name w:val="List num indent 2"/>
    <w:basedOn w:val="Normal"/>
    <w:uiPriority w:val="9"/>
    <w:qFormat/>
    <w:rsid w:val="009A3986"/>
    <w:pPr>
      <w:numPr>
        <w:ilvl w:val="7"/>
        <w:numId w:val="12"/>
      </w:numPr>
      <w:spacing w:before="100"/>
      <w:contextualSpacing/>
    </w:pPr>
  </w:style>
  <w:style w:type="paragraph" w:customStyle="1" w:styleId="Listnumindent">
    <w:name w:val="List num indent"/>
    <w:basedOn w:val="Normal"/>
    <w:uiPriority w:val="9"/>
    <w:qFormat/>
    <w:rsid w:val="009A3986"/>
    <w:pPr>
      <w:numPr>
        <w:ilvl w:val="6"/>
        <w:numId w:val="12"/>
      </w:numPr>
      <w:spacing w:before="100"/>
    </w:pPr>
  </w:style>
  <w:style w:type="paragraph" w:customStyle="1" w:styleId="Listnum">
    <w:name w:val="List num"/>
    <w:basedOn w:val="Normal"/>
    <w:uiPriority w:val="2"/>
    <w:qFormat/>
    <w:rsid w:val="009A3986"/>
    <w:pPr>
      <w:numPr>
        <w:numId w:val="12"/>
      </w:numPr>
    </w:pPr>
  </w:style>
  <w:style w:type="paragraph" w:customStyle="1" w:styleId="Listnum2">
    <w:name w:val="List num 2"/>
    <w:basedOn w:val="Normal"/>
    <w:uiPriority w:val="2"/>
    <w:qFormat/>
    <w:rsid w:val="009A3986"/>
    <w:pPr>
      <w:numPr>
        <w:ilvl w:val="1"/>
        <w:numId w:val="12"/>
      </w:numPr>
    </w:pPr>
  </w:style>
  <w:style w:type="paragraph" w:customStyle="1" w:styleId="Tabletextcentred">
    <w:name w:val="Table text centred"/>
    <w:basedOn w:val="Tabletext"/>
    <w:uiPriority w:val="5"/>
    <w:qFormat/>
    <w:rsid w:val="009A3986"/>
    <w:pPr>
      <w:jc w:val="center"/>
    </w:pPr>
  </w:style>
  <w:style w:type="paragraph" w:customStyle="1" w:styleId="Tableheader">
    <w:name w:val="Table header"/>
    <w:basedOn w:val="Tabletext"/>
    <w:uiPriority w:val="5"/>
    <w:qFormat/>
    <w:rsid w:val="009A3986"/>
    <w:pPr>
      <w:keepNext/>
      <w:spacing w:before="120"/>
    </w:pPr>
    <w:rPr>
      <w:rFonts w:eastAsiaTheme="minorHAnsi"/>
      <w:spacing w:val="2"/>
      <w:sz w:val="18"/>
      <w:szCs w:val="18"/>
      <w:lang w:eastAsia="en-US"/>
    </w:rPr>
  </w:style>
  <w:style w:type="paragraph" w:customStyle="1" w:styleId="Tablebullet">
    <w:name w:val="Table bullet"/>
    <w:basedOn w:val="Tabletext"/>
    <w:uiPriority w:val="6"/>
    <w:rsid w:val="009A3986"/>
    <w:pPr>
      <w:numPr>
        <w:numId w:val="2"/>
      </w:numPr>
    </w:pPr>
  </w:style>
  <w:style w:type="paragraph" w:customStyle="1" w:styleId="Tabledash">
    <w:name w:val="Table dash"/>
    <w:basedOn w:val="Tablebullet"/>
    <w:uiPriority w:val="6"/>
    <w:rsid w:val="009A3986"/>
    <w:pPr>
      <w:numPr>
        <w:ilvl w:val="1"/>
      </w:numPr>
    </w:pPr>
  </w:style>
  <w:style w:type="paragraph" w:customStyle="1" w:styleId="Tabletextindent">
    <w:name w:val="Table text indent"/>
    <w:basedOn w:val="Tabletext"/>
    <w:uiPriority w:val="5"/>
    <w:qFormat/>
    <w:rsid w:val="009A3986"/>
    <w:pPr>
      <w:ind w:left="288"/>
    </w:pPr>
  </w:style>
  <w:style w:type="paragraph" w:customStyle="1" w:styleId="Numpara">
    <w:name w:val="Num para"/>
    <w:basedOn w:val="ListParagraph"/>
    <w:uiPriority w:val="2"/>
    <w:qFormat/>
    <w:rsid w:val="009A3986"/>
    <w:pPr>
      <w:numPr>
        <w:numId w:val="10"/>
      </w:numPr>
      <w:tabs>
        <w:tab w:val="left" w:pos="540"/>
      </w:tabs>
    </w:pPr>
  </w:style>
  <w:style w:type="paragraph" w:styleId="ListParagraph">
    <w:name w:val="List Paragraph"/>
    <w:basedOn w:val="Normal"/>
    <w:link w:val="ListParagraphChar"/>
    <w:uiPriority w:val="34"/>
    <w:qFormat/>
    <w:rsid w:val="009A3986"/>
    <w:pPr>
      <w:ind w:left="720"/>
      <w:contextualSpacing/>
    </w:pPr>
  </w:style>
  <w:style w:type="paragraph" w:styleId="FootnoteText">
    <w:name w:val="footnote text"/>
    <w:basedOn w:val="Normal"/>
    <w:link w:val="FootnoteTextChar"/>
    <w:uiPriority w:val="99"/>
    <w:semiHidden/>
    <w:rsid w:val="009A3986"/>
    <w:pPr>
      <w:spacing w:before="0" w:after="0" w:line="240" w:lineRule="auto"/>
    </w:pPr>
    <w:rPr>
      <w:sz w:val="17"/>
    </w:rPr>
  </w:style>
  <w:style w:type="character" w:customStyle="1" w:styleId="FootnoteTextChar">
    <w:name w:val="Footnote Text Char"/>
    <w:basedOn w:val="DefaultParagraphFont"/>
    <w:link w:val="FootnoteText"/>
    <w:uiPriority w:val="99"/>
    <w:semiHidden/>
    <w:rsid w:val="009A3986"/>
    <w:rPr>
      <w:color w:val="232B39" w:themeColor="text1"/>
      <w:sz w:val="17"/>
    </w:rPr>
  </w:style>
  <w:style w:type="character" w:styleId="FootnoteReference">
    <w:name w:val="footnote reference"/>
    <w:basedOn w:val="DefaultParagraphFont"/>
    <w:uiPriority w:val="99"/>
    <w:semiHidden/>
    <w:rsid w:val="009A3986"/>
    <w:rPr>
      <w:vertAlign w:val="superscript"/>
    </w:rPr>
  </w:style>
  <w:style w:type="table" w:customStyle="1" w:styleId="DTFfinancialtableindent">
    <w:name w:val="DTF financial table indent"/>
    <w:basedOn w:val="DTFfinancialtable"/>
    <w:uiPriority w:val="99"/>
    <w:rsid w:val="009A3986"/>
    <w:pPr>
      <w:spacing w:after="0" w:line="240" w:lineRule="auto"/>
    </w:pPr>
    <w:tblPr>
      <w:tblInd w:w="864" w:type="dxa"/>
    </w:tblPr>
    <w:tblStylePr w:type="firstRow">
      <w:pPr>
        <w:keepNext/>
        <w:keepLines/>
        <w:widowControl/>
        <w:wordWrap/>
        <w:spacing w:beforeLines="0" w:before="120" w:beforeAutospacing="0" w:afterLines="0" w:after="30" w:afterAutospacing="0"/>
        <w:jc w:val="right"/>
      </w:pPr>
      <w:rPr>
        <w:b/>
        <w:i w:val="0"/>
        <w:color w:val="auto"/>
        <w:sz w:val="18"/>
      </w:rPr>
      <w:tblPr/>
      <w:tcPr>
        <w:tcBorders>
          <w:top w:val="nil"/>
          <w:left w:val="nil"/>
          <w:bottom w:val="nil"/>
          <w:right w:val="nil"/>
          <w:insideH w:val="nil"/>
          <w:insideV w:val="nil"/>
          <w:tl2br w:val="nil"/>
          <w:tr2bl w:val="nil"/>
        </w:tcBorders>
        <w:shd w:val="clear" w:color="auto" w:fill="C2EBFA" w:themeFill="background2"/>
      </w:tcPr>
    </w:tblStylePr>
    <w:tblStylePr w:type="lastRow">
      <w:rPr>
        <w:b/>
      </w:rPr>
      <w:tblPr/>
      <w:tcPr>
        <w:tcBorders>
          <w:top w:val="single" w:sz="6" w:space="0" w:color="0072CE" w:themeColor="accent1"/>
          <w:left w:val="nil"/>
          <w:bottom w:val="single" w:sz="12" w:space="0" w:color="0072CE" w:themeColor="accent1"/>
          <w:right w:val="nil"/>
          <w:insideV w:val="nil"/>
        </w:tcBorders>
      </w:tcPr>
    </w:tblStylePr>
    <w:tblStylePr w:type="firstCol">
      <w:pPr>
        <w:jc w:val="left"/>
      </w:pPr>
      <w:rPr>
        <w:color w:val="F2F2F2" w:themeColor="background1" w:themeShade="F2"/>
      </w:rPr>
      <w:tblPr/>
      <w:tcPr>
        <w:shd w:val="clear" w:color="auto" w:fill="F2F2F2" w:themeFill="background1" w:themeFillShade="F2"/>
      </w:tcPr>
    </w:tblStylePr>
    <w:tblStylePr w:type="band1Vert">
      <w:pPr>
        <w:jc w:val="right"/>
      </w:pPr>
    </w:tblStylePr>
    <w:tblStylePr w:type="band2Vert">
      <w:pPr>
        <w:jc w:val="right"/>
      </w:pPr>
    </w:tblStylePr>
    <w:tblStylePr w:type="band2Horz">
      <w:tblPr/>
      <w:tcPr>
        <w:shd w:val="clear" w:color="auto" w:fill="FFFFFF" w:themeFill="background1"/>
      </w:tcPr>
    </w:tblStylePr>
    <w:tblStylePr w:type="nwCell">
      <w:pPr>
        <w:jc w:val="left"/>
      </w:pPr>
      <w:tblPr/>
      <w:tcPr>
        <w:vAlign w:val="bottom"/>
      </w:tcPr>
    </w:tblStylePr>
  </w:style>
  <w:style w:type="table" w:customStyle="1" w:styleId="DTFtexttableindent">
    <w:name w:val="DTF text table indent"/>
    <w:basedOn w:val="DTFtexttable"/>
    <w:uiPriority w:val="99"/>
    <w:rsid w:val="009A3986"/>
    <w:pPr>
      <w:spacing w:after="0" w:line="240" w:lineRule="auto"/>
    </w:pPr>
    <w:tblPr>
      <w:tblInd w:w="864" w:type="dxa"/>
    </w:tblPr>
    <w:tblStylePr w:type="firstRow">
      <w:pPr>
        <w:keepNext/>
        <w:keepLines/>
        <w:widowControl/>
        <w:wordWrap/>
        <w:spacing w:beforeLines="0" w:before="120" w:beforeAutospacing="0" w:afterLines="0" w:after="30" w:afterAutospacing="0"/>
        <w:jc w:val="left"/>
      </w:pPr>
      <w:rPr>
        <w:b/>
        <w:i w:val="0"/>
        <w:color w:val="auto"/>
        <w:sz w:val="18"/>
      </w:rPr>
      <w:tblPr/>
      <w:tcPr>
        <w:shd w:val="clear" w:color="auto" w:fill="C2EBFA" w:themeFill="background2"/>
      </w:tcPr>
    </w:tblStylePr>
    <w:tblStylePr w:type="lastRow">
      <w:rPr>
        <w:b/>
      </w:rPr>
      <w:tblPr/>
      <w:tcPr>
        <w:tcBorders>
          <w:top w:val="single" w:sz="6" w:space="0" w:color="0072CE" w:themeColor="accent1"/>
          <w:left w:val="nil"/>
          <w:bottom w:val="single" w:sz="12" w:space="0" w:color="0072CE" w:themeColor="accent1"/>
          <w:right w:val="nil"/>
          <w:insideV w:val="nil"/>
        </w:tcBorders>
      </w:tcPr>
    </w:tblStylePr>
    <w:tblStylePr w:type="firstCol">
      <w:pPr>
        <w:jc w:val="left"/>
      </w:pPr>
      <w:tblPr/>
      <w:tcPr>
        <w:shd w:val="clear" w:color="auto" w:fill="F2F2F2" w:themeFill="background1" w:themeFillShade="F2"/>
      </w:tcPr>
    </w:tblStylePr>
    <w:tblStylePr w:type="lastCol">
      <w:pPr>
        <w:jc w:val="left"/>
      </w:pPr>
    </w:tblStylePr>
    <w:tblStylePr w:type="band1Vert">
      <w:pPr>
        <w:jc w:val="left"/>
      </w:pPr>
    </w:tblStylePr>
    <w:tblStylePr w:type="band2Vert">
      <w:pPr>
        <w:jc w:val="left"/>
      </w:pPr>
      <w:tblPr/>
      <w:tcPr>
        <w:shd w:val="clear" w:color="auto" w:fill="FFFFFF" w:themeFill="background1"/>
      </w:tcPr>
    </w:tblStylePr>
    <w:tblStylePr w:type="band2Horz">
      <w:tblPr/>
      <w:tcPr>
        <w:shd w:val="clear" w:color="auto" w:fill="FFFFFF" w:themeFill="background1"/>
      </w:tcPr>
    </w:tblStylePr>
    <w:tblStylePr w:type="neCell">
      <w:pPr>
        <w:jc w:val="left"/>
      </w:pPr>
    </w:tblStylePr>
    <w:tblStylePr w:type="nwCell">
      <w:pPr>
        <w:jc w:val="left"/>
      </w:pPr>
    </w:tblStylePr>
    <w:tblStylePr w:type="seCell">
      <w:pPr>
        <w:jc w:val="left"/>
      </w:pPr>
    </w:tblStylePr>
    <w:tblStylePr w:type="swCell">
      <w:pPr>
        <w:jc w:val="left"/>
      </w:pPr>
    </w:tblStylePr>
  </w:style>
  <w:style w:type="paragraph" w:customStyle="1" w:styleId="Numparaindent">
    <w:name w:val="Num para indent"/>
    <w:basedOn w:val="Numpara"/>
    <w:uiPriority w:val="9"/>
    <w:qFormat/>
    <w:rsid w:val="009A3986"/>
    <w:pPr>
      <w:numPr>
        <w:ilvl w:val="8"/>
        <w:numId w:val="12"/>
      </w:numPr>
      <w:tabs>
        <w:tab w:val="clear" w:pos="540"/>
      </w:tabs>
    </w:pPr>
  </w:style>
  <w:style w:type="paragraph" w:customStyle="1" w:styleId="Tablenum1">
    <w:name w:val="Table num 1"/>
    <w:basedOn w:val="Normal"/>
    <w:uiPriority w:val="6"/>
    <w:rsid w:val="009A3986"/>
    <w:pPr>
      <w:numPr>
        <w:ilvl w:val="2"/>
        <w:numId w:val="2"/>
      </w:numPr>
      <w:spacing w:before="60" w:after="60"/>
    </w:pPr>
    <w:rPr>
      <w:sz w:val="17"/>
    </w:rPr>
  </w:style>
  <w:style w:type="paragraph" w:customStyle="1" w:styleId="Tablenum2">
    <w:name w:val="Table num 2"/>
    <w:basedOn w:val="Normal"/>
    <w:uiPriority w:val="6"/>
    <w:rsid w:val="009A3986"/>
    <w:pPr>
      <w:numPr>
        <w:ilvl w:val="3"/>
        <w:numId w:val="2"/>
      </w:numPr>
      <w:spacing w:before="60" w:after="60"/>
    </w:pPr>
    <w:rPr>
      <w:sz w:val="17"/>
    </w:rPr>
  </w:style>
  <w:style w:type="paragraph" w:customStyle="1" w:styleId="NoteNormalindent">
    <w:name w:val="Note Normal indent"/>
    <w:basedOn w:val="NoteNormal"/>
    <w:uiPriority w:val="9"/>
    <w:rsid w:val="009A3986"/>
    <w:pPr>
      <w:ind w:left="792"/>
    </w:pPr>
  </w:style>
  <w:style w:type="paragraph" w:styleId="Caption">
    <w:name w:val="caption"/>
    <w:basedOn w:val="Normal"/>
    <w:next w:val="Normal"/>
    <w:uiPriority w:val="5"/>
    <w:rsid w:val="009A3986"/>
    <w:pPr>
      <w:spacing w:before="200" w:after="60" w:line="240" w:lineRule="auto"/>
    </w:pPr>
    <w:rPr>
      <w:rFonts w:asciiTheme="majorHAnsi" w:hAnsiTheme="majorHAnsi"/>
      <w:bCs/>
      <w:color w:val="3A3467" w:themeColor="text2"/>
      <w:sz w:val="18"/>
      <w:szCs w:val="18"/>
    </w:rPr>
  </w:style>
  <w:style w:type="paragraph" w:styleId="ListNumber">
    <w:name w:val="List Number"/>
    <w:basedOn w:val="Normal"/>
    <w:uiPriority w:val="7"/>
    <w:semiHidden/>
    <w:qFormat/>
    <w:rsid w:val="006D5CDD"/>
    <w:pPr>
      <w:numPr>
        <w:numId w:val="3"/>
      </w:numPr>
      <w:spacing w:before="100" w:line="260" w:lineRule="atLeast"/>
      <w:contextualSpacing/>
    </w:pPr>
    <w:rPr>
      <w:rFonts w:ascii="Calibri" w:eastAsia="Times New Roman" w:hAnsi="Calibri" w:cs="Calibri"/>
      <w:sz w:val="22"/>
      <w:szCs w:val="22"/>
    </w:rPr>
  </w:style>
  <w:style w:type="paragraph" w:styleId="ListNumber2">
    <w:name w:val="List Number 2"/>
    <w:basedOn w:val="Normal"/>
    <w:uiPriority w:val="7"/>
    <w:semiHidden/>
    <w:rsid w:val="006D5CDD"/>
    <w:pPr>
      <w:numPr>
        <w:ilvl w:val="1"/>
        <w:numId w:val="3"/>
      </w:numPr>
      <w:spacing w:before="100" w:line="260" w:lineRule="atLeast"/>
      <w:contextualSpacing/>
    </w:pPr>
    <w:rPr>
      <w:rFonts w:ascii="Calibri" w:eastAsia="Times New Roman" w:hAnsi="Calibri" w:cs="Calibri"/>
      <w:sz w:val="22"/>
      <w:szCs w:val="22"/>
    </w:rPr>
  </w:style>
  <w:style w:type="paragraph" w:styleId="ListNumber3">
    <w:name w:val="List Number 3"/>
    <w:basedOn w:val="Normal"/>
    <w:uiPriority w:val="7"/>
    <w:semiHidden/>
    <w:rsid w:val="006D5CDD"/>
    <w:pPr>
      <w:numPr>
        <w:ilvl w:val="2"/>
        <w:numId w:val="3"/>
      </w:numPr>
      <w:spacing w:before="100" w:line="260" w:lineRule="atLeast"/>
      <w:contextualSpacing/>
    </w:pPr>
    <w:rPr>
      <w:rFonts w:ascii="Calibri" w:eastAsia="Times New Roman" w:hAnsi="Calibri" w:cs="Calibri"/>
      <w:sz w:val="22"/>
      <w:szCs w:val="22"/>
    </w:rPr>
  </w:style>
  <w:style w:type="paragraph" w:styleId="NormalWeb">
    <w:name w:val="Normal (Web)"/>
    <w:basedOn w:val="Normal"/>
    <w:uiPriority w:val="99"/>
    <w:semiHidden/>
    <w:unhideWhenUsed/>
    <w:rsid w:val="00B116EB"/>
    <w:pPr>
      <w:spacing w:before="100" w:beforeAutospacing="1" w:afterAutospacing="1" w:line="240" w:lineRule="auto"/>
    </w:pPr>
    <w:rPr>
      <w:rFonts w:ascii="Times New Roman" w:hAnsi="Times New Roman" w:cs="Times New Roman"/>
      <w:sz w:val="24"/>
      <w:szCs w:val="24"/>
    </w:rPr>
  </w:style>
  <w:style w:type="paragraph" w:styleId="Revision">
    <w:name w:val="Revision"/>
    <w:hidden/>
    <w:uiPriority w:val="99"/>
    <w:semiHidden/>
    <w:rsid w:val="00E43340"/>
    <w:pPr>
      <w:spacing w:after="0" w:line="240" w:lineRule="auto"/>
    </w:pPr>
    <w:rPr>
      <w:spacing w:val="2"/>
    </w:rPr>
  </w:style>
  <w:style w:type="character" w:styleId="CommentReference">
    <w:name w:val="annotation reference"/>
    <w:basedOn w:val="DefaultParagraphFont"/>
    <w:uiPriority w:val="99"/>
    <w:semiHidden/>
    <w:unhideWhenUsed/>
    <w:rsid w:val="00A95138"/>
    <w:rPr>
      <w:sz w:val="16"/>
      <w:szCs w:val="16"/>
    </w:rPr>
  </w:style>
  <w:style w:type="paragraph" w:styleId="CommentText">
    <w:name w:val="annotation text"/>
    <w:basedOn w:val="Normal"/>
    <w:link w:val="CommentTextChar"/>
    <w:uiPriority w:val="99"/>
    <w:unhideWhenUsed/>
    <w:rsid w:val="00A95138"/>
    <w:pPr>
      <w:spacing w:line="240" w:lineRule="auto"/>
    </w:pPr>
  </w:style>
  <w:style w:type="character" w:customStyle="1" w:styleId="CommentTextChar">
    <w:name w:val="Comment Text Char"/>
    <w:basedOn w:val="DefaultParagraphFont"/>
    <w:link w:val="CommentText"/>
    <w:uiPriority w:val="99"/>
    <w:rsid w:val="00A95138"/>
    <w:rPr>
      <w:spacing w:val="2"/>
    </w:rPr>
  </w:style>
  <w:style w:type="paragraph" w:styleId="CommentSubject">
    <w:name w:val="annotation subject"/>
    <w:basedOn w:val="CommentText"/>
    <w:next w:val="CommentText"/>
    <w:link w:val="CommentSubjectChar"/>
    <w:uiPriority w:val="99"/>
    <w:semiHidden/>
    <w:unhideWhenUsed/>
    <w:rsid w:val="00A95138"/>
    <w:rPr>
      <w:b/>
      <w:bCs/>
    </w:rPr>
  </w:style>
  <w:style w:type="character" w:customStyle="1" w:styleId="CommentSubjectChar">
    <w:name w:val="Comment Subject Char"/>
    <w:basedOn w:val="CommentTextChar"/>
    <w:link w:val="CommentSubject"/>
    <w:uiPriority w:val="99"/>
    <w:semiHidden/>
    <w:rsid w:val="00A95138"/>
    <w:rPr>
      <w:b/>
      <w:bCs/>
      <w:spacing w:val="2"/>
    </w:rPr>
  </w:style>
  <w:style w:type="character" w:customStyle="1" w:styleId="ListParagraphChar">
    <w:name w:val="List Paragraph Char"/>
    <w:basedOn w:val="DefaultParagraphFont"/>
    <w:link w:val="ListParagraph"/>
    <w:uiPriority w:val="34"/>
    <w:rsid w:val="00D74108"/>
    <w:rPr>
      <w:color w:val="232B39" w:themeColor="text1"/>
    </w:rPr>
  </w:style>
  <w:style w:type="character" w:styleId="UnresolvedMention">
    <w:name w:val="Unresolved Mention"/>
    <w:basedOn w:val="DefaultParagraphFont"/>
    <w:uiPriority w:val="99"/>
    <w:semiHidden/>
    <w:rsid w:val="009A3986"/>
    <w:rPr>
      <w:color w:val="605E5C"/>
      <w:shd w:val="clear" w:color="auto" w:fill="E1DFDD"/>
    </w:rPr>
  </w:style>
  <w:style w:type="character" w:styleId="Mention">
    <w:name w:val="Mention"/>
    <w:basedOn w:val="DefaultParagraphFont"/>
    <w:uiPriority w:val="99"/>
    <w:unhideWhenUsed/>
    <w:rsid w:val="004434A0"/>
    <w:rPr>
      <w:color w:val="2B579A"/>
      <w:shd w:val="clear" w:color="auto" w:fill="E1DFDD"/>
    </w:rPr>
  </w:style>
  <w:style w:type="character" w:customStyle="1" w:styleId="Heading5Char">
    <w:name w:val="Heading 5 Char"/>
    <w:basedOn w:val="DefaultParagraphFont"/>
    <w:link w:val="Heading5"/>
    <w:semiHidden/>
    <w:rsid w:val="009A3986"/>
    <w:rPr>
      <w:rFonts w:asciiTheme="majorHAnsi" w:eastAsiaTheme="majorEastAsia" w:hAnsiTheme="majorHAnsi" w:cstheme="majorBidi"/>
      <w:color w:val="3A3467" w:themeColor="text2"/>
    </w:rPr>
  </w:style>
  <w:style w:type="paragraph" w:customStyle="1" w:styleId="Captionindent">
    <w:name w:val="Caption indent"/>
    <w:basedOn w:val="Caption"/>
    <w:uiPriority w:val="7"/>
    <w:qFormat/>
    <w:rsid w:val="009A3986"/>
    <w:pPr>
      <w:spacing w:before="240"/>
      <w:ind w:left="792"/>
    </w:pPr>
  </w:style>
  <w:style w:type="paragraph" w:customStyle="1" w:styleId="CM">
    <w:name w:val="CM"/>
    <w:next w:val="Normal"/>
    <w:uiPriority w:val="79"/>
    <w:semiHidden/>
    <w:rsid w:val="009A3986"/>
    <w:pPr>
      <w:spacing w:before="0" w:after="800" w:line="240" w:lineRule="auto"/>
      <w:ind w:right="2909"/>
    </w:pPr>
    <w:rPr>
      <w:caps/>
    </w:rPr>
  </w:style>
  <w:style w:type="paragraph" w:customStyle="1" w:styleId="CoverSpacer">
    <w:name w:val="CoverSpacer"/>
    <w:basedOn w:val="Normal"/>
    <w:semiHidden/>
    <w:qFormat/>
    <w:rsid w:val="009A3986"/>
    <w:pPr>
      <w:spacing w:before="4600" w:after="0"/>
    </w:pPr>
  </w:style>
  <w:style w:type="character" w:styleId="FollowedHyperlink">
    <w:name w:val="FollowedHyperlink"/>
    <w:basedOn w:val="DefaultParagraphFont"/>
    <w:uiPriority w:val="99"/>
    <w:semiHidden/>
    <w:rsid w:val="009A3986"/>
    <w:rPr>
      <w:color w:val="808080" w:themeColor="background1" w:themeShade="80"/>
      <w:u w:val="none"/>
    </w:rPr>
  </w:style>
  <w:style w:type="character" w:styleId="PlaceholderText">
    <w:name w:val="Placeholder Text"/>
    <w:basedOn w:val="DefaultParagraphFont"/>
    <w:uiPriority w:val="99"/>
    <w:semiHidden/>
    <w:rsid w:val="009A3986"/>
    <w:rPr>
      <w:color w:val="808080"/>
    </w:rPr>
  </w:style>
  <w:style w:type="table" w:styleId="PlainTable4">
    <w:name w:val="Plain Table 4"/>
    <w:basedOn w:val="TableNormal"/>
    <w:uiPriority w:val="44"/>
    <w:rsid w:val="009A3986"/>
    <w:pPr>
      <w:spacing w:before="0"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Quote">
    <w:name w:val="Quote"/>
    <w:basedOn w:val="Normal"/>
    <w:next w:val="Normal"/>
    <w:link w:val="QuoteChar"/>
    <w:uiPriority w:val="14"/>
    <w:qFormat/>
    <w:rsid w:val="009A3986"/>
    <w:pPr>
      <w:pBdr>
        <w:top w:val="single" w:sz="12" w:space="6" w:color="C2EBFA" w:themeColor="background2"/>
        <w:bottom w:val="single" w:sz="12" w:space="4" w:color="C2EBFA" w:themeColor="background2"/>
      </w:pBdr>
      <w:tabs>
        <w:tab w:val="right" w:pos="8162"/>
      </w:tabs>
      <w:spacing w:before="200" w:after="200" w:line="288" w:lineRule="auto"/>
      <w:ind w:left="720" w:right="864"/>
    </w:pPr>
    <w:rPr>
      <w:i/>
      <w:iCs/>
      <w:color w:val="4B5B79" w:themeColor="text1" w:themeTint="BF"/>
      <w:sz w:val="18"/>
      <w:szCs w:val="18"/>
    </w:rPr>
  </w:style>
  <w:style w:type="character" w:customStyle="1" w:styleId="QuoteChar">
    <w:name w:val="Quote Char"/>
    <w:basedOn w:val="DefaultParagraphFont"/>
    <w:link w:val="Quote"/>
    <w:uiPriority w:val="14"/>
    <w:rsid w:val="009A3986"/>
    <w:rPr>
      <w:i/>
      <w:iCs/>
      <w:color w:val="4B5B79" w:themeColor="text1" w:themeTint="BF"/>
      <w:sz w:val="18"/>
      <w:szCs w:val="18"/>
    </w:rPr>
  </w:style>
  <w:style w:type="paragraph" w:customStyle="1" w:styleId="ReportDate">
    <w:name w:val="ReportDate"/>
    <w:uiPriority w:val="79"/>
    <w:semiHidden/>
    <w:rsid w:val="009A3986"/>
    <w:pPr>
      <w:spacing w:before="0" w:after="0" w:line="240" w:lineRule="auto"/>
      <w:ind w:right="2909"/>
    </w:pPr>
    <w:rPr>
      <w:b/>
      <w:bCs/>
      <w:cap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aclsfinance@dgs.vic.gov.au"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webSettings" Target="webSetting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DTF corporate blue">
      <a:dk1>
        <a:srgbClr val="232B39"/>
      </a:dk1>
      <a:lt1>
        <a:sysClr val="window" lastClr="FFFFFF"/>
      </a:lt1>
      <a:dk2>
        <a:srgbClr val="3A3467"/>
      </a:dk2>
      <a:lt2>
        <a:srgbClr val="C2EBFA"/>
      </a:lt2>
      <a:accent1>
        <a:srgbClr val="0072CE"/>
      </a:accent1>
      <a:accent2>
        <a:srgbClr val="68CEF2"/>
      </a:accent2>
      <a:accent3>
        <a:srgbClr val="004C97"/>
      </a:accent3>
      <a:accent4>
        <a:srgbClr val="D3D5D7"/>
      </a:accent4>
      <a:accent5>
        <a:srgbClr val="5BBD74"/>
      </a:accent5>
      <a:accent6>
        <a:srgbClr val="D4E15F"/>
      </a:accent6>
      <a:hlink>
        <a:srgbClr val="53565A"/>
      </a:hlink>
      <a:folHlink>
        <a:srgbClr val="999999"/>
      </a:folHlink>
    </a:clrScheme>
    <a:fontScheme name="Brand Vic">
      <a:majorFont>
        <a:latin typeface="VIC SemiBold"/>
        <a:ea typeface=""/>
        <a:cs typeface=""/>
      </a:majorFont>
      <a:minorFont>
        <a:latin typeface="V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6e3d215-38fc-4294-ac6f-e1813d9666dd" xsi:nil="true"/>
    <_dlc_DocId xmlns="b6e3d215-38fc-4294-ac6f-e1813d9666dd">63PAK4U6Z4MQ-1289146740-79070</_dlc_DocId>
    <_dlc_DocIdUrl xmlns="b6e3d215-38fc-4294-ac6f-e1813d9666dd">
      <Url>https://vicgov.sharepoint.com/sites/DTFStrategicCommunications/_layouts/15/DocIdRedir.aspx?ID=63PAK4U6Z4MQ-1289146740-79070</Url>
      <Description>63PAK4U6Z4MQ-1289146740-79070</Description>
    </_dlc_DocIdUrl>
    <lcf76f155ced4ddcb4097134ff3c332f xmlns="e1efcbdc-f8f0-4bac-929e-ffe707bb6387">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2859DFB47952C4E911DE9714EC95DB1" ma:contentTypeVersion="13" ma:contentTypeDescription="Create a new document." ma:contentTypeScope="" ma:versionID="6e4e2ff3ba7717f958608179b97d9bf0">
  <xsd:schema xmlns:xsd="http://www.w3.org/2001/XMLSchema" xmlns:xs="http://www.w3.org/2001/XMLSchema" xmlns:p="http://schemas.microsoft.com/office/2006/metadata/properties" xmlns:ns2="b6e3d215-38fc-4294-ac6f-e1813d9666dd" xmlns:ns3="e1efcbdc-f8f0-4bac-929e-ffe707bb6387" targetNamespace="http://schemas.microsoft.com/office/2006/metadata/properties" ma:root="true" ma:fieldsID="3e1471c583a5f483d917753c0b9ccc7b" ns2:_="" ns3:_="">
    <xsd:import namespace="b6e3d215-38fc-4294-ac6f-e1813d9666dd"/>
    <xsd:import namespace="e1efcbdc-f8f0-4bac-929e-ffe707bb6387"/>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DateTaken" minOccurs="0"/>
                <xsd:element ref="ns3:MediaServiceGenerationTime" minOccurs="0"/>
                <xsd:element ref="ns3:MediaServiceEventHashCode" minOccurs="0"/>
                <xsd:element ref="ns3:MediaServiceOCR"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e3d215-38fc-4294-ac6f-e1813d9666d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7" nillable="true" ma:displayName="Taxonomy Catch All Column" ma:hidden="true" ma:list="{0a531579-585f-4194-aed9-1ac5952e811b}" ma:internalName="TaxCatchAll" ma:showField="CatchAllData" ma:web="b6e3d215-38fc-4294-ac6f-e1813d9666d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1efcbdc-f8f0-4bac-929e-ffe707bb638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1 6 " ? > < K a p i s h F i l e n a m e T o U r i M a p p i n g s   x m l n s : x s i = " h t t p : / / w w w . w 3 . o r g / 2 0 0 1 / X M L S c h e m a - i n s t a n c e "   x m l n s : x s d = " h t t p : / / w w w . w 3 . o r g / 2 0 0 1 / X M L 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BEE409-D78E-48D1-AFA6-DAC2AB67C8D5}">
  <ds:schemaRefs>
    <ds:schemaRef ds:uri="http://schemas.microsoft.com/office/2006/metadata/properties"/>
    <ds:schemaRef ds:uri="http://schemas.microsoft.com/office/infopath/2007/PartnerControls"/>
    <ds:schemaRef ds:uri="b6e3d215-38fc-4294-ac6f-e1813d9666dd"/>
    <ds:schemaRef ds:uri="e1efcbdc-f8f0-4bac-929e-ffe707bb6387"/>
  </ds:schemaRefs>
</ds:datastoreItem>
</file>

<file path=customXml/itemProps2.xml><?xml version="1.0" encoding="utf-8"?>
<ds:datastoreItem xmlns:ds="http://schemas.openxmlformats.org/officeDocument/2006/customXml" ds:itemID="{B40CBCC5-C54B-4087-9EBA-471957CCD7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e3d215-38fc-4294-ac6f-e1813d9666dd"/>
    <ds:schemaRef ds:uri="e1efcbdc-f8f0-4bac-929e-ffe707bb63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4F2A5DC-7A18-4B9A-9E86-26CAA84DC2BD}">
  <ds:schemaRefs>
    <ds:schemaRef ds:uri="http://schemas.microsoft.com/sharepoint/v3/contenttype/forms"/>
  </ds:schemaRefs>
</ds:datastoreItem>
</file>

<file path=customXml/itemProps4.xml><?xml version="1.0" encoding="utf-8"?>
<ds:datastoreItem xmlns:ds="http://schemas.openxmlformats.org/officeDocument/2006/customXml" ds:itemID="{2799708F-F6A9-47CA-972B-1E74663692D9}">
  <ds:schemaRefs>
    <ds:schemaRef ds:uri="http://www.w3.org/2001/XMLSchema"/>
  </ds:schemaRefs>
</ds:datastoreItem>
</file>

<file path=customXml/itemProps5.xml><?xml version="1.0" encoding="utf-8"?>
<ds:datastoreItem xmlns:ds="http://schemas.openxmlformats.org/officeDocument/2006/customXml" ds:itemID="{7CAB6261-284F-485E-96DD-E696B7A44331}">
  <ds:schemaRefs>
    <ds:schemaRef ds:uri="http://schemas.microsoft.com/sharepoint/events"/>
  </ds:schemaRefs>
</ds:datastoreItem>
</file>

<file path=customXml/itemProps6.xml><?xml version="1.0" encoding="utf-8"?>
<ds:datastoreItem xmlns:ds="http://schemas.openxmlformats.org/officeDocument/2006/customXml" ds:itemID="{F4D31D83-C5DF-412F-8572-EA124B45A6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1707</Words>
  <Characters>9118</Characters>
  <Application>Microsoft Office Word</Application>
  <DocSecurity>0</DocSecurity>
  <Lines>144</Lines>
  <Paragraphs>64</Paragraphs>
  <ScaleCrop>false</ScaleCrop>
  <HeadingPairs>
    <vt:vector size="2" baseType="variant">
      <vt:variant>
        <vt:lpstr>Title</vt:lpstr>
      </vt:variant>
      <vt:variant>
        <vt:i4>1</vt:i4>
      </vt:variant>
    </vt:vector>
  </HeadingPairs>
  <TitlesOfParts>
    <vt:vector size="1" baseType="lpstr">
      <vt:lpstr/>
    </vt:vector>
  </TitlesOfParts>
  <Company>Department of Treasury and Finance</Company>
  <LinksUpToDate>false</LinksUpToDate>
  <CharactersWithSpaces>10761</CharactersWithSpaces>
  <SharedDoc>false</SharedDoc>
  <HLinks>
    <vt:vector size="6" baseType="variant">
      <vt:variant>
        <vt:i4>1966142</vt:i4>
      </vt:variant>
      <vt:variant>
        <vt:i4>0</vt:i4>
      </vt:variant>
      <vt:variant>
        <vt:i4>0</vt:i4>
      </vt:variant>
      <vt:variant>
        <vt:i4>5</vt:i4>
      </vt:variant>
      <vt:variant>
        <vt:lpwstr>mailto:aclsfinance@dgs.vic.gov.au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Georgia Culmsee (DTF)</dc:creator>
  <cp:keywords/>
  <cp:lastModifiedBy>Constance Yuan (DTF)</cp:lastModifiedBy>
  <cp:revision>7</cp:revision>
  <cp:lastPrinted>2019-12-01T05:40:00Z</cp:lastPrinted>
  <dcterms:created xsi:type="dcterms:W3CDTF">2026-03-30T05:04:00Z</dcterms:created>
  <dcterms:modified xsi:type="dcterms:W3CDTF">2026-03-30T05:10:00Z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d9908d3c-8a9d-43da-9bc6-8fff98660126</vt:lpwstr>
  </property>
  <property fmtid="{D5CDD505-2E9C-101B-9397-08002B2CF9AE}" pid="3" name="PSPFClassification">
    <vt:lpwstr>Do Not Mark</vt:lpwstr>
  </property>
  <property fmtid="{D5CDD505-2E9C-101B-9397-08002B2CF9AE}" pid="4" name="Classification">
    <vt:lpwstr>Do Not Mark</vt:lpwstr>
  </property>
  <property fmtid="{D5CDD505-2E9C-101B-9397-08002B2CF9AE}" pid="5" name="ContentTypeId">
    <vt:lpwstr>0x010100E2859DFB47952C4E911DE9714EC95DB1</vt:lpwstr>
  </property>
  <property fmtid="{D5CDD505-2E9C-101B-9397-08002B2CF9AE}" pid="6" name="ClassificationContentMarkingHeaderShapeIds">
    <vt:lpwstr>144cb7d2,5139609e,40c7fd73</vt:lpwstr>
  </property>
  <property fmtid="{D5CDD505-2E9C-101B-9397-08002B2CF9AE}" pid="7" name="ClassificationContentMarkingHeaderFontProps">
    <vt:lpwstr>#000000,12,Aptos</vt:lpwstr>
  </property>
  <property fmtid="{D5CDD505-2E9C-101B-9397-08002B2CF9AE}" pid="8" name="ClassificationContentMarkingHeaderText">
    <vt:lpwstr>OFFICIAL</vt:lpwstr>
  </property>
  <property fmtid="{D5CDD505-2E9C-101B-9397-08002B2CF9AE}" pid="9" name="MSIP_Label_3671841d-b3a8-4706-968c-e82b307d8b6d_Enabled">
    <vt:lpwstr>true</vt:lpwstr>
  </property>
  <property fmtid="{D5CDD505-2E9C-101B-9397-08002B2CF9AE}" pid="10" name="MSIP_Label_3671841d-b3a8-4706-968c-e82b307d8b6d_SetDate">
    <vt:lpwstr>2026-02-27T00:32:56Z</vt:lpwstr>
  </property>
  <property fmtid="{D5CDD505-2E9C-101B-9397-08002B2CF9AE}" pid="11" name="MSIP_Label_3671841d-b3a8-4706-968c-e82b307d8b6d_Method">
    <vt:lpwstr>Privileged</vt:lpwstr>
  </property>
  <property fmtid="{D5CDD505-2E9C-101B-9397-08002B2CF9AE}" pid="12" name="MSIP_Label_3671841d-b3a8-4706-968c-e82b307d8b6d_Name">
    <vt:lpwstr>3671841d-b3a8-4706-968c-e82b307d8b6d</vt:lpwstr>
  </property>
  <property fmtid="{D5CDD505-2E9C-101B-9397-08002B2CF9AE}" pid="13" name="MSIP_Label_3671841d-b3a8-4706-968c-e82b307d8b6d_SiteId">
    <vt:lpwstr>2c7f1f78-afc6-43de-bfdd-cf12c4016c70</vt:lpwstr>
  </property>
  <property fmtid="{D5CDD505-2E9C-101B-9397-08002B2CF9AE}" pid="14" name="MSIP_Label_3671841d-b3a8-4706-968c-e82b307d8b6d_ActionId">
    <vt:lpwstr>d0f3eb89-8db8-4c32-a622-aa528ed30eca</vt:lpwstr>
  </property>
  <property fmtid="{D5CDD505-2E9C-101B-9397-08002B2CF9AE}" pid="15" name="MSIP_Label_3671841d-b3a8-4706-968c-e82b307d8b6d_ContentBits">
    <vt:lpwstr>3</vt:lpwstr>
  </property>
  <property fmtid="{D5CDD505-2E9C-101B-9397-08002B2CF9AE}" pid="16" name="MSIP_Label_3671841d-b3a8-4706-968c-e82b307d8b6d_Tag">
    <vt:lpwstr>10, 0, 1, 1</vt:lpwstr>
  </property>
  <property fmtid="{D5CDD505-2E9C-101B-9397-08002B2CF9AE}" pid="17" name="MediaServiceImageTags">
    <vt:lpwstr/>
  </property>
  <property fmtid="{D5CDD505-2E9C-101B-9397-08002B2CF9AE}" pid="18" name="docLang">
    <vt:lpwstr>en</vt:lpwstr>
  </property>
  <property fmtid="{D5CDD505-2E9C-101B-9397-08002B2CF9AE}" pid="19" name="_dlc_DocIdItemGuid">
    <vt:lpwstr>d32ee74a-4bfe-4489-9d26-f867de1db396</vt:lpwstr>
  </property>
  <property fmtid="{D5CDD505-2E9C-101B-9397-08002B2CF9AE}" pid="20" name="ClassificationContentMarkingFooterShapeIds">
    <vt:lpwstr>513aaf5c,4d1beee0,7c5c0f47</vt:lpwstr>
  </property>
  <property fmtid="{D5CDD505-2E9C-101B-9397-08002B2CF9AE}" pid="21" name="ClassificationContentMarkingFooterFontProps">
    <vt:lpwstr>#000000,11,Aptos</vt:lpwstr>
  </property>
  <property fmtid="{D5CDD505-2E9C-101B-9397-08002B2CF9AE}" pid="22" name="ClassificationContentMarkingFooterText">
    <vt:lpwstr>OFFICIAL</vt:lpwstr>
  </property>
  <property fmtid="{D5CDD505-2E9C-101B-9397-08002B2CF9AE}" pid="23" name="MSIP_Label_7158ebbd-6c5e-441f-bfc9-4eb8c11e3978_Enabled">
    <vt:lpwstr>true</vt:lpwstr>
  </property>
  <property fmtid="{D5CDD505-2E9C-101B-9397-08002B2CF9AE}" pid="24" name="MSIP_Label_7158ebbd-6c5e-441f-bfc9-4eb8c11e3978_SetDate">
    <vt:lpwstr>2026-03-24T22:45:17Z</vt:lpwstr>
  </property>
  <property fmtid="{D5CDD505-2E9C-101B-9397-08002B2CF9AE}" pid="25" name="MSIP_Label_7158ebbd-6c5e-441f-bfc9-4eb8c11e3978_Method">
    <vt:lpwstr>Privileged</vt:lpwstr>
  </property>
  <property fmtid="{D5CDD505-2E9C-101B-9397-08002B2CF9AE}" pid="26" name="MSIP_Label_7158ebbd-6c5e-441f-bfc9-4eb8c11e3978_Name">
    <vt:lpwstr>7158ebbd-6c5e-441f-bfc9-4eb8c11e3978</vt:lpwstr>
  </property>
  <property fmtid="{D5CDD505-2E9C-101B-9397-08002B2CF9AE}" pid="27" name="MSIP_Label_7158ebbd-6c5e-441f-bfc9-4eb8c11e3978_SiteId">
    <vt:lpwstr>722ea0be-3e1c-4b11-ad6f-9401d6856e24</vt:lpwstr>
  </property>
  <property fmtid="{D5CDD505-2E9C-101B-9397-08002B2CF9AE}" pid="28" name="MSIP_Label_7158ebbd-6c5e-441f-bfc9-4eb8c11e3978_ActionId">
    <vt:lpwstr>a67a620b-9ea6-43e9-95fd-1c05e78f64aa</vt:lpwstr>
  </property>
  <property fmtid="{D5CDD505-2E9C-101B-9397-08002B2CF9AE}" pid="29" name="MSIP_Label_7158ebbd-6c5e-441f-bfc9-4eb8c11e3978_ContentBits">
    <vt:lpwstr>2</vt:lpwstr>
  </property>
  <property fmtid="{D5CDD505-2E9C-101B-9397-08002B2CF9AE}" pid="30" name="MSIP_Label_7158ebbd-6c5e-441f-bfc9-4eb8c11e3978_Tag">
    <vt:lpwstr>10, 0, 1, 1</vt:lpwstr>
  </property>
</Properties>
</file>