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DTFtexttable"/>
        <w:tblW w:w="9237" w:type="dxa"/>
        <w:tblLayout w:type="fixed"/>
        <w:tblLook w:val="0620" w:firstRow="1" w:lastRow="0" w:firstColumn="0" w:lastColumn="0" w:noHBand="1" w:noVBand="1"/>
      </w:tblPr>
      <w:tblGrid>
        <w:gridCol w:w="2293"/>
        <w:gridCol w:w="270"/>
        <w:gridCol w:w="540"/>
        <w:gridCol w:w="6134"/>
      </w:tblGrid>
      <w:tr w:rsidRPr="003C5E9F" w:rsidR="006C78FB" w:rsidTr="00E65283" w14:paraId="59DC501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2293" w:type="dxa"/>
          </w:tcPr>
          <w:p w:rsidRPr="003C5E9F" w:rsidR="006C78FB" w:rsidP="006E781F" w:rsidRDefault="006C78FB" w14:paraId="103B6B8A" w14:textId="62B88306">
            <w:pPr>
              <w:pStyle w:val="FRDNumber"/>
            </w:pPr>
            <w:r w:rsidRPr="002E50A4">
              <w:t>FRD</w:t>
            </w:r>
            <w:r w:rsidRPr="003C5E9F">
              <w:t xml:space="preserve"> </w:t>
            </w:r>
            <w:r w:rsidR="00944090">
              <w:t>104</w:t>
            </w:r>
          </w:p>
        </w:tc>
        <w:tc>
          <w:tcPr>
            <w:tcW w:w="270" w:type="dxa"/>
          </w:tcPr>
          <w:p w:rsidRPr="00E43EFA" w:rsidR="006C78FB" w:rsidP="006E781F" w:rsidRDefault="006C78FB" w14:paraId="5299470D" w14:textId="77777777"/>
        </w:tc>
        <w:tc>
          <w:tcPr>
            <w:tcW w:w="540" w:type="dxa"/>
          </w:tcPr>
          <w:p w:rsidRPr="00E43EFA" w:rsidR="006C78FB" w:rsidP="006E781F" w:rsidRDefault="006C78FB" w14:paraId="5D47A738" w14:textId="77777777"/>
        </w:tc>
        <w:tc>
          <w:tcPr>
            <w:tcW w:w="6134" w:type="dxa"/>
          </w:tcPr>
          <w:p w:rsidRPr="002E50A4" w:rsidR="006C78FB" w:rsidP="00442BCD" w:rsidRDefault="00E7540A" w14:paraId="20E705F5" w14:textId="63EFA40F">
            <w:pPr>
              <w:pStyle w:val="FRDHeader"/>
            </w:pPr>
            <w:r w:rsidRPr="00E7540A">
              <w:t>Leases (</w:t>
            </w:r>
            <w:r w:rsidR="00CD562F">
              <w:t>February</w:t>
            </w:r>
            <w:r w:rsidR="009D5E19">
              <w:t xml:space="preserve"> 2026</w:t>
            </w:r>
            <w:r w:rsidRPr="00E7540A">
              <w:t>)</w:t>
            </w:r>
          </w:p>
        </w:tc>
      </w:tr>
      <w:tr w:rsidRPr="00E10ADB" w:rsidR="006C78FB" w:rsidTr="00E65283" w14:paraId="3861394C" w14:textId="77777777">
        <w:trPr>
          <w:trHeight w:val="120" w:hRule="exact"/>
        </w:trPr>
        <w:tc>
          <w:tcPr>
            <w:tcW w:w="2293" w:type="dxa"/>
          </w:tcPr>
          <w:p w:rsidRPr="008A601F" w:rsidR="006C78FB" w:rsidP="006E781F" w:rsidRDefault="006C78FB" w14:paraId="73F92BCA" w14:textId="77777777">
            <w:pPr>
              <w:pStyle w:val="Tabletext"/>
            </w:pPr>
          </w:p>
        </w:tc>
        <w:tc>
          <w:tcPr>
            <w:tcW w:w="270" w:type="dxa"/>
          </w:tcPr>
          <w:p w:rsidRPr="008A601F" w:rsidR="006C78FB" w:rsidP="006E781F" w:rsidRDefault="006C78FB" w14:paraId="3911CF62" w14:textId="77777777"/>
        </w:tc>
        <w:tc>
          <w:tcPr>
            <w:tcW w:w="540" w:type="dxa"/>
          </w:tcPr>
          <w:p w:rsidRPr="008A601F" w:rsidR="006C78FB" w:rsidP="006E781F" w:rsidRDefault="006C78FB" w14:paraId="7B4DA4C3" w14:textId="77777777"/>
        </w:tc>
        <w:tc>
          <w:tcPr>
            <w:tcW w:w="6134" w:type="dxa"/>
          </w:tcPr>
          <w:p w:rsidRPr="008A601F" w:rsidR="006C78FB" w:rsidP="006E781F" w:rsidRDefault="006C78FB" w14:paraId="6CB6B596" w14:textId="77777777"/>
        </w:tc>
      </w:tr>
      <w:tr w:rsidRPr="005828FE" w:rsidR="00376CD7" w:rsidTr="00E65283" w14:paraId="360B6B28" w14:textId="77777777">
        <w:tc>
          <w:tcPr>
            <w:tcW w:w="2293" w:type="dxa"/>
          </w:tcPr>
          <w:p w:rsidRPr="008A601F" w:rsidR="00376CD7" w:rsidP="006E781F" w:rsidRDefault="00576B1E" w14:paraId="04DFF18E" w14:textId="4E953F80">
            <w:pPr>
              <w:pStyle w:val="Normalgrey"/>
            </w:pPr>
            <w:r>
              <w:t>Purpose</w:t>
            </w:r>
          </w:p>
        </w:tc>
        <w:tc>
          <w:tcPr>
            <w:tcW w:w="270" w:type="dxa"/>
          </w:tcPr>
          <w:p w:rsidRPr="00CA484A" w:rsidR="00376CD7" w:rsidP="00F52BF6" w:rsidRDefault="00376CD7" w14:paraId="1E427901" w14:textId="77777777">
            <w:pPr>
              <w:pStyle w:val="Refnum1"/>
            </w:pPr>
          </w:p>
        </w:tc>
        <w:tc>
          <w:tcPr>
            <w:tcW w:w="540" w:type="dxa"/>
          </w:tcPr>
          <w:p w:rsidRPr="00CA484A" w:rsidR="00376CD7" w:rsidP="00F52BF6" w:rsidRDefault="00376CD7" w14:paraId="7728D97A" w14:textId="77777777">
            <w:pPr>
              <w:pStyle w:val="Refnum2"/>
            </w:pPr>
          </w:p>
        </w:tc>
        <w:tc>
          <w:tcPr>
            <w:tcW w:w="6134" w:type="dxa"/>
          </w:tcPr>
          <w:p w:rsidRPr="00E43EFA" w:rsidR="00376CD7" w:rsidP="006E781F" w:rsidRDefault="00AA699D" w14:paraId="752C0D69" w14:textId="35476E70">
            <w:pPr>
              <w:pStyle w:val="Normalgrey"/>
            </w:pPr>
            <w:r w:rsidRPr="00AA699D">
              <w:t xml:space="preserve">To prescribe the </w:t>
            </w:r>
            <w:r w:rsidR="00F40450">
              <w:t>accounting requirements on the application</w:t>
            </w:r>
            <w:r w:rsidRPr="00AA699D">
              <w:t xml:space="preserve"> of </w:t>
            </w:r>
            <w:r w:rsidR="00F40450">
              <w:t>AASB</w:t>
            </w:r>
            <w:r w:rsidR="00624B02">
              <w:t> </w:t>
            </w:r>
            <w:r w:rsidR="00F40450">
              <w:t>16 </w:t>
            </w:r>
            <w:r w:rsidRPr="00450E64" w:rsidR="00F40450">
              <w:rPr>
                <w:i/>
                <w:iCs/>
              </w:rPr>
              <w:t>Leases</w:t>
            </w:r>
            <w:r w:rsidRPr="00AA699D">
              <w:t>.</w:t>
            </w:r>
          </w:p>
        </w:tc>
      </w:tr>
      <w:tr w:rsidRPr="005828FE" w:rsidR="00AE538A" w:rsidTr="00E65283" w14:paraId="187FF426" w14:textId="77777777">
        <w:tc>
          <w:tcPr>
            <w:tcW w:w="2293" w:type="dxa"/>
            <w:shd w:val="clear" w:color="auto" w:fill="F2F2F2" w:themeFill="background1" w:themeFillShade="F2"/>
          </w:tcPr>
          <w:p w:rsidRPr="001050F5" w:rsidR="00AE538A" w:rsidP="006E781F" w:rsidRDefault="00AE538A" w14:paraId="6F1ABAAA" w14:textId="7FB68006">
            <w:pPr>
              <w:pStyle w:val="Normalgrey"/>
              <w:rPr>
                <w:b/>
                <w:bCs/>
              </w:rPr>
            </w:pPr>
            <w:r w:rsidRPr="001050F5">
              <w:rPr>
                <w:b/>
                <w:bCs/>
              </w:rPr>
              <w:t>Application</w:t>
            </w:r>
          </w:p>
        </w:tc>
        <w:tc>
          <w:tcPr>
            <w:tcW w:w="270" w:type="dxa"/>
            <w:shd w:val="clear" w:color="auto" w:fill="F2F2F2" w:themeFill="background1" w:themeFillShade="F2"/>
          </w:tcPr>
          <w:p w:rsidRPr="00CA484A" w:rsidR="00AE538A" w:rsidP="00F52BF6" w:rsidRDefault="00AE538A" w14:paraId="6F78037E" w14:textId="77777777">
            <w:pPr>
              <w:pStyle w:val="Refnum1"/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Pr="00CA484A" w:rsidR="00AE538A" w:rsidP="00023E6C" w:rsidRDefault="00AE538A" w14:paraId="6A2ADCCD" w14:textId="77777777">
            <w:pPr>
              <w:pStyle w:val="Refnum2"/>
            </w:pPr>
          </w:p>
        </w:tc>
        <w:tc>
          <w:tcPr>
            <w:tcW w:w="6134" w:type="dxa"/>
            <w:shd w:val="clear" w:color="auto" w:fill="F2F2F2" w:themeFill="background1" w:themeFillShade="F2"/>
          </w:tcPr>
          <w:p w:rsidRPr="00B0298E" w:rsidR="00AE538A" w:rsidP="006E781F" w:rsidRDefault="00000CBD" w14:paraId="09659132" w14:textId="7B75CBDB">
            <w:pPr>
              <w:pStyle w:val="Normalgrey"/>
              <w:rPr>
                <w:b/>
                <w:bCs/>
              </w:rPr>
            </w:pPr>
            <w:r w:rsidRPr="00233F48">
              <w:rPr>
                <w:b/>
                <w:bCs/>
                <w:color w:val="auto"/>
              </w:rPr>
              <w:t xml:space="preserve">Applies to all entities defined as either a public body or a department under section 3 of the </w:t>
            </w:r>
            <w:r w:rsidRPr="00287FFE">
              <w:rPr>
                <w:b/>
                <w:bCs/>
                <w:i/>
                <w:iCs/>
                <w:color w:val="auto"/>
              </w:rPr>
              <w:t>Financial Management Act</w:t>
            </w:r>
            <w:r w:rsidRPr="00233F48">
              <w:rPr>
                <w:b/>
                <w:bCs/>
                <w:color w:val="auto"/>
              </w:rPr>
              <w:t xml:space="preserve"> </w:t>
            </w:r>
            <w:r w:rsidRPr="00287FFE">
              <w:rPr>
                <w:b/>
                <w:bCs/>
                <w:i/>
                <w:iCs/>
                <w:color w:val="auto"/>
              </w:rPr>
              <w:t>1994</w:t>
            </w:r>
            <w:r w:rsidR="00F40450">
              <w:rPr>
                <w:b/>
                <w:bCs/>
                <w:i/>
                <w:iCs/>
                <w:color w:val="auto"/>
              </w:rPr>
              <w:t xml:space="preserve">, </w:t>
            </w:r>
            <w:r w:rsidRPr="00D67254" w:rsidR="00F40450">
              <w:rPr>
                <w:b/>
                <w:bCs/>
                <w:color w:val="auto"/>
              </w:rPr>
              <w:t>except those entities which are not controlled by the State and whose financial position and result are thus not consolidated in the Annual Financial Report for the State of Victoria</w:t>
            </w:r>
            <w:r w:rsidRPr="00D67254">
              <w:rPr>
                <w:b/>
                <w:bCs/>
                <w:color w:val="auto"/>
              </w:rPr>
              <w:t>.</w:t>
            </w:r>
            <w:r w:rsidRPr="00233F48">
              <w:rPr>
                <w:b/>
                <w:bCs/>
                <w:color w:val="auto"/>
              </w:rPr>
              <w:t xml:space="preserve"> Application by State owned corporations is encouraged.</w:t>
            </w:r>
          </w:p>
        </w:tc>
      </w:tr>
      <w:tr w:rsidRPr="00771F53" w:rsidR="009543E2" w:rsidTr="00E65283" w14:paraId="155D64DB" w14:textId="77777777">
        <w:tc>
          <w:tcPr>
            <w:tcW w:w="2293" w:type="dxa"/>
            <w:shd w:val="clear" w:color="auto" w:fill="F2F2F2" w:themeFill="background1" w:themeFillShade="F2"/>
          </w:tcPr>
          <w:p w:rsidRPr="00771F53" w:rsidR="009543E2" w:rsidP="009543E2" w:rsidRDefault="009543E2" w14:paraId="7FC60621" w14:textId="1B48AA0E">
            <w:pPr>
              <w:pStyle w:val="Normalbold"/>
            </w:pPr>
            <w:r w:rsidRPr="00771F53">
              <w:t>Operative date</w:t>
            </w:r>
          </w:p>
        </w:tc>
        <w:tc>
          <w:tcPr>
            <w:tcW w:w="270" w:type="dxa"/>
            <w:shd w:val="clear" w:color="auto" w:fill="F2F2F2" w:themeFill="background1" w:themeFillShade="F2"/>
          </w:tcPr>
          <w:p w:rsidRPr="00B44379" w:rsidR="009543E2" w:rsidP="009543E2" w:rsidRDefault="009543E2" w14:paraId="6AE62642" w14:textId="77777777">
            <w:pPr>
              <w:pStyle w:val="Refnum1grey"/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Pr="00771F53" w:rsidR="009543E2" w:rsidP="009543E2" w:rsidRDefault="009543E2" w14:paraId="1A569F00" w14:textId="77777777">
            <w:pPr>
              <w:pStyle w:val="Refnum2"/>
              <w:rPr>
                <w:b/>
              </w:rPr>
            </w:pPr>
          </w:p>
        </w:tc>
        <w:tc>
          <w:tcPr>
            <w:tcW w:w="6134" w:type="dxa"/>
            <w:shd w:val="clear" w:color="auto" w:fill="F2F2F2" w:themeFill="background1" w:themeFillShade="F2"/>
          </w:tcPr>
          <w:p w:rsidRPr="004F033C" w:rsidR="009543E2" w:rsidP="009543E2" w:rsidRDefault="009543E2" w14:paraId="081E8192" w14:textId="22980185">
            <w:pPr>
              <w:rPr>
                <w:b/>
                <w:bCs/>
              </w:rPr>
            </w:pPr>
            <w:r w:rsidRPr="004F033C">
              <w:rPr>
                <w:b/>
                <w:bCs/>
              </w:rPr>
              <w:t xml:space="preserve">Annual </w:t>
            </w:r>
            <w:r w:rsidR="002F7800">
              <w:rPr>
                <w:b/>
                <w:bCs/>
              </w:rPr>
              <w:t>r</w:t>
            </w:r>
            <w:r w:rsidRPr="004F033C">
              <w:rPr>
                <w:b/>
                <w:bCs/>
              </w:rPr>
              <w:t xml:space="preserve">eporting periods </w:t>
            </w:r>
            <w:r w:rsidR="00B0661B">
              <w:rPr>
                <w:b/>
                <w:bCs/>
              </w:rPr>
              <w:t>ending on or after 30 June 2026</w:t>
            </w:r>
            <w:r w:rsidRPr="004F033C">
              <w:rPr>
                <w:b/>
                <w:bCs/>
              </w:rPr>
              <w:t>.</w:t>
            </w:r>
          </w:p>
        </w:tc>
      </w:tr>
      <w:tr w:rsidRPr="00771F53" w:rsidR="00091A19" w:rsidTr="00E65283" w14:paraId="78F6D843" w14:textId="77777777">
        <w:tc>
          <w:tcPr>
            <w:tcW w:w="2293" w:type="dxa"/>
            <w:shd w:val="clear" w:color="auto" w:fill="F2F2F2" w:themeFill="background1" w:themeFillShade="F2"/>
          </w:tcPr>
          <w:p w:rsidRPr="00771F53" w:rsidR="00091A19" w:rsidP="009543E2" w:rsidRDefault="00091A19" w14:paraId="68D0A382" w14:textId="77777777">
            <w:pPr>
              <w:pStyle w:val="Normalbold"/>
            </w:pPr>
          </w:p>
        </w:tc>
        <w:tc>
          <w:tcPr>
            <w:tcW w:w="270" w:type="dxa"/>
            <w:shd w:val="clear" w:color="auto" w:fill="F2F2F2" w:themeFill="background1" w:themeFillShade="F2"/>
          </w:tcPr>
          <w:p w:rsidRPr="00B44379" w:rsidR="00091A19" w:rsidP="00866481" w:rsidRDefault="00091A19" w14:paraId="271D950F" w14:textId="77777777">
            <w:pPr>
              <w:pStyle w:val="Refnum1grey"/>
              <w:numPr>
                <w:ilvl w:val="0"/>
                <w:numId w:val="0"/>
              </w:num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Pr="00771F53" w:rsidR="00091A19" w:rsidP="009543E2" w:rsidRDefault="00091A19" w14:paraId="34EC2A54" w14:textId="77777777">
            <w:pPr>
              <w:pStyle w:val="Refnum2"/>
              <w:rPr>
                <w:b/>
              </w:rPr>
            </w:pPr>
          </w:p>
        </w:tc>
        <w:tc>
          <w:tcPr>
            <w:tcW w:w="6134" w:type="dxa"/>
            <w:shd w:val="clear" w:color="auto" w:fill="F2F2F2" w:themeFill="background1" w:themeFillShade="F2"/>
          </w:tcPr>
          <w:p w:rsidRPr="004F033C" w:rsidR="00091A19" w:rsidP="009543E2" w:rsidRDefault="000D4D30" w14:paraId="6320B619" w14:textId="3C7F0097">
            <w:pPr>
              <w:rPr>
                <w:b/>
                <w:bCs/>
              </w:rPr>
            </w:pPr>
            <w:r w:rsidRPr="007D43F0">
              <w:rPr>
                <w:b/>
                <w:bCs/>
              </w:rPr>
              <w:t xml:space="preserve">This </w:t>
            </w:r>
            <w:r w:rsidRPr="007D43F0" w:rsidR="003361B5">
              <w:rPr>
                <w:b/>
                <w:bCs/>
              </w:rPr>
              <w:t>D</w:t>
            </w:r>
            <w:r w:rsidRPr="007D43F0">
              <w:rPr>
                <w:b/>
                <w:bCs/>
              </w:rPr>
              <w:t>irection does not apply to</w:t>
            </w:r>
            <w:r w:rsidRPr="007D43F0" w:rsidR="00510A41">
              <w:rPr>
                <w:b/>
                <w:bCs/>
              </w:rPr>
              <w:t xml:space="preserve"> leases classified as</w:t>
            </w:r>
            <w:r w:rsidRPr="007D43F0">
              <w:rPr>
                <w:b/>
                <w:bCs/>
              </w:rPr>
              <w:t xml:space="preserve"> </w:t>
            </w:r>
            <w:r w:rsidRPr="007D43F0" w:rsidR="00510A41">
              <w:rPr>
                <w:b/>
                <w:bCs/>
              </w:rPr>
              <w:t>investment properties</w:t>
            </w:r>
            <w:r w:rsidRPr="007D43F0" w:rsidR="007F7D42">
              <w:rPr>
                <w:b/>
                <w:bCs/>
              </w:rPr>
              <w:t>, which</w:t>
            </w:r>
            <w:r w:rsidRPr="007D43F0" w:rsidR="00510A41">
              <w:rPr>
                <w:b/>
                <w:bCs/>
              </w:rPr>
              <w:t xml:space="preserve"> is covered by FRD 107 </w:t>
            </w:r>
            <w:r w:rsidRPr="00866481" w:rsidR="00510A41">
              <w:rPr>
                <w:b/>
                <w:bCs/>
                <w:i/>
                <w:iCs/>
              </w:rPr>
              <w:t>Investment Properties</w:t>
            </w:r>
            <w:r w:rsidRPr="007D43F0" w:rsidR="00510A41">
              <w:rPr>
                <w:b/>
                <w:bCs/>
              </w:rPr>
              <w:t>.</w:t>
            </w:r>
          </w:p>
        </w:tc>
      </w:tr>
      <w:tr w:rsidRPr="00771F53" w:rsidR="009543E2" w:rsidTr="00E65283" w14:paraId="343163F1" w14:textId="77777777">
        <w:tc>
          <w:tcPr>
            <w:tcW w:w="2293" w:type="dxa"/>
            <w:shd w:val="clear" w:color="auto" w:fill="F2F2F2" w:themeFill="background1" w:themeFillShade="F2"/>
          </w:tcPr>
          <w:p w:rsidRPr="00771F53" w:rsidR="009543E2" w:rsidP="009543E2" w:rsidRDefault="009543E2" w14:paraId="170F8409" w14:textId="2F01F3F2">
            <w:pPr>
              <w:rPr>
                <w:b/>
              </w:rPr>
            </w:pPr>
            <w:r w:rsidRPr="00771F53">
              <w:rPr>
                <w:b/>
              </w:rPr>
              <w:t>Requirements</w:t>
            </w:r>
            <w:r w:rsidRPr="00771F53" w:rsidDel="003E352F">
              <w:rPr>
                <w:b/>
              </w:rPr>
              <w:t xml:space="preserve"> </w:t>
            </w:r>
          </w:p>
        </w:tc>
        <w:tc>
          <w:tcPr>
            <w:tcW w:w="270" w:type="dxa"/>
            <w:shd w:val="clear" w:color="auto" w:fill="F2F2F2" w:themeFill="background1" w:themeFillShade="F2"/>
          </w:tcPr>
          <w:p w:rsidRPr="00B44379" w:rsidR="009543E2" w:rsidP="00624B02" w:rsidRDefault="009543E2" w14:paraId="4949113B" w14:textId="77777777">
            <w:pPr>
              <w:pStyle w:val="Refnum1grey"/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Pr="00771F53" w:rsidR="009543E2" w:rsidP="009543E2" w:rsidRDefault="009543E2" w14:paraId="1326D49C" w14:textId="77777777">
            <w:pPr>
              <w:pStyle w:val="Refnum2"/>
              <w:rPr>
                <w:b/>
              </w:rPr>
            </w:pPr>
          </w:p>
        </w:tc>
        <w:tc>
          <w:tcPr>
            <w:tcW w:w="6134" w:type="dxa"/>
            <w:shd w:val="clear" w:color="auto" w:fill="F2F2F2" w:themeFill="background1" w:themeFillShade="F2"/>
          </w:tcPr>
          <w:p w:rsidRPr="00624B02" w:rsidR="009543E2" w:rsidP="009543E2" w:rsidRDefault="00BA10AE" w14:paraId="6B333E7A" w14:textId="77777777">
            <w:pPr>
              <w:rPr>
                <w:b/>
              </w:rPr>
            </w:pPr>
            <w:r w:rsidRPr="00624B02">
              <w:rPr>
                <w:b/>
              </w:rPr>
              <w:t xml:space="preserve">Initial </w:t>
            </w:r>
            <w:r w:rsidRPr="00624B02" w:rsidR="00786058">
              <w:rPr>
                <w:b/>
              </w:rPr>
              <w:t>recognition of a lease</w:t>
            </w:r>
          </w:p>
          <w:p w:rsidR="00363069" w:rsidP="009543E2" w:rsidRDefault="007228EB" w14:paraId="0C1B3445" w14:textId="62ADEC5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At the lease </w:t>
            </w:r>
            <w:r w:rsidRPr="001C5DE6" w:rsidR="001C5DE6">
              <w:rPr>
                <w:b/>
                <w:bCs/>
              </w:rPr>
              <w:t xml:space="preserve">commencement date, a lessee shall recognise a right-of-use asset and a lease liability for all leases, </w:t>
            </w:r>
            <w:r w:rsidRPr="001C5DE6" w:rsidR="00004141">
              <w:rPr>
                <w:b/>
                <w:bCs/>
              </w:rPr>
              <w:t>except for</w:t>
            </w:r>
            <w:r w:rsidR="00004141">
              <w:rPr>
                <w:b/>
                <w:bCs/>
              </w:rPr>
              <w:t>:</w:t>
            </w:r>
          </w:p>
          <w:p w:rsidRPr="00004141" w:rsidR="001C5DE6" w:rsidP="001166CF" w:rsidRDefault="001166CF" w14:paraId="05799505" w14:textId="4D98938C">
            <w:pPr>
              <w:pStyle w:val="ListParagraph"/>
              <w:numPr>
                <w:ilvl w:val="0"/>
                <w:numId w:val="32"/>
              </w:numPr>
              <w:spacing w:line="264" w:lineRule="auto"/>
              <w:rPr>
                <w:rFonts w:asciiTheme="minorHAnsi" w:hAnsiTheme="minorHAnsi" w:eastAsiaTheme="minorHAnsi" w:cstheme="minorHAnsi"/>
                <w:b/>
                <w:bCs/>
                <w:sz w:val="18"/>
              </w:rPr>
            </w:pPr>
            <w:r w:rsidRPr="00004141">
              <w:rPr>
                <w:rFonts w:asciiTheme="minorHAnsi" w:hAnsiTheme="minorHAnsi" w:eastAsiaTheme="minorHAnsi" w:cstheme="minorHAnsi"/>
                <w:b/>
                <w:bCs/>
                <w:sz w:val="18"/>
              </w:rPr>
              <w:t>Short</w:t>
            </w:r>
            <w:r w:rsidRPr="00004141" w:rsidR="00EB50F4">
              <w:rPr>
                <w:rFonts w:asciiTheme="minorHAnsi" w:hAnsiTheme="minorHAnsi" w:eastAsiaTheme="minorHAnsi" w:cstheme="minorHAnsi"/>
                <w:b/>
                <w:bCs/>
                <w:sz w:val="18"/>
              </w:rPr>
              <w:t xml:space="preserve">-term leases </w:t>
            </w:r>
            <w:r w:rsidRPr="00004141" w:rsidR="00681217">
              <w:rPr>
                <w:rFonts w:asciiTheme="minorHAnsi" w:hAnsiTheme="minorHAnsi" w:eastAsiaTheme="minorHAnsi" w:cstheme="minorHAnsi"/>
                <w:b/>
                <w:bCs/>
                <w:sz w:val="18"/>
              </w:rPr>
              <w:t xml:space="preserve">– leases </w:t>
            </w:r>
            <w:r w:rsidRPr="00004141" w:rsidR="005517DF">
              <w:rPr>
                <w:rFonts w:asciiTheme="minorHAnsi" w:hAnsiTheme="minorHAnsi" w:eastAsiaTheme="minorHAnsi" w:cstheme="minorHAnsi"/>
                <w:b/>
                <w:bCs/>
                <w:sz w:val="18"/>
              </w:rPr>
              <w:t>with a lease term of 12 months</w:t>
            </w:r>
            <w:r w:rsidR="00DC3456">
              <w:rPr>
                <w:rFonts w:asciiTheme="minorHAnsi" w:hAnsiTheme="minorHAnsi" w:eastAsiaTheme="minorHAnsi" w:cstheme="minorHAnsi"/>
                <w:b/>
                <w:bCs/>
                <w:sz w:val="18"/>
              </w:rPr>
              <w:t xml:space="preserve"> or less</w:t>
            </w:r>
          </w:p>
          <w:p w:rsidRPr="00B72F2A" w:rsidR="008E396F" w:rsidP="001166CF" w:rsidRDefault="00004141" w14:paraId="042C3BC2" w14:textId="5F9326BD">
            <w:pPr>
              <w:pStyle w:val="ListParagraph"/>
              <w:numPr>
                <w:ilvl w:val="0"/>
                <w:numId w:val="32"/>
              </w:numPr>
              <w:spacing w:line="264" w:lineRule="auto"/>
              <w:rPr>
                <w:rFonts w:eastAsiaTheme="minorHAnsi"/>
                <w:b/>
                <w:bCs/>
                <w:sz w:val="18"/>
              </w:rPr>
            </w:pPr>
            <w:r w:rsidRPr="00004141">
              <w:rPr>
                <w:rFonts w:asciiTheme="minorHAnsi" w:hAnsiTheme="minorHAnsi" w:eastAsiaTheme="minorHAnsi" w:cstheme="minorHAnsi"/>
                <w:b/>
                <w:bCs/>
                <w:sz w:val="18"/>
              </w:rPr>
              <w:t>Low value leases – leases where the underlying asset’s fair value (when new, regardless of the age of the asset being leased) is no more than $10</w:t>
            </w:r>
            <w:r w:rsidR="00624B02">
              <w:rPr>
                <w:rFonts w:asciiTheme="minorHAnsi" w:hAnsiTheme="minorHAnsi" w:eastAsiaTheme="minorHAnsi" w:cstheme="minorHAnsi"/>
                <w:b/>
                <w:bCs/>
                <w:sz w:val="18"/>
              </w:rPr>
              <w:t> </w:t>
            </w:r>
            <w:r w:rsidRPr="00004141">
              <w:rPr>
                <w:rFonts w:asciiTheme="minorHAnsi" w:hAnsiTheme="minorHAnsi" w:eastAsiaTheme="minorHAnsi" w:cstheme="minorHAnsi"/>
                <w:b/>
                <w:bCs/>
                <w:sz w:val="18"/>
              </w:rPr>
              <w:t>000.</w:t>
            </w:r>
          </w:p>
          <w:p w:rsidRPr="009854C3" w:rsidR="009854C3" w:rsidP="009854C3" w:rsidRDefault="009854C3" w14:paraId="56DEDC1E" w14:textId="4210C8AC">
            <w:pPr>
              <w:rPr>
                <w:b/>
                <w:bCs/>
              </w:rPr>
            </w:pPr>
            <w:r w:rsidRPr="009854C3">
              <w:rPr>
                <w:b/>
                <w:bCs/>
              </w:rPr>
              <w:t>The election for short-term leases shall be made by class of the underlying asset. The election for low value leases should be made on a lease-by-lease basis.</w:t>
            </w:r>
          </w:p>
          <w:p w:rsidRPr="00B72F2A" w:rsidR="00B72F2A" w:rsidP="009854C3" w:rsidRDefault="009854C3" w14:paraId="53B725C9" w14:textId="3E0F6630">
            <w:pPr>
              <w:rPr>
                <w:b/>
                <w:bCs/>
              </w:rPr>
            </w:pPr>
            <w:r w:rsidRPr="009854C3">
              <w:rPr>
                <w:b/>
                <w:bCs/>
              </w:rPr>
              <w:t>An entity shall recognise the lease payments associated with short term leases and low value leases as an expense on a straight-line basis over the lease term or another systematic basis if that basis is more representative of the pattern of the lessee’s benefit</w:t>
            </w:r>
            <w:r>
              <w:rPr>
                <w:b/>
                <w:bCs/>
              </w:rPr>
              <w:t>.</w:t>
            </w:r>
          </w:p>
        </w:tc>
      </w:tr>
      <w:tr w:rsidRPr="00771F53" w:rsidR="009543E2" w:rsidTr="00E65283" w14:paraId="70D1E011" w14:textId="77777777">
        <w:tc>
          <w:tcPr>
            <w:tcW w:w="2293" w:type="dxa"/>
            <w:shd w:val="clear" w:color="auto" w:fill="F2F2F2" w:themeFill="background1" w:themeFillShade="F2"/>
          </w:tcPr>
          <w:p w:rsidRPr="00771F53" w:rsidR="009543E2" w:rsidP="009543E2" w:rsidRDefault="009543E2" w14:paraId="65D3D8CF" w14:textId="0ED6EBEC">
            <w:pPr>
              <w:rPr>
                <w:b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</w:tcPr>
          <w:p w:rsidRPr="00B44379" w:rsidR="009543E2" w:rsidP="0043744A" w:rsidRDefault="009543E2" w14:paraId="0B316940" w14:textId="77777777"/>
        </w:tc>
        <w:tc>
          <w:tcPr>
            <w:tcW w:w="540" w:type="dxa"/>
            <w:shd w:val="clear" w:color="auto" w:fill="F2F2F2" w:themeFill="background1" w:themeFillShade="F2"/>
          </w:tcPr>
          <w:p w:rsidRPr="0043543C" w:rsidR="009543E2" w:rsidP="00662CB5" w:rsidRDefault="00662CB5" w14:paraId="019F6CE2" w14:textId="765E47B2">
            <w:pPr>
              <w:pStyle w:val="Refnum2"/>
              <w:numPr>
                <w:ilvl w:val="0"/>
                <w:numId w:val="0"/>
              </w:numPr>
              <w:rPr>
                <w:bCs/>
              </w:rPr>
            </w:pPr>
            <w:r w:rsidRPr="0043543C">
              <w:rPr>
                <w:bCs/>
              </w:rPr>
              <w:t>4.2</w:t>
            </w:r>
          </w:p>
        </w:tc>
        <w:tc>
          <w:tcPr>
            <w:tcW w:w="6134" w:type="dxa"/>
            <w:shd w:val="clear" w:color="auto" w:fill="F2F2F2" w:themeFill="background1" w:themeFillShade="F2"/>
          </w:tcPr>
          <w:p w:rsidRPr="00624B02" w:rsidR="000C6ED8" w:rsidP="009543E2" w:rsidRDefault="000C6ED8" w14:paraId="64D432EE" w14:textId="53A7D759">
            <w:pPr>
              <w:rPr>
                <w:b/>
              </w:rPr>
            </w:pPr>
            <w:r w:rsidRPr="00624B02">
              <w:rPr>
                <w:b/>
              </w:rPr>
              <w:t xml:space="preserve">Separating components of </w:t>
            </w:r>
            <w:r w:rsidRPr="00624B02" w:rsidR="00CC3959">
              <w:rPr>
                <w:b/>
              </w:rPr>
              <w:t>a contract</w:t>
            </w:r>
          </w:p>
          <w:p w:rsidRPr="00771F53" w:rsidR="009543E2" w:rsidP="009543E2" w:rsidRDefault="002276CD" w14:paraId="5C20C928" w14:textId="46D1E493">
            <w:pPr>
              <w:rPr>
                <w:b/>
              </w:rPr>
            </w:pPr>
            <w:r>
              <w:rPr>
                <w:b/>
              </w:rPr>
              <w:t>An entity</w:t>
            </w:r>
            <w:r w:rsidR="00C80FB6">
              <w:t xml:space="preserve"> </w:t>
            </w:r>
            <w:r w:rsidRPr="00C80FB6" w:rsidR="00C80FB6">
              <w:rPr>
                <w:b/>
              </w:rPr>
              <w:t xml:space="preserve">is required to separate out and account </w:t>
            </w:r>
            <w:r w:rsidR="00F40450">
              <w:rPr>
                <w:b/>
              </w:rPr>
              <w:t xml:space="preserve">for </w:t>
            </w:r>
            <w:r w:rsidRPr="00C80FB6" w:rsidR="00C80FB6">
              <w:rPr>
                <w:b/>
              </w:rPr>
              <w:t>separately non-lease components within a lease contract and exclude these amounts when determining the lease liability and right-of-use asset amount</w:t>
            </w:r>
            <w:r w:rsidR="00070B44">
              <w:rPr>
                <w:b/>
              </w:rPr>
              <w:t>.</w:t>
            </w:r>
          </w:p>
        </w:tc>
      </w:tr>
      <w:tr w:rsidRPr="00771F53" w:rsidR="009543E2" w:rsidTr="00E65283" w14:paraId="2B981A3F" w14:textId="77777777">
        <w:tc>
          <w:tcPr>
            <w:tcW w:w="2293" w:type="dxa"/>
            <w:shd w:val="clear" w:color="auto" w:fill="F2F2F2" w:themeFill="background1" w:themeFillShade="F2"/>
          </w:tcPr>
          <w:p w:rsidRPr="00771F53" w:rsidR="009543E2" w:rsidP="009543E2" w:rsidRDefault="009543E2" w14:paraId="3E8DDDFE" w14:textId="77777777">
            <w:pPr>
              <w:rPr>
                <w:b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</w:tcPr>
          <w:p w:rsidRPr="00B44379" w:rsidR="009543E2" w:rsidP="0043744A" w:rsidRDefault="009543E2" w14:paraId="638A2FD0" w14:textId="77777777"/>
        </w:tc>
        <w:tc>
          <w:tcPr>
            <w:tcW w:w="540" w:type="dxa"/>
            <w:shd w:val="clear" w:color="auto" w:fill="F2F2F2" w:themeFill="background1" w:themeFillShade="F2"/>
          </w:tcPr>
          <w:p w:rsidRPr="0043543C" w:rsidR="009543E2" w:rsidP="001645EE" w:rsidRDefault="001645EE" w14:paraId="475936E6" w14:textId="515B0A3A">
            <w:pPr>
              <w:pStyle w:val="Refnum2"/>
              <w:numPr>
                <w:ilvl w:val="0"/>
                <w:numId w:val="0"/>
              </w:numPr>
              <w:rPr>
                <w:bCs/>
              </w:rPr>
            </w:pPr>
            <w:r w:rsidRPr="0043543C">
              <w:rPr>
                <w:bCs/>
              </w:rPr>
              <w:t>4.3</w:t>
            </w:r>
          </w:p>
        </w:tc>
        <w:tc>
          <w:tcPr>
            <w:tcW w:w="6134" w:type="dxa"/>
            <w:shd w:val="clear" w:color="auto" w:fill="F2F2F2" w:themeFill="background1" w:themeFillShade="F2"/>
          </w:tcPr>
          <w:p w:rsidRPr="00624B02" w:rsidR="00070B44" w:rsidP="00070B44" w:rsidRDefault="00070B44" w14:paraId="11773CA6" w14:textId="7B22A13D">
            <w:pPr>
              <w:pStyle w:val="Listnum"/>
              <w:numPr>
                <w:ilvl w:val="0"/>
                <w:numId w:val="0"/>
              </w:numPr>
              <w:rPr>
                <w:b/>
              </w:rPr>
            </w:pPr>
            <w:r w:rsidRPr="00624B02">
              <w:rPr>
                <w:b/>
              </w:rPr>
              <w:t>Peppercorn/</w:t>
            </w:r>
            <w:r w:rsidRPr="00624B02" w:rsidR="007D43F0">
              <w:rPr>
                <w:b/>
              </w:rPr>
              <w:t xml:space="preserve">significantly </w:t>
            </w:r>
            <w:r w:rsidRPr="00624B02">
              <w:rPr>
                <w:b/>
              </w:rPr>
              <w:t xml:space="preserve">below market </w:t>
            </w:r>
            <w:r w:rsidRPr="00624B02" w:rsidR="00B1678E">
              <w:rPr>
                <w:b/>
              </w:rPr>
              <w:t xml:space="preserve">value </w:t>
            </w:r>
            <w:r w:rsidRPr="00624B02">
              <w:rPr>
                <w:b/>
              </w:rPr>
              <w:t>lease</w:t>
            </w:r>
            <w:r w:rsidRPr="00624B02" w:rsidR="00B1678E">
              <w:rPr>
                <w:b/>
              </w:rPr>
              <w:t>s</w:t>
            </w:r>
            <w:r w:rsidRPr="00624B02" w:rsidR="00767DF6">
              <w:rPr>
                <w:b/>
              </w:rPr>
              <w:t>:</w:t>
            </w:r>
          </w:p>
          <w:p w:rsidRPr="000C2D1D" w:rsidR="000C2D1D" w:rsidP="000C2D1D" w:rsidRDefault="000C2D1D" w14:paraId="1AFBC358" w14:textId="062352A5">
            <w:pPr>
              <w:pStyle w:val="Normalbold"/>
              <w:rPr>
                <w:i/>
                <w:iCs/>
              </w:rPr>
            </w:pPr>
            <w:r>
              <w:t>In December 2018, t</w:t>
            </w:r>
            <w:r w:rsidRPr="006A30D3">
              <w:t xml:space="preserve">he Australian Accounting Standards Board (AASB) issued </w:t>
            </w:r>
            <w:r>
              <w:t xml:space="preserve">AASB 2018-8 </w:t>
            </w:r>
            <w:r>
              <w:rPr>
                <w:i/>
                <w:iCs/>
              </w:rPr>
              <w:t>Amendments to Australian Accounting Standards – Right-of-Use Assets of Not-for-Profit Entities</w:t>
            </w:r>
            <w:r>
              <w:t>,</w:t>
            </w:r>
            <w:r w:rsidRPr="00D67254">
              <w:t xml:space="preserve"> </w:t>
            </w:r>
            <w:r w:rsidRPr="005D5044">
              <w:t xml:space="preserve">providing optional relief </w:t>
            </w:r>
            <w:r>
              <w:t xml:space="preserve">to not-for-profit entities </w:t>
            </w:r>
            <w:r w:rsidR="00362558">
              <w:t xml:space="preserve">to </w:t>
            </w:r>
            <w:r>
              <w:t xml:space="preserve">not apply the requirement </w:t>
            </w:r>
            <w:r w:rsidR="00362558">
              <w:t xml:space="preserve">to </w:t>
            </w:r>
            <w:r>
              <w:t xml:space="preserve">measure significantly below market leases at fair value. </w:t>
            </w:r>
          </w:p>
          <w:p w:rsidRPr="00D67254" w:rsidR="009543E2" w:rsidP="00267CE0" w:rsidRDefault="000C2D1D" w14:paraId="449BE474" w14:textId="534474A3">
            <w:pPr>
              <w:pStyle w:val="Listnum"/>
              <w:numPr>
                <w:ilvl w:val="0"/>
                <w:numId w:val="0"/>
              </w:numPr>
              <w:rPr>
                <w:b/>
                <w:bCs/>
              </w:rPr>
            </w:pPr>
            <w:r w:rsidRPr="00D67254">
              <w:rPr>
                <w:b/>
                <w:bCs/>
              </w:rPr>
              <w:t>The State mandates that entities covered by this FRD apply the optional relief in AASB 16</w:t>
            </w:r>
            <w:r w:rsidR="00686138">
              <w:rPr>
                <w:b/>
                <w:bCs/>
              </w:rPr>
              <w:t>.</w:t>
            </w:r>
            <w:r w:rsidRPr="00D67254">
              <w:rPr>
                <w:b/>
                <w:bCs/>
              </w:rPr>
              <w:t xml:space="preserve">Aus25.1 to </w:t>
            </w:r>
            <w:r w:rsidRPr="00D67254">
              <w:rPr>
                <w:b/>
                <w:bCs/>
                <w:szCs w:val="18"/>
              </w:rPr>
              <w:t>not</w:t>
            </w:r>
            <w:r w:rsidRPr="00D67254">
              <w:rPr>
                <w:b/>
                <w:bCs/>
              </w:rPr>
              <w:t xml:space="preserve"> apply the fair value measurement requirements for right-of-use assets arising from leases with significantly below-market terms and conditions principally to enable the entity to further its objectives</w:t>
            </w:r>
            <w:r w:rsidRPr="00D67254">
              <w:rPr>
                <w:b/>
                <w:bCs/>
                <w:szCs w:val="18"/>
              </w:rPr>
              <w:t>.</w:t>
            </w:r>
          </w:p>
        </w:tc>
      </w:tr>
      <w:tr w:rsidRPr="00771F53" w:rsidR="00BA5F15" w:rsidTr="00E65283" w14:paraId="363E5C55" w14:textId="77777777">
        <w:tc>
          <w:tcPr>
            <w:tcW w:w="2293" w:type="dxa"/>
            <w:shd w:val="clear" w:color="auto" w:fill="F2F2F2" w:themeFill="background1" w:themeFillShade="F2"/>
          </w:tcPr>
          <w:p w:rsidRPr="00771F53" w:rsidR="00BA5F15" w:rsidP="009543E2" w:rsidRDefault="00BA5F15" w14:paraId="0533B024" w14:textId="77777777">
            <w:pPr>
              <w:rPr>
                <w:b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</w:tcPr>
          <w:p w:rsidRPr="00771F53" w:rsidR="00BA5F15" w:rsidP="0043744A" w:rsidRDefault="00BA5F15" w14:paraId="2AF912F8" w14:textId="0F825E47"/>
        </w:tc>
        <w:tc>
          <w:tcPr>
            <w:tcW w:w="540" w:type="dxa"/>
            <w:shd w:val="clear" w:color="auto" w:fill="F2F2F2" w:themeFill="background1" w:themeFillShade="F2"/>
          </w:tcPr>
          <w:p w:rsidRPr="007D43F0" w:rsidR="00BA5F15" w:rsidP="009543E2" w:rsidRDefault="001645EE" w14:paraId="30598F48" w14:textId="0E9DB885">
            <w:pPr>
              <w:pStyle w:val="Refnum2"/>
              <w:numPr>
                <w:ilvl w:val="0"/>
                <w:numId w:val="0"/>
              </w:numPr>
              <w:ind w:left="504" w:hanging="504"/>
              <w:rPr>
                <w:bCs/>
              </w:rPr>
            </w:pPr>
            <w:r w:rsidRPr="007D43F0">
              <w:rPr>
                <w:bCs/>
              </w:rPr>
              <w:t>4.4</w:t>
            </w:r>
          </w:p>
        </w:tc>
        <w:tc>
          <w:tcPr>
            <w:tcW w:w="6134" w:type="dxa"/>
            <w:shd w:val="clear" w:color="auto" w:fill="F2F2F2" w:themeFill="background1" w:themeFillShade="F2"/>
          </w:tcPr>
          <w:p w:rsidRPr="00624B02" w:rsidR="00BA5F15" w:rsidP="003B1954" w:rsidRDefault="00BA5F15" w14:paraId="13A9FA36" w14:textId="6F468050">
            <w:pPr>
              <w:pStyle w:val="Listnum"/>
              <w:numPr>
                <w:ilvl w:val="0"/>
                <w:numId w:val="0"/>
              </w:numPr>
              <w:rPr>
                <w:b/>
              </w:rPr>
            </w:pPr>
            <w:r w:rsidRPr="00624B02">
              <w:rPr>
                <w:b/>
              </w:rPr>
              <w:t xml:space="preserve">Subsequent measurement of </w:t>
            </w:r>
            <w:r w:rsidRPr="00624B02" w:rsidR="00EE1C23">
              <w:rPr>
                <w:b/>
              </w:rPr>
              <w:t>right-of-use assets</w:t>
            </w:r>
          </w:p>
          <w:p w:rsidRPr="007D43F0" w:rsidR="00EE1C23" w:rsidP="00624B02" w:rsidRDefault="003061D9" w14:paraId="34D9D8DD" w14:textId="027D103C">
            <w:pPr>
              <w:pStyle w:val="Normalbold"/>
            </w:pPr>
            <w:r w:rsidRPr="007D43F0">
              <w:t>All</w:t>
            </w:r>
            <w:r w:rsidRPr="007D43F0" w:rsidR="00BA5F15">
              <w:t xml:space="preserve"> right-of-use assets</w:t>
            </w:r>
            <w:r w:rsidRPr="007D43F0" w:rsidR="0039126E">
              <w:t xml:space="preserve"> </w:t>
            </w:r>
            <w:r w:rsidRPr="007D43F0" w:rsidR="00BA5F15">
              <w:t xml:space="preserve">shall be </w:t>
            </w:r>
            <w:r w:rsidRPr="007D43F0" w:rsidR="0039126E">
              <w:t xml:space="preserve">accounted for </w:t>
            </w:r>
            <w:r w:rsidRPr="007D43F0" w:rsidR="00BA5F15">
              <w:t xml:space="preserve">using the </w:t>
            </w:r>
            <w:r w:rsidRPr="007D43F0" w:rsidR="009D5E19">
              <w:t>cost model</w:t>
            </w:r>
            <w:r w:rsidRPr="007D43F0" w:rsidR="00EE1C23">
              <w:t xml:space="preserve"> under AASB 16</w:t>
            </w:r>
            <w:r w:rsidRPr="007D43F0" w:rsidR="001772B0">
              <w:t xml:space="preserve"> effective for reporting periods ending 30 June 202</w:t>
            </w:r>
            <w:r w:rsidRPr="007D43F0" w:rsidR="00EC0877">
              <w:t>6</w:t>
            </w:r>
            <w:r w:rsidRPr="007D43F0" w:rsidR="0039126E">
              <w:t>.</w:t>
            </w:r>
          </w:p>
          <w:p w:rsidRPr="007D43F0" w:rsidR="00D507CD" w:rsidP="00624B02" w:rsidRDefault="00D507CD" w14:paraId="523BD2D0" w14:textId="5C0CE672">
            <w:pPr>
              <w:pStyle w:val="Normalbold"/>
            </w:pPr>
            <w:r w:rsidRPr="007D43F0">
              <w:t>On transition to the cost model, entities shall apply a modified retrospective approach, whereby:</w:t>
            </w:r>
          </w:p>
          <w:p w:rsidRPr="00624B02" w:rsidR="00D507CD" w:rsidP="00624B02" w:rsidRDefault="00D507CD" w14:paraId="6ED3E267" w14:textId="15234975">
            <w:pPr>
              <w:pStyle w:val="Bullet1"/>
              <w:rPr>
                <w:b/>
                <w:bCs/>
              </w:rPr>
            </w:pPr>
            <w:r w:rsidRPr="00624B02">
              <w:rPr>
                <w:b/>
                <w:bCs/>
              </w:rPr>
              <w:t>the closing carrying amounts of the right-of-use asset</w:t>
            </w:r>
            <w:r w:rsidRPr="00624B02" w:rsidR="008E3233">
              <w:rPr>
                <w:b/>
                <w:bCs/>
              </w:rPr>
              <w:t xml:space="preserve"> under the </w:t>
            </w:r>
            <w:r w:rsidRPr="00624B02" w:rsidR="00D41CED">
              <w:rPr>
                <w:b/>
                <w:bCs/>
              </w:rPr>
              <w:t xml:space="preserve">revaluation </w:t>
            </w:r>
            <w:r w:rsidRPr="00624B02" w:rsidR="008E3233">
              <w:rPr>
                <w:b/>
                <w:bCs/>
              </w:rPr>
              <w:t>model</w:t>
            </w:r>
            <w:r w:rsidRPr="00624B02">
              <w:rPr>
                <w:b/>
                <w:bCs/>
              </w:rPr>
              <w:t xml:space="preserve"> from the reporting period</w:t>
            </w:r>
            <w:r w:rsidRPr="00624B02" w:rsidR="008E3233">
              <w:rPr>
                <w:b/>
                <w:bCs/>
              </w:rPr>
              <w:t xml:space="preserve"> prior to transition</w:t>
            </w:r>
            <w:r w:rsidRPr="00624B02" w:rsidR="008E3233">
              <w:rPr>
                <w:rStyle w:val="FootnoteReference"/>
                <w:b/>
                <w:bCs/>
              </w:rPr>
              <w:footnoteReference w:id="1"/>
            </w:r>
            <w:r w:rsidRPr="00624B02">
              <w:rPr>
                <w:b/>
                <w:bCs/>
              </w:rPr>
              <w:t xml:space="preserve"> become the opening carrying amounts under the cost model;</w:t>
            </w:r>
          </w:p>
          <w:p w:rsidRPr="00624B02" w:rsidR="00211F46" w:rsidP="00624B02" w:rsidRDefault="004B3CC4" w14:paraId="34FA186F" w14:textId="77777777">
            <w:pPr>
              <w:pStyle w:val="Bullet1"/>
              <w:rPr>
                <w:b/>
                <w:bCs/>
              </w:rPr>
            </w:pPr>
            <w:r w:rsidRPr="00624B02">
              <w:rPr>
                <w:b/>
                <w:bCs/>
              </w:rPr>
              <w:t>e</w:t>
            </w:r>
            <w:r w:rsidRPr="00624B02" w:rsidR="00615187">
              <w:rPr>
                <w:b/>
                <w:bCs/>
              </w:rPr>
              <w:t>ntities s</w:t>
            </w:r>
            <w:r w:rsidRPr="00624B02">
              <w:rPr>
                <w:b/>
                <w:bCs/>
              </w:rPr>
              <w:t>hall</w:t>
            </w:r>
            <w:r w:rsidRPr="00624B02" w:rsidR="00615187">
              <w:rPr>
                <w:b/>
                <w:bCs/>
              </w:rPr>
              <w:t xml:space="preserve"> not </w:t>
            </w:r>
            <w:r w:rsidRPr="00624B02" w:rsidR="00211F46">
              <w:rPr>
                <w:b/>
                <w:bCs/>
              </w:rPr>
              <w:t>restate</w:t>
            </w:r>
            <w:r w:rsidRPr="00624B02" w:rsidR="00615187">
              <w:rPr>
                <w:b/>
                <w:bCs/>
              </w:rPr>
              <w:t xml:space="preserve"> their comparative</w:t>
            </w:r>
            <w:r w:rsidRPr="00624B02">
              <w:rPr>
                <w:b/>
                <w:bCs/>
              </w:rPr>
              <w:t xml:space="preserve"> balances</w:t>
            </w:r>
            <w:r w:rsidRPr="00624B02" w:rsidR="00211F46">
              <w:rPr>
                <w:b/>
                <w:bCs/>
              </w:rPr>
              <w:t>;</w:t>
            </w:r>
          </w:p>
          <w:p w:rsidRPr="00624B02" w:rsidR="00D507CD" w:rsidP="00624B02" w:rsidRDefault="00D507CD" w14:paraId="51A17371" w14:textId="3850187C">
            <w:pPr>
              <w:pStyle w:val="Bullet1"/>
              <w:rPr>
                <w:b/>
                <w:bCs/>
              </w:rPr>
            </w:pPr>
            <w:r w:rsidRPr="00624B02">
              <w:rPr>
                <w:b/>
                <w:bCs/>
              </w:rPr>
              <w:t>entities shall subsequently measure right-of-use assets under the cost model;</w:t>
            </w:r>
          </w:p>
          <w:p w:rsidRPr="00624B02" w:rsidR="00CE693A" w:rsidP="00624B02" w:rsidRDefault="00D507CD" w14:paraId="0E595343" w14:textId="77777777">
            <w:pPr>
              <w:pStyle w:val="Bullet1"/>
              <w:rPr>
                <w:b/>
                <w:bCs/>
              </w:rPr>
            </w:pPr>
            <w:r w:rsidRPr="00624B02">
              <w:rPr>
                <w:b/>
                <w:bCs/>
              </w:rPr>
              <w:t>entities shall disclose the change in accounting policy in their annual reports in the first year of change</w:t>
            </w:r>
            <w:r w:rsidRPr="00624B02" w:rsidR="00CE693A">
              <w:rPr>
                <w:b/>
                <w:bCs/>
              </w:rPr>
              <w:t>; and</w:t>
            </w:r>
          </w:p>
          <w:p w:rsidRPr="007D43F0" w:rsidR="00EE1C23" w:rsidP="00624B02" w:rsidRDefault="006705EB" w14:paraId="2A2A5CFF" w14:textId="116FCA8B">
            <w:pPr>
              <w:pStyle w:val="Bullet1"/>
            </w:pPr>
            <w:r w:rsidRPr="00624B02">
              <w:rPr>
                <w:b/>
                <w:bCs/>
              </w:rPr>
              <w:t>asset revaluation reserve balances for right-of-use assets (if any) shall be transferred to accumulated surplus on derecognition</w:t>
            </w:r>
            <w:r w:rsidRPr="00624B02" w:rsidR="00FA3164">
              <w:rPr>
                <w:b/>
                <w:bCs/>
              </w:rPr>
              <w:t xml:space="preserve"> of the right-of-use asset</w:t>
            </w:r>
            <w:r w:rsidRPr="00624B02" w:rsidR="00D507CD">
              <w:rPr>
                <w:b/>
                <w:bCs/>
              </w:rPr>
              <w:t>.</w:t>
            </w:r>
          </w:p>
        </w:tc>
      </w:tr>
      <w:tr w:rsidRPr="00771F53" w:rsidR="00ED17EF" w:rsidTr="008E4BB2" w14:paraId="14F9FAD0" w14:textId="77777777">
        <w:trPr>
          <w:trHeight w:val="872"/>
        </w:trPr>
        <w:tc>
          <w:tcPr>
            <w:tcW w:w="2293" w:type="dxa"/>
          </w:tcPr>
          <w:p w:rsidRPr="00771F53" w:rsidR="00ED17EF" w:rsidP="009543E2" w:rsidRDefault="00ED17EF" w14:paraId="052E0B3B" w14:textId="4962DA2A">
            <w:pPr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270" w:type="dxa"/>
          </w:tcPr>
          <w:p w:rsidRPr="0043744A" w:rsidR="00ED17EF" w:rsidP="0043744A" w:rsidRDefault="00ED17EF" w14:paraId="52718616" w14:textId="32A9C3F1">
            <w:pPr>
              <w:pStyle w:val="Refnum1"/>
              <w:rPr>
                <w:color w:val="auto"/>
              </w:rPr>
            </w:pPr>
          </w:p>
        </w:tc>
        <w:tc>
          <w:tcPr>
            <w:tcW w:w="540" w:type="dxa"/>
          </w:tcPr>
          <w:p w:rsidRPr="00DD3469" w:rsidR="00ED17EF" w:rsidP="0043744A" w:rsidRDefault="00ED17EF" w14:paraId="6831E7E9" w14:textId="4799B7C7">
            <w:pPr>
              <w:pStyle w:val="Refnum2"/>
            </w:pPr>
          </w:p>
        </w:tc>
        <w:tc>
          <w:tcPr>
            <w:tcW w:w="6134" w:type="dxa"/>
          </w:tcPr>
          <w:p w:rsidRPr="00771F53" w:rsidR="00ED17EF" w:rsidP="00624B02" w:rsidRDefault="00ED17EF" w14:paraId="5D9AC164" w14:textId="67A347A8">
            <w:pPr>
              <w:pStyle w:val="Normalgrey"/>
              <w:rPr>
                <w:b/>
              </w:rPr>
            </w:pPr>
            <w:r>
              <w:rPr>
                <w:b/>
              </w:rPr>
              <w:t>Leases</w:t>
            </w:r>
            <w:r w:rsidRPr="00413135">
              <w:rPr>
                <w:b/>
              </w:rPr>
              <w:t>:</w:t>
            </w:r>
            <w:r w:rsidRPr="00214BAE">
              <w:t xml:space="preserve"> </w:t>
            </w:r>
            <w:r w:rsidRPr="0089125E" w:rsidR="0089125E">
              <w:t>A contract, or part of a contract, that conveys the right to use an asset (the underlying asset) for a period of time in exchange for consideration</w:t>
            </w:r>
            <w:r w:rsidRPr="0048491D">
              <w:t>.</w:t>
            </w:r>
          </w:p>
        </w:tc>
      </w:tr>
      <w:tr w:rsidRPr="00771F53" w:rsidR="00E65283" w:rsidTr="00E65283" w14:paraId="2B3D63DF" w14:textId="77777777">
        <w:tc>
          <w:tcPr>
            <w:tcW w:w="2293" w:type="dxa"/>
          </w:tcPr>
          <w:p w:rsidR="00E65283" w:rsidP="009543E2" w:rsidRDefault="00E65283" w14:paraId="581A8507" w14:textId="77777777">
            <w:pPr>
              <w:rPr>
                <w:b/>
              </w:rPr>
            </w:pPr>
          </w:p>
        </w:tc>
        <w:tc>
          <w:tcPr>
            <w:tcW w:w="270" w:type="dxa"/>
          </w:tcPr>
          <w:p w:rsidRPr="00771F53" w:rsidR="00E65283" w:rsidP="009543E2" w:rsidRDefault="00E65283" w14:paraId="0C6E446C" w14:textId="77777777">
            <w:pPr>
              <w:pStyle w:val="Normalgrey"/>
              <w:rPr>
                <w:b/>
              </w:rPr>
            </w:pPr>
          </w:p>
        </w:tc>
        <w:tc>
          <w:tcPr>
            <w:tcW w:w="540" w:type="dxa"/>
          </w:tcPr>
          <w:p w:rsidR="00E65283" w:rsidP="0043744A" w:rsidRDefault="00E65283" w14:paraId="7D43A5C4" w14:textId="2E9D6877">
            <w:pPr>
              <w:pStyle w:val="Refnum2"/>
            </w:pPr>
          </w:p>
        </w:tc>
        <w:tc>
          <w:tcPr>
            <w:tcW w:w="6134" w:type="dxa"/>
          </w:tcPr>
          <w:p w:rsidR="00E65283" w:rsidP="00624B02" w:rsidRDefault="006063B1" w14:paraId="273B5BCC" w14:textId="69F847C3">
            <w:pPr>
              <w:pStyle w:val="Normalgrey"/>
              <w:rPr>
                <w:b/>
              </w:rPr>
            </w:pPr>
            <w:r>
              <w:rPr>
                <w:b/>
              </w:rPr>
              <w:t>Lesse</w:t>
            </w:r>
            <w:r w:rsidR="00735F96">
              <w:rPr>
                <w:b/>
              </w:rPr>
              <w:t>e</w:t>
            </w:r>
            <w:r w:rsidRPr="0089125E" w:rsidR="00E65283">
              <w:rPr>
                <w:b/>
              </w:rPr>
              <w:t>:</w:t>
            </w:r>
            <w:r w:rsidRPr="0089125E" w:rsidR="00E65283">
              <w:t xml:space="preserve"> </w:t>
            </w:r>
            <w:r w:rsidRPr="004469BC" w:rsidR="004469BC">
              <w:t xml:space="preserve">An entity that obtains the right to use an underlying asset for </w:t>
            </w:r>
            <w:r w:rsidRPr="004469BC" w:rsidR="00B0394B">
              <w:t>a period</w:t>
            </w:r>
            <w:r w:rsidRPr="004469BC" w:rsidR="004469BC">
              <w:t xml:space="preserve"> </w:t>
            </w:r>
            <w:r w:rsidR="008E4BB2">
              <w:t xml:space="preserve">of time </w:t>
            </w:r>
            <w:r w:rsidRPr="004469BC" w:rsidR="004469BC">
              <w:t>in exchange for consideration.</w:t>
            </w:r>
            <w:r w:rsidR="004469BC">
              <w:t xml:space="preserve"> </w:t>
            </w:r>
          </w:p>
        </w:tc>
      </w:tr>
      <w:tr w:rsidRPr="00771F53" w:rsidR="00E65283" w:rsidTr="00E65283" w14:paraId="624E5045" w14:textId="77777777">
        <w:tc>
          <w:tcPr>
            <w:tcW w:w="2293" w:type="dxa"/>
          </w:tcPr>
          <w:p w:rsidRPr="00771F53" w:rsidR="00E65283" w:rsidP="00A4723C" w:rsidRDefault="00E65283" w14:paraId="5517BD1A" w14:textId="69AFCE8C">
            <w:pPr>
              <w:rPr>
                <w:b/>
              </w:rPr>
            </w:pPr>
          </w:p>
        </w:tc>
        <w:tc>
          <w:tcPr>
            <w:tcW w:w="270" w:type="dxa"/>
          </w:tcPr>
          <w:p w:rsidRPr="00771F53" w:rsidR="00E65283" w:rsidP="00A4723C" w:rsidRDefault="00E65283" w14:paraId="0ABE697D" w14:textId="77777777">
            <w:pPr>
              <w:pStyle w:val="Normalgrey"/>
              <w:rPr>
                <w:b/>
              </w:rPr>
            </w:pPr>
          </w:p>
        </w:tc>
        <w:tc>
          <w:tcPr>
            <w:tcW w:w="540" w:type="dxa"/>
          </w:tcPr>
          <w:p w:rsidRPr="00771F53" w:rsidR="00E65283" w:rsidP="0043744A" w:rsidRDefault="00E65283" w14:paraId="45E1881F" w14:textId="77777777">
            <w:pPr>
              <w:pStyle w:val="Refnum2"/>
            </w:pPr>
          </w:p>
        </w:tc>
        <w:tc>
          <w:tcPr>
            <w:tcW w:w="6134" w:type="dxa"/>
          </w:tcPr>
          <w:p w:rsidR="00E65283" w:rsidP="00624B02" w:rsidRDefault="001F477E" w14:paraId="45162343" w14:textId="2A382546">
            <w:pPr>
              <w:pStyle w:val="Normalgrey"/>
            </w:pPr>
            <w:r>
              <w:rPr>
                <w:b/>
              </w:rPr>
              <w:t>Right-of-use asset</w:t>
            </w:r>
            <w:r w:rsidRPr="001F477E" w:rsidR="00E65283">
              <w:rPr>
                <w:b/>
              </w:rPr>
              <w:t>:</w:t>
            </w:r>
            <w:r w:rsidR="00F4273D">
              <w:t xml:space="preserve"> </w:t>
            </w:r>
            <w:r w:rsidRPr="00652F6C" w:rsidR="00652F6C">
              <w:t>An asset that represents a lessee’s right to use an underlying asset for the lease term.</w:t>
            </w:r>
            <w:r w:rsidR="00652F6C">
              <w:t xml:space="preserve"> </w:t>
            </w:r>
          </w:p>
          <w:p w:rsidRPr="00624B02" w:rsidR="00CA2954" w:rsidP="00624B02" w:rsidRDefault="00851FA7" w14:paraId="782FF170" w14:textId="3190367A">
            <w:pPr>
              <w:pStyle w:val="Normalgrey"/>
              <w:rPr>
                <w:b/>
                <w:bCs/>
              </w:rPr>
            </w:pPr>
            <w:r w:rsidRPr="00624B02">
              <w:rPr>
                <w:b/>
                <w:bCs/>
              </w:rPr>
              <w:t xml:space="preserve">Refer to Appendix A Defined terms of AASB 16 </w:t>
            </w:r>
            <w:r w:rsidRPr="00624B02">
              <w:rPr>
                <w:b/>
                <w:bCs/>
                <w:i/>
                <w:iCs/>
              </w:rPr>
              <w:t>Leases</w:t>
            </w:r>
            <w:r w:rsidRPr="00624B02">
              <w:rPr>
                <w:b/>
                <w:bCs/>
              </w:rPr>
              <w:t xml:space="preserve"> for a full list of definitions.</w:t>
            </w:r>
          </w:p>
        </w:tc>
      </w:tr>
      <w:tr w:rsidRPr="00771F53" w:rsidR="00E65283" w:rsidTr="00104FF5" w14:paraId="52842308" w14:textId="77777777">
        <w:tc>
          <w:tcPr>
            <w:tcW w:w="2293" w:type="dxa"/>
          </w:tcPr>
          <w:p w:rsidRPr="00771F53" w:rsidR="00E65283" w:rsidP="009543E2" w:rsidRDefault="00FC2C88" w14:paraId="716A4732" w14:textId="0FF5A7F1">
            <w:pPr>
              <w:rPr>
                <w:b/>
              </w:rPr>
            </w:pPr>
            <w:r>
              <w:t>Guidance</w:t>
            </w:r>
          </w:p>
        </w:tc>
        <w:tc>
          <w:tcPr>
            <w:tcW w:w="270" w:type="dxa"/>
          </w:tcPr>
          <w:p w:rsidRPr="00B96175" w:rsidR="00E65283" w:rsidP="0043744A" w:rsidRDefault="00E65283" w14:paraId="153A4B18" w14:textId="77777777">
            <w:pPr>
              <w:pStyle w:val="Refnum1"/>
            </w:pPr>
          </w:p>
        </w:tc>
        <w:tc>
          <w:tcPr>
            <w:tcW w:w="540" w:type="dxa"/>
          </w:tcPr>
          <w:p w:rsidRPr="00B96175" w:rsidR="00E65283" w:rsidP="0043744A" w:rsidRDefault="00E65283" w14:paraId="785F89FE" w14:textId="17410449">
            <w:pPr>
              <w:pStyle w:val="Refnum2"/>
            </w:pPr>
          </w:p>
        </w:tc>
        <w:tc>
          <w:tcPr>
            <w:tcW w:w="6134" w:type="dxa"/>
          </w:tcPr>
          <w:p w:rsidRPr="00736962" w:rsidR="00736962" w:rsidP="00624B02" w:rsidRDefault="00736962" w14:paraId="68D62508" w14:textId="5FB5F74D">
            <w:pPr>
              <w:pStyle w:val="Normalgrey"/>
            </w:pPr>
            <w:r w:rsidRPr="00736962">
              <w:t>Supporting information and checklists have been published on the DTF website:</w:t>
            </w:r>
          </w:p>
          <w:p w:rsidRPr="008E735A" w:rsidR="00E65283" w:rsidP="0043744A" w:rsidRDefault="00736962" w14:paraId="043DD0E9" w14:textId="74A0BCA7">
            <w:pPr>
              <w:pStyle w:val="Bullet1grey"/>
            </w:pPr>
            <w:hyperlink w:history="1" r:id="rId13">
              <w:r w:rsidRPr="00A16D23">
                <w:rPr>
                  <w:rStyle w:val="Hyperlink"/>
                </w:rPr>
                <w:t>https://www.dtf.vic.gov.au/financial-reporting-policy/accounting-standards-checklists</w:t>
              </w:r>
            </w:hyperlink>
          </w:p>
        </w:tc>
      </w:tr>
      <w:tr w:rsidRPr="00771F53" w:rsidR="00990D89" w:rsidTr="00E65283" w14:paraId="6919349E" w14:textId="77777777">
        <w:tc>
          <w:tcPr>
            <w:tcW w:w="2293" w:type="dxa"/>
          </w:tcPr>
          <w:p w:rsidR="00990D89" w:rsidP="009543E2" w:rsidRDefault="00990D89" w14:paraId="5D0D53BD" w14:textId="77777777"/>
        </w:tc>
        <w:tc>
          <w:tcPr>
            <w:tcW w:w="270" w:type="dxa"/>
          </w:tcPr>
          <w:p w:rsidRPr="00653F0A" w:rsidR="00990D89" w:rsidP="009543E2" w:rsidRDefault="00990D89" w14:paraId="63525C30" w14:textId="77777777">
            <w:pPr>
              <w:pStyle w:val="Normalgrey"/>
              <w:rPr>
                <w:b/>
                <w:color w:val="FFFFFF" w:themeColor="background1"/>
              </w:rPr>
            </w:pPr>
          </w:p>
        </w:tc>
        <w:tc>
          <w:tcPr>
            <w:tcW w:w="540" w:type="dxa"/>
          </w:tcPr>
          <w:p w:rsidRPr="00A837F8" w:rsidR="00990D89" w:rsidP="00A837F8" w:rsidRDefault="00990D89" w14:paraId="69A7982B" w14:textId="77777777">
            <w:pPr>
              <w:pStyle w:val="Refnum2"/>
            </w:pPr>
          </w:p>
        </w:tc>
        <w:tc>
          <w:tcPr>
            <w:tcW w:w="6134" w:type="dxa"/>
          </w:tcPr>
          <w:p w:rsidRPr="008E735A" w:rsidR="008E735A" w:rsidP="008E735A" w:rsidRDefault="008E735A" w14:paraId="6A681DCE" w14:textId="3096BF3C">
            <w:r w:rsidRPr="008E735A">
              <w:t xml:space="preserve">An example of the disclosures required </w:t>
            </w:r>
            <w:r w:rsidR="0082367B">
              <w:t>is</w:t>
            </w:r>
            <w:r w:rsidRPr="008E735A" w:rsidR="0082367B">
              <w:t xml:space="preserve"> </w:t>
            </w:r>
            <w:r w:rsidRPr="008E735A">
              <w:t>contained in the Model Report for Victorian Government Departments. This model report is available on the DTF website:</w:t>
            </w:r>
          </w:p>
          <w:p w:rsidRPr="00736962" w:rsidR="00990D89" w:rsidP="0043744A" w:rsidRDefault="008E735A" w14:paraId="5D8597B0" w14:textId="16853938">
            <w:pPr>
              <w:pStyle w:val="Bullet1grey"/>
            </w:pPr>
            <w:hyperlink w:history="1" r:id="rId14">
              <w:r w:rsidRPr="00896535">
                <w:rPr>
                  <w:rStyle w:val="Hyperlink"/>
                </w:rPr>
                <w:t>https://www.dtf.vic.gov.au/financial-reporting-policy/model-report</w:t>
              </w:r>
            </w:hyperlink>
          </w:p>
        </w:tc>
      </w:tr>
      <w:tr w:rsidRPr="00771F53" w:rsidR="008E735A" w:rsidTr="00E65283" w14:paraId="4135F378" w14:textId="77777777">
        <w:tc>
          <w:tcPr>
            <w:tcW w:w="2293" w:type="dxa"/>
          </w:tcPr>
          <w:p w:rsidR="008E735A" w:rsidP="009543E2" w:rsidRDefault="008E735A" w14:paraId="18DFA90E" w14:textId="77777777"/>
        </w:tc>
        <w:tc>
          <w:tcPr>
            <w:tcW w:w="270" w:type="dxa"/>
          </w:tcPr>
          <w:p w:rsidRPr="00771F53" w:rsidR="008E735A" w:rsidP="009543E2" w:rsidRDefault="008E735A" w14:paraId="57654352" w14:textId="77777777">
            <w:pPr>
              <w:pStyle w:val="Normalgrey"/>
              <w:rPr>
                <w:b/>
              </w:rPr>
            </w:pPr>
          </w:p>
        </w:tc>
        <w:tc>
          <w:tcPr>
            <w:tcW w:w="540" w:type="dxa"/>
          </w:tcPr>
          <w:p w:rsidRPr="00A837F8" w:rsidR="008E735A" w:rsidP="00A837F8" w:rsidRDefault="008E735A" w14:paraId="62D47455" w14:textId="77777777">
            <w:pPr>
              <w:pStyle w:val="Refnum2"/>
            </w:pPr>
          </w:p>
        </w:tc>
        <w:tc>
          <w:tcPr>
            <w:tcW w:w="6134" w:type="dxa"/>
          </w:tcPr>
          <w:p w:rsidRPr="007D43F0" w:rsidR="004571D5" w:rsidP="008E735A" w:rsidRDefault="005E6276" w14:paraId="5340F538" w14:textId="22B55B9D">
            <w:r w:rsidRPr="007D43F0">
              <w:t>E</w:t>
            </w:r>
            <w:r w:rsidRPr="007D43F0" w:rsidR="00B02F6C">
              <w:t>ntit</w:t>
            </w:r>
            <w:r w:rsidRPr="007D43F0">
              <w:t>ies</w:t>
            </w:r>
            <w:r w:rsidRPr="007D43F0" w:rsidR="00B02F6C">
              <w:t xml:space="preserve"> should refer to AASB 16 </w:t>
            </w:r>
            <w:r w:rsidRPr="007D43F0" w:rsidR="00B02F6C">
              <w:rPr>
                <w:i/>
                <w:iCs/>
              </w:rPr>
              <w:t>Leases</w:t>
            </w:r>
            <w:r w:rsidRPr="007D43F0" w:rsidR="00B02F6C">
              <w:t xml:space="preserve"> for further information around the recognition and measurement requirements for right-of-use assets and lease liabilities.</w:t>
            </w:r>
            <w:r w:rsidRPr="007D43F0" w:rsidR="004571D5">
              <w:t xml:space="preserve"> </w:t>
            </w:r>
          </w:p>
          <w:p w:rsidRPr="007D43F0" w:rsidR="008E735A" w:rsidP="008E735A" w:rsidRDefault="004571D5" w14:paraId="37A46FAC" w14:textId="77777777">
            <w:r w:rsidRPr="007D43F0">
              <w:t xml:space="preserve">Entities should refer to AASB 136 </w:t>
            </w:r>
            <w:r w:rsidRPr="007D43F0">
              <w:rPr>
                <w:i/>
                <w:iCs/>
              </w:rPr>
              <w:t>Impairment of Assets</w:t>
            </w:r>
            <w:r w:rsidRPr="007D43F0">
              <w:t xml:space="preserve"> and FRD 106 </w:t>
            </w:r>
            <w:r w:rsidRPr="007D43F0">
              <w:rPr>
                <w:i/>
                <w:iCs/>
              </w:rPr>
              <w:t>Impairment of Assets</w:t>
            </w:r>
            <w:r w:rsidRPr="007D43F0">
              <w:t xml:space="preserve"> for further information on impairment of right-of-use assets.</w:t>
            </w:r>
          </w:p>
          <w:p w:rsidRPr="007D43F0" w:rsidR="004571D5" w:rsidP="004571D5" w:rsidRDefault="004571D5" w14:paraId="2B903F37" w14:textId="5B830466">
            <w:r w:rsidRPr="007D43F0">
              <w:t>Additional guidance on applying the cost model for the measurement of right-of-use assets has also been published on the DTF website:</w:t>
            </w:r>
          </w:p>
          <w:p w:rsidRPr="004571D5" w:rsidR="004571D5" w:rsidP="00A837F8" w:rsidRDefault="00880878" w14:paraId="0B7FCF07" w14:textId="034808EF">
            <w:pPr>
              <w:pStyle w:val="Bullet1grey"/>
              <w:spacing w:after="120"/>
              <w:contextualSpacing w:val="0"/>
            </w:pPr>
            <w:hyperlink w:history="1" r:id="rId15">
              <w:r>
                <w:rPr>
                  <w:rStyle w:val="Hyperlink"/>
                </w:rPr>
                <w:t>https://www.dtf.vic.gov.au/financial-reporting-directions-and-guidance</w:t>
              </w:r>
            </w:hyperlink>
          </w:p>
        </w:tc>
      </w:tr>
      <w:tr w:rsidRPr="005828FE" w:rsidR="00E65283" w:rsidTr="00E65283" w14:paraId="308CBD8D" w14:textId="77777777">
        <w:tc>
          <w:tcPr>
            <w:tcW w:w="2293" w:type="dxa"/>
          </w:tcPr>
          <w:p w:rsidRPr="0012743A" w:rsidR="00E65283" w:rsidP="009543E2" w:rsidRDefault="00E65283" w14:paraId="3240C013" w14:textId="696F9777">
            <w:pPr>
              <w:pStyle w:val="Normalgrey"/>
            </w:pPr>
            <w:r w:rsidRPr="00E2009B">
              <w:lastRenderedPageBreak/>
              <w:t xml:space="preserve">Relevant </w:t>
            </w:r>
            <w:r>
              <w:t>p</w:t>
            </w:r>
            <w:r w:rsidRPr="00E2009B">
              <w:t>ronouncements</w:t>
            </w:r>
          </w:p>
        </w:tc>
        <w:tc>
          <w:tcPr>
            <w:tcW w:w="270" w:type="dxa"/>
          </w:tcPr>
          <w:p w:rsidRPr="00CA484A" w:rsidR="00E65283" w:rsidP="00A837F8" w:rsidRDefault="00E65283" w14:paraId="79156E64" w14:textId="77777777">
            <w:pPr>
              <w:pStyle w:val="Refnum1"/>
            </w:pPr>
          </w:p>
        </w:tc>
        <w:tc>
          <w:tcPr>
            <w:tcW w:w="540" w:type="dxa"/>
          </w:tcPr>
          <w:p w:rsidRPr="00CA484A" w:rsidR="00E65283" w:rsidP="00A837F8" w:rsidRDefault="00E65283" w14:paraId="4638FC32" w14:textId="77777777">
            <w:pPr>
              <w:pStyle w:val="Refnum2"/>
            </w:pPr>
          </w:p>
        </w:tc>
        <w:tc>
          <w:tcPr>
            <w:tcW w:w="6134" w:type="dxa"/>
          </w:tcPr>
          <w:p w:rsidRPr="00CD562F" w:rsidR="009163D0" w:rsidP="00CD562F" w:rsidRDefault="00E65283" w14:paraId="1D0C0FD5" w14:textId="22884BFC">
            <w:pPr>
              <w:pStyle w:val="Bullet1grey"/>
            </w:pPr>
            <w:r w:rsidRPr="00CD562F">
              <w:t>AASB 1</w:t>
            </w:r>
            <w:r w:rsidRPr="00CD562F" w:rsidR="00C37583">
              <w:t xml:space="preserve">6 </w:t>
            </w:r>
            <w:r w:rsidRPr="00CD562F" w:rsidR="00C37583">
              <w:rPr>
                <w:i/>
                <w:iCs/>
              </w:rPr>
              <w:t>Leases</w:t>
            </w:r>
            <w:r w:rsidRPr="00CD562F">
              <w:t xml:space="preserve"> </w:t>
            </w:r>
          </w:p>
          <w:p w:rsidRPr="00CD562F" w:rsidR="00CD562F" w:rsidP="009163D0" w:rsidRDefault="00356BE6" w14:paraId="0530AA29" w14:textId="61D7D3FE">
            <w:pPr>
              <w:pStyle w:val="Bullet1grey"/>
            </w:pPr>
            <w:r>
              <w:t xml:space="preserve">AASB 136 </w:t>
            </w:r>
            <w:r>
              <w:rPr>
                <w:i/>
                <w:iCs/>
              </w:rPr>
              <w:t xml:space="preserve">Impairment </w:t>
            </w:r>
            <w:r w:rsidR="000859B4">
              <w:rPr>
                <w:i/>
                <w:iCs/>
              </w:rPr>
              <w:t>of Assets</w:t>
            </w:r>
          </w:p>
          <w:p w:rsidRPr="00CD562F" w:rsidR="00E65283" w:rsidP="00CD562F" w:rsidRDefault="001A572E" w14:paraId="132FEC66" w14:textId="7ABCD731">
            <w:pPr>
              <w:pStyle w:val="Bullet1grey"/>
            </w:pPr>
            <w:r w:rsidRPr="00CD562F">
              <w:t xml:space="preserve">FRD 106 </w:t>
            </w:r>
            <w:r w:rsidRPr="00CD562F">
              <w:rPr>
                <w:i/>
                <w:iCs/>
              </w:rPr>
              <w:t>Impairment of Assets (</w:t>
            </w:r>
            <w:r w:rsidR="0071093A">
              <w:rPr>
                <w:i/>
                <w:iCs/>
              </w:rPr>
              <w:t>February</w:t>
            </w:r>
            <w:r w:rsidRPr="00CD562F">
              <w:rPr>
                <w:i/>
                <w:iCs/>
              </w:rPr>
              <w:t xml:space="preserve"> 2026)</w:t>
            </w:r>
          </w:p>
        </w:tc>
      </w:tr>
      <w:tr w:rsidRPr="005828FE" w:rsidR="00E65283" w:rsidTr="00866481" w14:paraId="3495D7E0" w14:textId="77777777">
        <w:trPr>
          <w:trHeight w:val="3822"/>
        </w:trPr>
        <w:tc>
          <w:tcPr>
            <w:tcW w:w="2293" w:type="dxa"/>
          </w:tcPr>
          <w:p w:rsidRPr="00E2009B" w:rsidR="00E65283" w:rsidP="009543E2" w:rsidRDefault="00E65283" w14:paraId="2250A26A" w14:textId="78A05BC6">
            <w:pPr>
              <w:pStyle w:val="Normalgrey"/>
            </w:pPr>
            <w:r w:rsidRPr="00E2009B">
              <w:t>Background</w:t>
            </w:r>
          </w:p>
        </w:tc>
        <w:tc>
          <w:tcPr>
            <w:tcW w:w="270" w:type="dxa"/>
          </w:tcPr>
          <w:p w:rsidRPr="00D27CF0" w:rsidR="00E65283" w:rsidP="00A837F8" w:rsidRDefault="00E65283" w14:paraId="0A738E55" w14:textId="77777777">
            <w:pPr>
              <w:pStyle w:val="Refnum1"/>
            </w:pPr>
          </w:p>
        </w:tc>
        <w:tc>
          <w:tcPr>
            <w:tcW w:w="540" w:type="dxa"/>
          </w:tcPr>
          <w:p w:rsidRPr="00D27CF0" w:rsidR="00E65283" w:rsidP="00A837F8" w:rsidRDefault="00E65283" w14:paraId="328E0B74" w14:textId="17101693">
            <w:pPr>
              <w:pStyle w:val="Refnum2"/>
            </w:pPr>
          </w:p>
        </w:tc>
        <w:tc>
          <w:tcPr>
            <w:tcW w:w="6134" w:type="dxa"/>
          </w:tcPr>
          <w:p w:rsidR="00107F0F" w:rsidP="009543E2" w:rsidRDefault="00107F0F" w14:paraId="155ABB63" w14:textId="3548291C">
            <w:pPr>
              <w:pStyle w:val="Normalgrey"/>
            </w:pPr>
            <w:r w:rsidRPr="00107F0F">
              <w:t xml:space="preserve">The Australian Accounting Standards Board (AASB) published AASB 16 </w:t>
            </w:r>
            <w:r w:rsidRPr="00705D22">
              <w:rPr>
                <w:i/>
                <w:iCs/>
              </w:rPr>
              <w:t xml:space="preserve">Leases </w:t>
            </w:r>
            <w:r w:rsidRPr="00107F0F">
              <w:t xml:space="preserve">which came into effect </w:t>
            </w:r>
            <w:r w:rsidR="00834343">
              <w:t>for reporting periods beginning on or after</w:t>
            </w:r>
            <w:r w:rsidRPr="00107F0F">
              <w:t xml:space="preserve"> 1 January 2019</w:t>
            </w:r>
            <w:r w:rsidR="00834343">
              <w:t xml:space="preserve">. </w:t>
            </w:r>
            <w:r w:rsidRPr="00107F0F">
              <w:t xml:space="preserve">The purpose of this standard was to adopt a </w:t>
            </w:r>
            <w:r w:rsidR="00435F7C">
              <w:t>new</w:t>
            </w:r>
            <w:r w:rsidRPr="00107F0F" w:rsidR="00435F7C">
              <w:t xml:space="preserve"> </w:t>
            </w:r>
            <w:r w:rsidRPr="00107F0F">
              <w:t xml:space="preserve">approach to lease accounting that requires a lessee to recognise assets and liabilities for the rights and obligations created by leases. </w:t>
            </w:r>
            <w:r w:rsidR="0082367B">
              <w:t>This mea</w:t>
            </w:r>
            <w:r w:rsidR="004421B4">
              <w:t xml:space="preserve">nt that nearly </w:t>
            </w:r>
            <w:r w:rsidR="0082367B">
              <w:t xml:space="preserve">all operating leases held by lessees </w:t>
            </w:r>
            <w:r w:rsidR="004421B4">
              <w:t>were</w:t>
            </w:r>
            <w:r w:rsidR="002114E0">
              <w:t xml:space="preserve"> required to be </w:t>
            </w:r>
            <w:r w:rsidR="0082367B">
              <w:t>recognised on the balance sheet</w:t>
            </w:r>
            <w:r w:rsidR="004421B4">
              <w:t>.</w:t>
            </w:r>
          </w:p>
          <w:p w:rsidR="00142FA8" w:rsidP="00142FA8" w:rsidRDefault="00435F7C" w14:paraId="70724C72" w14:textId="52BB24F0">
            <w:pPr>
              <w:pStyle w:val="Normalgrey"/>
            </w:pPr>
            <w:r>
              <w:t>To help facilitate</w:t>
            </w:r>
            <w:r w:rsidR="00142FA8">
              <w:t xml:space="preserve"> the adoption of this new accounting standard, FRD 123 </w:t>
            </w:r>
            <w:r w:rsidRPr="00705D22" w:rsidR="00142FA8">
              <w:rPr>
                <w:i/>
                <w:iCs/>
              </w:rPr>
              <w:t>Transitional requirements on the application of AASB 16 Leases (March 2020)</w:t>
            </w:r>
            <w:r w:rsidR="00142FA8">
              <w:t xml:space="preserve"> was </w:t>
            </w:r>
            <w:r>
              <w:t>released</w:t>
            </w:r>
            <w:r w:rsidR="00142FA8">
              <w:t xml:space="preserve">. The purpose of this FRD was to provide guidance on the transitional requirements for the </w:t>
            </w:r>
            <w:r>
              <w:t xml:space="preserve">first-time </w:t>
            </w:r>
            <w:r w:rsidR="00142FA8">
              <w:t>application of this new standard.</w:t>
            </w:r>
          </w:p>
          <w:p w:rsidRPr="00185D09" w:rsidR="00CD562F" w:rsidP="009543E2" w:rsidRDefault="00142FA8" w14:paraId="0E5A2DA5" w14:textId="39986B23">
            <w:pPr>
              <w:pStyle w:val="Normalgrey"/>
              <w:rPr>
                <w:color w:val="383834" w:themeColor="background2" w:themeShade="40"/>
              </w:rPr>
            </w:pPr>
            <w:r w:rsidRPr="00D67254">
              <w:rPr>
                <w:color w:val="383834" w:themeColor="background2" w:themeShade="40"/>
              </w:rPr>
              <w:t xml:space="preserve">In </w:t>
            </w:r>
            <w:r w:rsidRPr="00D67254" w:rsidR="00900EDA">
              <w:rPr>
                <w:color w:val="383834" w:themeColor="background2" w:themeShade="40"/>
              </w:rPr>
              <w:t>April</w:t>
            </w:r>
            <w:r w:rsidRPr="00D67254">
              <w:rPr>
                <w:color w:val="383834" w:themeColor="background2" w:themeShade="40"/>
              </w:rPr>
              <w:t xml:space="preserve"> 202</w:t>
            </w:r>
            <w:r w:rsidRPr="00D67254" w:rsidR="00900EDA">
              <w:rPr>
                <w:color w:val="383834" w:themeColor="background2" w:themeShade="40"/>
              </w:rPr>
              <w:t>4</w:t>
            </w:r>
            <w:r w:rsidRPr="00D67254">
              <w:rPr>
                <w:color w:val="383834" w:themeColor="background2" w:themeShade="40"/>
              </w:rPr>
              <w:t xml:space="preserve">, </w:t>
            </w:r>
            <w:r w:rsidRPr="00D67254" w:rsidR="00435F7C">
              <w:rPr>
                <w:color w:val="383834" w:themeColor="background2" w:themeShade="40"/>
              </w:rPr>
              <w:t>FRD 123 was withdrawn as the transitional requirements were no longer needed. Any ongoing requirements contained in FRD 123 were relocated to this new FRD at the time.</w:t>
            </w:r>
          </w:p>
        </w:tc>
      </w:tr>
      <w:tr w:rsidRPr="005828FE" w:rsidR="000D649B" w:rsidTr="008B0367" w14:paraId="1F0F648F" w14:textId="77777777">
        <w:trPr>
          <w:trHeight w:val="1270"/>
        </w:trPr>
        <w:tc>
          <w:tcPr>
            <w:tcW w:w="2293" w:type="dxa"/>
          </w:tcPr>
          <w:p w:rsidRPr="00E2009B" w:rsidR="000D649B" w:rsidP="009543E2" w:rsidRDefault="000D649B" w14:paraId="591B3B32" w14:textId="77777777">
            <w:pPr>
              <w:pStyle w:val="Normalgrey"/>
            </w:pPr>
          </w:p>
        </w:tc>
        <w:tc>
          <w:tcPr>
            <w:tcW w:w="270" w:type="dxa"/>
          </w:tcPr>
          <w:p w:rsidRPr="00D27CF0" w:rsidR="000D649B" w:rsidP="009543E2" w:rsidRDefault="000D649B" w14:paraId="04BAC8BB" w14:textId="77777777">
            <w:pPr>
              <w:pStyle w:val="Refnum1"/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40" w:type="dxa"/>
          </w:tcPr>
          <w:p w:rsidR="000D649B" w:rsidP="009543E2" w:rsidRDefault="000D649B" w14:paraId="0CB36B87" w14:textId="77777777">
            <w:pPr>
              <w:pStyle w:val="Refnum2"/>
            </w:pPr>
          </w:p>
        </w:tc>
        <w:tc>
          <w:tcPr>
            <w:tcW w:w="6134" w:type="dxa"/>
          </w:tcPr>
          <w:p w:rsidRPr="00185D09" w:rsidR="000D649B" w:rsidP="000D649B" w:rsidRDefault="00004EED" w14:paraId="5A30D95B" w14:textId="7C746957">
            <w:pPr>
              <w:pStyle w:val="Normalgrey"/>
              <w:rPr>
                <w:color w:val="383834" w:themeColor="background2" w:themeShade="40"/>
              </w:rPr>
            </w:pPr>
            <w:r w:rsidRPr="007D43F0">
              <w:rPr>
                <w:color w:val="383834" w:themeColor="background2" w:themeShade="40"/>
              </w:rPr>
              <w:t>In</w:t>
            </w:r>
            <w:r w:rsidRPr="007D43F0" w:rsidR="000D649B">
              <w:rPr>
                <w:color w:val="383834" w:themeColor="background2" w:themeShade="40"/>
              </w:rPr>
              <w:t xml:space="preserve"> February 2026</w:t>
            </w:r>
            <w:r w:rsidRPr="007D43F0">
              <w:rPr>
                <w:color w:val="383834" w:themeColor="background2" w:themeShade="40"/>
              </w:rPr>
              <w:t>, FRD 104 was revised</w:t>
            </w:r>
            <w:r w:rsidRPr="007D43F0" w:rsidR="00EC2173">
              <w:rPr>
                <w:color w:val="383834" w:themeColor="background2" w:themeShade="40"/>
              </w:rPr>
              <w:t xml:space="preserve"> </w:t>
            </w:r>
            <w:r w:rsidRPr="007D43F0" w:rsidR="00431236">
              <w:rPr>
                <w:color w:val="383834" w:themeColor="background2" w:themeShade="40"/>
              </w:rPr>
              <w:t>to</w:t>
            </w:r>
            <w:r w:rsidRPr="007D43F0" w:rsidR="000D649B">
              <w:rPr>
                <w:color w:val="383834" w:themeColor="background2" w:themeShade="40"/>
              </w:rPr>
              <w:t xml:space="preserve"> </w:t>
            </w:r>
            <w:r w:rsidRPr="007D43F0" w:rsidR="003F44CF">
              <w:rPr>
                <w:color w:val="383834" w:themeColor="background2" w:themeShade="40"/>
              </w:rPr>
              <w:t xml:space="preserve">reflect a change in accounting policy </w:t>
            </w:r>
            <w:r w:rsidRPr="007D43F0" w:rsidR="000D649B">
              <w:rPr>
                <w:color w:val="383834" w:themeColor="background2" w:themeShade="40"/>
              </w:rPr>
              <w:t xml:space="preserve">for </w:t>
            </w:r>
            <w:r w:rsidRPr="007D43F0" w:rsidR="00431236">
              <w:rPr>
                <w:color w:val="383834" w:themeColor="background2" w:themeShade="40"/>
              </w:rPr>
              <w:t xml:space="preserve">the </w:t>
            </w:r>
            <w:r w:rsidRPr="007D43F0" w:rsidR="00E75939">
              <w:rPr>
                <w:color w:val="383834" w:themeColor="background2" w:themeShade="40"/>
              </w:rPr>
              <w:t xml:space="preserve">subsequent measurement </w:t>
            </w:r>
            <w:r w:rsidRPr="007D43F0" w:rsidR="00BE7B76">
              <w:rPr>
                <w:color w:val="383834" w:themeColor="background2" w:themeShade="40"/>
              </w:rPr>
              <w:t xml:space="preserve">of </w:t>
            </w:r>
            <w:r w:rsidRPr="007D43F0" w:rsidR="000D649B">
              <w:rPr>
                <w:color w:val="383834" w:themeColor="background2" w:themeShade="40"/>
              </w:rPr>
              <w:t>right-of-use assets arising from market leases</w:t>
            </w:r>
            <w:r w:rsidRPr="007D43F0" w:rsidR="00B51908">
              <w:rPr>
                <w:color w:val="383834" w:themeColor="background2" w:themeShade="40"/>
              </w:rPr>
              <w:t xml:space="preserve"> from</w:t>
            </w:r>
            <w:r w:rsidRPr="007D43F0" w:rsidR="000D649B">
              <w:rPr>
                <w:color w:val="383834" w:themeColor="background2" w:themeShade="40"/>
              </w:rPr>
              <w:t xml:space="preserve"> the revaluation model to the cost model</w:t>
            </w:r>
            <w:r w:rsidRPr="007D43F0" w:rsidR="000B2D0F">
              <w:rPr>
                <w:color w:val="383834" w:themeColor="background2" w:themeShade="40"/>
              </w:rPr>
              <w:t>,</w:t>
            </w:r>
            <w:r w:rsidRPr="007D43F0" w:rsidR="002C42E0">
              <w:rPr>
                <w:color w:val="383834" w:themeColor="background2" w:themeShade="40"/>
              </w:rPr>
              <w:t xml:space="preserve"> </w:t>
            </w:r>
            <w:r w:rsidRPr="007D43F0" w:rsidR="007D143F">
              <w:rPr>
                <w:color w:val="383834" w:themeColor="background2" w:themeShade="40"/>
              </w:rPr>
              <w:t>effective</w:t>
            </w:r>
            <w:r w:rsidRPr="007D43F0" w:rsidR="002C42E0">
              <w:rPr>
                <w:color w:val="383834" w:themeColor="background2" w:themeShade="40"/>
              </w:rPr>
              <w:t xml:space="preserve"> for </w:t>
            </w:r>
            <w:r w:rsidRPr="007D43F0" w:rsidR="000B2D0F">
              <w:rPr>
                <w:color w:val="383834" w:themeColor="background2" w:themeShade="40"/>
              </w:rPr>
              <w:t>annual reporting periods ending on or after 30 June</w:t>
            </w:r>
            <w:r w:rsidRPr="007D43F0" w:rsidR="00F45B61">
              <w:rPr>
                <w:color w:val="383834" w:themeColor="background2" w:themeShade="40"/>
              </w:rPr>
              <w:t xml:space="preserve"> 2026</w:t>
            </w:r>
            <w:r w:rsidRPr="007D43F0" w:rsidR="000D649B">
              <w:rPr>
                <w:color w:val="383834" w:themeColor="background2" w:themeShade="40"/>
              </w:rPr>
              <w:t>.</w:t>
            </w:r>
          </w:p>
        </w:tc>
      </w:tr>
    </w:tbl>
    <w:p w:rsidR="00565CF3" w:rsidP="006C78FB" w:rsidRDefault="00565CF3" w14:paraId="79C3016C" w14:textId="77777777"/>
    <w:sectPr w:rsidR="00565CF3" w:rsidSect="005828FE">
      <w:headerReference w:type="default" r:id="rId16"/>
      <w:footerReference w:type="even" r:id="rId17"/>
      <w:footerReference w:type="default" r:id="rId18"/>
      <w:pgSz w:w="11906" w:h="16838" w:orient="portrait" w:code="9"/>
      <w:pgMar w:top="1802" w:right="1440" w:bottom="1350" w:left="1440" w:header="450" w:footer="46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403F" w:rsidP="002D711A" w:rsidRDefault="00FF403F" w14:paraId="144876B5" w14:textId="77777777">
      <w:pPr>
        <w:spacing w:after="0" w:line="240" w:lineRule="auto"/>
      </w:pPr>
      <w:r>
        <w:separator/>
      </w:r>
    </w:p>
    <w:p w:rsidR="00FF403F" w:rsidRDefault="00FF403F" w14:paraId="3AFECA1B" w14:textId="77777777"/>
  </w:endnote>
  <w:endnote w:type="continuationSeparator" w:id="0">
    <w:p w:rsidR="00FF403F" w:rsidP="002D711A" w:rsidRDefault="00FF403F" w14:paraId="15FC96E7" w14:textId="77777777">
      <w:pPr>
        <w:spacing w:after="0" w:line="240" w:lineRule="auto"/>
      </w:pPr>
      <w:r>
        <w:continuationSeparator/>
      </w:r>
    </w:p>
    <w:p w:rsidR="00FF403F" w:rsidRDefault="00FF403F" w14:paraId="1635CD1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014213" w:rsidR="00014213" w:rsidP="00C022F9" w:rsidRDefault="00014213" w14:paraId="755F1266" w14:textId="77777777">
    <w:pPr>
      <w:pStyle w:val="Footer"/>
    </w:pPr>
    <w:r>
      <w:drawing>
        <wp:anchor distT="0" distB="0" distL="114300" distR="114300" simplePos="0" relativeHeight="251658240" behindDoc="0" locked="0" layoutInCell="1" allowOverlap="1" wp14:anchorId="658246F1" wp14:editId="51E87D97">
          <wp:simplePos x="0" y="0"/>
          <wp:positionH relativeFrom="column">
            <wp:posOffset>4240861</wp:posOffset>
          </wp:positionH>
          <wp:positionV relativeFrom="page">
            <wp:posOffset>9493250</wp:posOffset>
          </wp:positionV>
          <wp:extent cx="1956435" cy="582930"/>
          <wp:effectExtent l="0" t="0" r="5715" b="7620"/>
          <wp:wrapNone/>
          <wp:docPr id="3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ctoria State Gov DTF right reverse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43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7703D" w:rsidRDefault="0057703D" w14:paraId="5B51DC2C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16DE" w:rsidP="00A516DE" w:rsidRDefault="00A516DE" w14:paraId="1D0A1E6D" w14:textId="5D706CC7">
    <w:pPr>
      <w:pStyle w:val="Spacer"/>
    </w:pPr>
  </w:p>
  <w:p w:rsidRPr="005828FE" w:rsidR="0041689E" w:rsidP="0041689E" w:rsidRDefault="0041689E" w14:paraId="283E07F4" w14:textId="71552F89">
    <w:pPr>
      <w:pStyle w:val="Footer"/>
      <w:spacing w:before="0"/>
    </w:pPr>
    <w:r w:rsidRPr="005828FE">
      <w:rPr>
        <w:b/>
        <w:noProof w:val="0"/>
      </w:rPr>
      <w:fldChar w:fldCharType="begin"/>
    </w:r>
    <w:r w:rsidRPr="005828FE">
      <w:rPr>
        <w:b/>
      </w:rPr>
      <w:instrText xml:space="preserve"> StyleRef “</w:instrText>
    </w:r>
    <w:r w:rsidRPr="005828FE" w:rsidR="006C78FB">
      <w:rPr>
        <w:b/>
      </w:rPr>
      <w:instrText>FRD number</w:instrText>
    </w:r>
    <w:r w:rsidRPr="005828FE">
      <w:rPr>
        <w:b/>
      </w:rPr>
      <w:instrText xml:space="preserve">” </w:instrText>
    </w:r>
    <w:r w:rsidRPr="005828FE">
      <w:rPr>
        <w:b/>
        <w:noProof w:val="0"/>
      </w:rPr>
      <w:fldChar w:fldCharType="separate"/>
    </w:r>
    <w:r w:rsidR="00686138">
      <w:rPr>
        <w:b/>
      </w:rPr>
      <w:t>FRD 104</w:t>
    </w:r>
    <w:r w:rsidRPr="005828FE">
      <w:rPr>
        <w:b/>
      </w:rPr>
      <w:fldChar w:fldCharType="end"/>
    </w:r>
    <w:r w:rsidRPr="005828FE" w:rsidR="006C78FB">
      <w:rPr>
        <w:b/>
      </w:rPr>
      <w:t xml:space="preserve"> </w:t>
    </w:r>
    <w:r w:rsidRPr="006C78FB" w:rsidR="006C78FB">
      <w:fldChar w:fldCharType="begin"/>
    </w:r>
    <w:r w:rsidRPr="006C78FB" w:rsidR="006C78FB">
      <w:instrText xml:space="preserve"> StyleRef “FRD Header” </w:instrText>
    </w:r>
    <w:r w:rsidRPr="006C78FB" w:rsidR="006C78FB">
      <w:fldChar w:fldCharType="separate"/>
    </w:r>
    <w:r w:rsidR="00686138">
      <w:t>Leases (February 2026)</w:t>
    </w:r>
    <w:r w:rsidRPr="006C78FB" w:rsidR="006C78FB">
      <w:fldChar w:fldCharType="end"/>
    </w:r>
    <w:r w:rsidRPr="00C022F9">
      <w:tab/>
    </w:r>
    <w:r w:rsidRPr="005828FE">
      <w:t xml:space="preserve">Page </w:t>
    </w:r>
    <w:r w:rsidRPr="005828FE">
      <w:rPr>
        <w:rStyle w:val="PageNumber"/>
        <w:color w:val="auto"/>
      </w:rPr>
      <w:fldChar w:fldCharType="begin"/>
    </w:r>
    <w:r w:rsidRPr="005828FE">
      <w:rPr>
        <w:rStyle w:val="PageNumber"/>
        <w:color w:val="auto"/>
      </w:rPr>
      <w:instrText xml:space="preserve"> Page </w:instrText>
    </w:r>
    <w:r w:rsidRPr="005828FE">
      <w:rPr>
        <w:rStyle w:val="PageNumber"/>
        <w:color w:val="auto"/>
      </w:rPr>
      <w:fldChar w:fldCharType="separate"/>
    </w:r>
    <w:r w:rsidR="007E586B">
      <w:rPr>
        <w:rStyle w:val="PageNumber"/>
        <w:color w:val="auto"/>
      </w:rPr>
      <w:t>1</w:t>
    </w:r>
    <w:r w:rsidRPr="005828FE">
      <w:rPr>
        <w:rStyle w:val="PageNumber"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403F" w:rsidP="002D711A" w:rsidRDefault="00FF403F" w14:paraId="7E728888" w14:textId="77777777">
      <w:pPr>
        <w:spacing w:after="0" w:line="240" w:lineRule="auto"/>
      </w:pPr>
      <w:r>
        <w:separator/>
      </w:r>
    </w:p>
  </w:footnote>
  <w:footnote w:type="continuationSeparator" w:id="0">
    <w:p w:rsidR="00FF403F" w:rsidP="002D711A" w:rsidRDefault="00FF403F" w14:paraId="3A5B07B2" w14:textId="77777777">
      <w:pPr>
        <w:spacing w:after="0" w:line="240" w:lineRule="auto"/>
      </w:pPr>
      <w:r>
        <w:continuationSeparator/>
      </w:r>
    </w:p>
    <w:p w:rsidR="00FF403F" w:rsidRDefault="00FF403F" w14:paraId="51431121" w14:textId="77777777"/>
  </w:footnote>
  <w:footnote w:id="1">
    <w:p w:rsidRPr="00866481" w:rsidR="008E3233" w:rsidRDefault="008E3233" w14:paraId="4FF70A47" w14:textId="4D3C35A9">
      <w:pPr>
        <w:pStyle w:val="FootnoteText"/>
        <w:rPr>
          <w:lang w:val="en-US"/>
        </w:rPr>
      </w:pPr>
      <w:r w:rsidRPr="007D43F0">
        <w:rPr>
          <w:rStyle w:val="FootnoteReference"/>
        </w:rPr>
        <w:footnoteRef/>
      </w:r>
      <w:r w:rsidRPr="007D43F0">
        <w:t xml:space="preserve"> </w:t>
      </w:r>
      <w:r w:rsidRPr="00866481">
        <w:rPr>
          <w:szCs w:val="18"/>
        </w:rPr>
        <w:t>For 30 June reporters, the carrying amounts as at 30 June 2025; for 31 December reporters, the carrying amounts at 31 December 2025.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41689E" w:rsidR="0041689E" w:rsidP="005828FE" w:rsidRDefault="005828FE" w14:paraId="2D354ABE" w14:textId="77777777">
    <w:pPr>
      <w:pStyle w:val="Header"/>
      <w:tabs>
        <w:tab w:val="clear" w:pos="9026"/>
      </w:tabs>
      <w:ind w:right="-694"/>
      <w:jc w:val="right"/>
    </w:pPr>
    <w:r>
      <w:rPr>
        <w:noProof/>
      </w:rPr>
      <w:drawing>
        <wp:inline distT="0" distB="0" distL="0" distR="0" wp14:anchorId="3740C0CE" wp14:editId="4A316F29">
          <wp:extent cx="813816" cy="466344"/>
          <wp:effectExtent l="0" t="0" r="571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ctoria State Gov logo black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816" cy="466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7703D" w:rsidRDefault="0057703D" w14:paraId="7081177D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800C9"/>
    <w:multiLevelType w:val="hybridMultilevel"/>
    <w:tmpl w:val="7676E94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B082C"/>
    <w:multiLevelType w:val="hybridMultilevel"/>
    <w:tmpl w:val="5A7220E4"/>
    <w:lvl w:ilvl="0" w:tplc="2DA469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CC8D3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19890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B0C45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FBC09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B023C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CB4EB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ABCBC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828A9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23FE0CC4"/>
    <w:multiLevelType w:val="hybridMultilevel"/>
    <w:tmpl w:val="F53C8E18"/>
    <w:lvl w:ilvl="0" w:tplc="903CC3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A0C50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A484C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F984B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F5617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A5E18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764C5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C602A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4BA2C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26456FFD"/>
    <w:multiLevelType w:val="multilevel"/>
    <w:tmpl w:val="0EA8B9BE"/>
    <w:lvl w:ilvl="0">
      <w:start w:val="1"/>
      <w:numFmt w:val="bullet"/>
      <w:pStyle w:val="Tablebullet"/>
      <w:lvlText w:val=""/>
      <w:lvlJc w:val="left"/>
      <w:pPr>
        <w:ind w:left="288" w:hanging="288"/>
      </w:pPr>
      <w:rPr>
        <w:rFonts w:hint="default" w:ascii="Symbol" w:hAnsi="Symbol"/>
        <w:color w:val="auto"/>
      </w:rPr>
    </w:lvl>
    <w:lvl w:ilvl="1">
      <w:start w:val="1"/>
      <w:numFmt w:val="bullet"/>
      <w:pStyle w:val="Tabledash"/>
      <w:lvlText w:val="–"/>
      <w:lvlJc w:val="left"/>
      <w:pPr>
        <w:ind w:left="576" w:hanging="288"/>
      </w:pPr>
      <w:rPr>
        <w:rFonts w:hint="default" w:ascii="Calibri" w:hAnsi="Calibri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D40234E"/>
    <w:multiLevelType w:val="hybridMultilevel"/>
    <w:tmpl w:val="55F6317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DA311C2"/>
    <w:multiLevelType w:val="hybridMultilevel"/>
    <w:tmpl w:val="0742EA96"/>
    <w:lvl w:ilvl="0" w:tplc="12A0D8B2">
      <w:start w:val="1"/>
      <w:numFmt w:val="bullet"/>
      <w:lvlText w:val="—"/>
      <w:lvlJc w:val="left"/>
      <w:pPr>
        <w:ind w:left="720" w:hanging="360"/>
      </w:pPr>
      <w:rPr>
        <w:rFonts w:hint="default" w:ascii="Calibri" w:hAnsi="Calibri"/>
        <w:b w:val="0"/>
        <w:i w:val="0"/>
        <w:color w:val="595959"/>
        <w:sz w:val="20"/>
        <w:szCs w:val="20"/>
      </w:rPr>
    </w:lvl>
    <w:lvl w:ilvl="1" w:tplc="6AD4DBFC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57D2B5A"/>
    <w:multiLevelType w:val="hybridMultilevel"/>
    <w:tmpl w:val="B568E1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46D3A6A"/>
    <w:multiLevelType w:val="multilevel"/>
    <w:tmpl w:val="7B804CF0"/>
    <w:lvl w:ilvl="0">
      <w:start w:val="1"/>
      <w:numFmt w:val="bullet"/>
      <w:pStyle w:val="Bullet1"/>
      <w:lvlText w:val=""/>
      <w:lvlJc w:val="left"/>
      <w:pPr>
        <w:tabs>
          <w:tab w:val="num" w:pos="288"/>
        </w:tabs>
        <w:ind w:left="288" w:hanging="288"/>
      </w:pPr>
      <w:rPr>
        <w:rFonts w:hint="default" w:ascii="Symbol" w:hAnsi="Symbol"/>
        <w:b w:val="0"/>
        <w:i w:val="0"/>
        <w:vanish w:val="0"/>
        <w:color w:val="auto"/>
        <w:sz w:val="18"/>
        <w:szCs w:val="18"/>
      </w:rPr>
    </w:lvl>
    <w:lvl w:ilvl="1">
      <w:start w:val="1"/>
      <w:numFmt w:val="bullet"/>
      <w:pStyle w:val="Bullet2"/>
      <w:lvlText w:val="–"/>
      <w:lvlJc w:val="left"/>
      <w:pPr>
        <w:tabs>
          <w:tab w:val="num" w:pos="576"/>
        </w:tabs>
        <w:ind w:left="576" w:hanging="288"/>
      </w:pPr>
      <w:rPr>
        <w:rFonts w:hint="default" w:ascii="Calibri" w:hAnsi="Calibri"/>
        <w:b w:val="0"/>
        <w:i w:val="0"/>
        <w:vanish w:val="0"/>
        <w:color w:val="auto"/>
        <w:sz w:val="22"/>
      </w:rPr>
    </w:lvl>
    <w:lvl w:ilvl="2">
      <w:start w:val="1"/>
      <w:numFmt w:val="bullet"/>
      <w:pStyle w:val="Bulletindent"/>
      <w:lvlText w:val=""/>
      <w:lvlJc w:val="left"/>
      <w:pPr>
        <w:tabs>
          <w:tab w:val="num" w:pos="864"/>
        </w:tabs>
        <w:ind w:left="864" w:hanging="288"/>
      </w:pPr>
      <w:rPr>
        <w:rFonts w:hint="default" w:ascii="Symbol" w:hAnsi="Symbol"/>
        <w:b w:val="0"/>
        <w:i w:val="0"/>
        <w:vanish w:val="0"/>
        <w:color w:val="4D4D4D"/>
        <w:sz w:val="22"/>
      </w:rPr>
    </w:lvl>
    <w:lvl w:ilvl="3">
      <w:start w:val="1"/>
      <w:numFmt w:val="bullet"/>
      <w:pStyle w:val="Bulletindent2"/>
      <w:lvlText w:val="–"/>
      <w:lvlJc w:val="left"/>
      <w:pPr>
        <w:tabs>
          <w:tab w:val="num" w:pos="1152"/>
        </w:tabs>
        <w:ind w:left="1152" w:hanging="288"/>
      </w:pPr>
      <w:rPr>
        <w:rFonts w:hint="default" w:ascii="Calibri" w:hAnsi="Calibri"/>
        <w:b w:val="0"/>
        <w:i w:val="0"/>
        <w:vanish w:val="0"/>
        <w:color w:val="auto"/>
        <w:sz w:val="22"/>
      </w:rPr>
    </w:lvl>
    <w:lvl w:ilvl="4">
      <w:start w:val="1"/>
      <w:numFmt w:val="bullet"/>
      <w:lvlText w:val=""/>
      <w:lvlJc w:val="left"/>
      <w:pPr>
        <w:tabs>
          <w:tab w:val="num" w:pos="2211"/>
        </w:tabs>
        <w:ind w:left="2211" w:hanging="283"/>
      </w:pPr>
      <w:rPr>
        <w:rFonts w:hint="default" w:ascii="Symbol" w:hAnsi="Symbol"/>
        <w:b w:val="0"/>
        <w:i w:val="0"/>
        <w:vanish w:val="0"/>
        <w:color w:val="auto"/>
        <w:sz w:val="22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284"/>
      </w:pPr>
      <w:rPr>
        <w:rFonts w:hint="default" w:ascii="Symbol" w:hAnsi="Symbol"/>
        <w:b w:val="0"/>
        <w:i w:val="0"/>
        <w:vanish w:val="0"/>
        <w:color w:val="auto"/>
        <w:sz w:val="22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8" w:hanging="283"/>
      </w:pPr>
      <w:rPr>
        <w:rFonts w:hint="default" w:ascii="Symbol" w:hAnsi="Symbol"/>
        <w:b w:val="0"/>
        <w:i w:val="0"/>
        <w:vanish w:val="0"/>
        <w:color w:val="auto"/>
        <w:sz w:val="22"/>
      </w:rPr>
    </w:lvl>
    <w:lvl w:ilvl="7">
      <w:start w:val="1"/>
      <w:numFmt w:val="bullet"/>
      <w:lvlText w:val=""/>
      <w:lvlJc w:val="left"/>
      <w:pPr>
        <w:tabs>
          <w:tab w:val="num" w:pos="3062"/>
        </w:tabs>
        <w:ind w:left="3062" w:hanging="284"/>
      </w:pPr>
      <w:rPr>
        <w:rFonts w:hint="default" w:ascii="Symbol" w:hAnsi="Symbol"/>
        <w:b w:val="0"/>
        <w:i w:val="0"/>
        <w:vanish w:val="0"/>
        <w:color w:val="auto"/>
        <w:sz w:val="22"/>
      </w:rPr>
    </w:lvl>
    <w:lvl w:ilvl="8">
      <w:start w:val="1"/>
      <w:numFmt w:val="bullet"/>
      <w:lvlText w:val=""/>
      <w:lvlJc w:val="left"/>
      <w:pPr>
        <w:tabs>
          <w:tab w:val="num" w:pos="3345"/>
        </w:tabs>
        <w:ind w:left="3345" w:hanging="283"/>
      </w:pPr>
      <w:rPr>
        <w:rFonts w:hint="default" w:ascii="Symbol" w:hAnsi="Symbol"/>
        <w:b w:val="0"/>
        <w:i w:val="0"/>
        <w:vanish w:val="0"/>
        <w:color w:val="auto"/>
        <w:sz w:val="22"/>
      </w:rPr>
    </w:lvl>
  </w:abstractNum>
  <w:abstractNum w:abstractNumId="8" w15:restartNumberingAfterBreak="0">
    <w:nsid w:val="499926B9"/>
    <w:multiLevelType w:val="hybridMultilevel"/>
    <w:tmpl w:val="10F61C96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B">
      <w:start w:val="1"/>
      <w:numFmt w:val="lowerRoman"/>
      <w:lvlText w:val="%2."/>
      <w:lvlJc w:val="righ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C35A9B"/>
    <w:multiLevelType w:val="multilevel"/>
    <w:tmpl w:val="03925288"/>
    <w:lvl w:ilvl="0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—"/>
      <w:lvlJc w:val="left"/>
      <w:pPr>
        <w:ind w:left="720" w:hanging="360"/>
      </w:pPr>
      <w:rPr>
        <w:rFonts w:hint="default" w:ascii="Calibri" w:hAnsi="Calibri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BFA3EC9"/>
    <w:multiLevelType w:val="hybridMultilevel"/>
    <w:tmpl w:val="CD52554A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5CBE3115"/>
    <w:multiLevelType w:val="hybridMultilevel"/>
    <w:tmpl w:val="7510570A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5E360C7A"/>
    <w:multiLevelType w:val="hybridMultilevel"/>
    <w:tmpl w:val="B2923DA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124D7"/>
    <w:multiLevelType w:val="multilevel"/>
    <w:tmpl w:val="D9FE6A58"/>
    <w:lvl w:ilvl="0">
      <w:start w:val="1"/>
      <w:numFmt w:val="decimal"/>
      <w:pStyle w:val="Refnum1"/>
      <w:suff w:val="nothing"/>
      <w:lvlText w:val="%1."/>
      <w:lvlJc w:val="left"/>
      <w:pPr>
        <w:ind w:left="0" w:firstLine="0"/>
      </w:pPr>
      <w:rPr>
        <w:specVanish w:val="0"/>
      </w:rPr>
    </w:lvl>
    <w:lvl w:ilvl="1">
      <w:start w:val="1"/>
      <w:numFmt w:val="decimal"/>
      <w:pStyle w:val="Refnum2grey"/>
      <w:suff w:val="nothing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F2F2F2" w:themeColor="background1" w:themeShade="F2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Refnum2"/>
      <w:suff w:val="nothing"/>
      <w:lvlText w:val="%1.%3"/>
      <w:lvlJc w:val="left"/>
      <w:pPr>
        <w:ind w:left="504" w:hanging="504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080" w:hanging="576"/>
      </w:pPr>
      <w:rPr>
        <w:rFonts w:hint="default"/>
      </w:rPr>
    </w:lvl>
    <w:lvl w:ilvl="4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15220A2"/>
    <w:multiLevelType w:val="hybridMultilevel"/>
    <w:tmpl w:val="31420278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B51123"/>
    <w:multiLevelType w:val="hybridMultilevel"/>
    <w:tmpl w:val="1A5EE6B6"/>
    <w:lvl w:ilvl="0" w:tplc="8834C6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CFC46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DE886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94C5B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28A7C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A8880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D14CA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9D6AB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328CC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6" w15:restartNumberingAfterBreak="0">
    <w:nsid w:val="7C2C75F3"/>
    <w:multiLevelType w:val="hybridMultilevel"/>
    <w:tmpl w:val="7C9E49D8"/>
    <w:lvl w:ilvl="0" w:tplc="33CCA4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33EBE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FAA57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B36D6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02AC9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C82E9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5B27D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BE4C7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D84EF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7" w15:restartNumberingAfterBreak="0">
    <w:nsid w:val="7FC334F7"/>
    <w:multiLevelType w:val="multilevel"/>
    <w:tmpl w:val="A98608EE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color w:val="FFFFFF" w:themeColor="background1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(%3)"/>
      <w:lvlJc w:val="left"/>
      <w:pPr>
        <w:ind w:left="504" w:hanging="504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080" w:hanging="576"/>
      </w:pPr>
      <w:rPr>
        <w:rFonts w:hint="default"/>
      </w:rPr>
    </w:lvl>
    <w:lvl w:ilvl="4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FD44514"/>
    <w:multiLevelType w:val="multilevel"/>
    <w:tmpl w:val="0562CB6E"/>
    <w:lvl w:ilvl="0">
      <w:start w:val="1"/>
      <w:numFmt w:val="lowerLetter"/>
      <w:pStyle w:val="Listnum"/>
      <w:lvlText w:val="(%1)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lowerRoman"/>
      <w:pStyle w:val="Listnum2"/>
      <w:lvlText w:val="(%2)"/>
      <w:lvlJc w:val="left"/>
      <w:pPr>
        <w:tabs>
          <w:tab w:val="num" w:pos="1008"/>
        </w:tabs>
        <w:ind w:left="1008" w:hanging="504"/>
      </w:pPr>
      <w:rPr>
        <w:rFonts w:hint="default"/>
      </w:rPr>
    </w:lvl>
    <w:lvl w:ilvl="2">
      <w:start w:val="1"/>
      <w:numFmt w:val="lowerLetter"/>
      <w:lvlRestart w:val="0"/>
      <w:pStyle w:val="Listnumgrey"/>
      <w:lvlText w:val="(%3)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3">
      <w:start w:val="1"/>
      <w:numFmt w:val="lowerRoman"/>
      <w:pStyle w:val="Listnum2grey"/>
      <w:lvlText w:val="(%4)"/>
      <w:lvlJc w:val="left"/>
      <w:pPr>
        <w:tabs>
          <w:tab w:val="num" w:pos="1008"/>
        </w:tabs>
        <w:ind w:left="1008" w:hanging="504"/>
      </w:pPr>
      <w:rPr>
        <w:rFonts w:hint="default"/>
      </w:rPr>
    </w:lvl>
    <w:lvl w:ilvl="4">
      <w:start w:val="1"/>
      <w:numFmt w:val="decimal"/>
      <w:lvlRestart w:val="1"/>
      <w:pStyle w:val="Heading3numbered"/>
      <w:lvlText w:val="%3.%4.%5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5">
      <w:start w:val="1"/>
      <w:numFmt w:val="decimal"/>
      <w:pStyle w:val="Heading4numbered"/>
      <w:lvlText w:val="%3.%4.%5.%6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6">
      <w:start w:val="1"/>
      <w:numFmt w:val="lowerLetter"/>
      <w:pStyle w:val="Listnumindent"/>
      <w:lvlText w:val="(%7)"/>
      <w:lvlJc w:val="left"/>
      <w:pPr>
        <w:tabs>
          <w:tab w:val="num" w:pos="1296"/>
        </w:tabs>
        <w:ind w:left="1296" w:hanging="504"/>
      </w:pPr>
      <w:rPr>
        <w:rFonts w:hint="default"/>
      </w:rPr>
    </w:lvl>
    <w:lvl w:ilvl="7">
      <w:start w:val="1"/>
      <w:numFmt w:val="lowerRoman"/>
      <w:pStyle w:val="Listnumindent2"/>
      <w:lvlText w:val="(%8)"/>
      <w:lvlJc w:val="left"/>
      <w:pPr>
        <w:tabs>
          <w:tab w:val="num" w:pos="1800"/>
        </w:tabs>
        <w:ind w:left="1800" w:hanging="50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92"/>
        </w:tabs>
        <w:ind w:left="792" w:hanging="792"/>
      </w:pPr>
      <w:rPr>
        <w:rFonts w:hint="default"/>
      </w:rPr>
    </w:lvl>
  </w:abstractNum>
  <w:num w:numId="1" w16cid:durableId="1148131533">
    <w:abstractNumId w:val="7"/>
  </w:num>
  <w:num w:numId="2" w16cid:durableId="1506280502">
    <w:abstractNumId w:val="7"/>
  </w:num>
  <w:num w:numId="3" w16cid:durableId="631597797">
    <w:abstractNumId w:val="7"/>
  </w:num>
  <w:num w:numId="4" w16cid:durableId="608704471">
    <w:abstractNumId w:val="18"/>
  </w:num>
  <w:num w:numId="5" w16cid:durableId="814882819">
    <w:abstractNumId w:val="7"/>
  </w:num>
  <w:num w:numId="6" w16cid:durableId="1922058108">
    <w:abstractNumId w:val="7"/>
  </w:num>
  <w:num w:numId="7" w16cid:durableId="934676024">
    <w:abstractNumId w:val="7"/>
  </w:num>
  <w:num w:numId="8" w16cid:durableId="844124660">
    <w:abstractNumId w:val="7"/>
  </w:num>
  <w:num w:numId="9" w16cid:durableId="2058776765">
    <w:abstractNumId w:val="18"/>
  </w:num>
  <w:num w:numId="10" w16cid:durableId="2054109447">
    <w:abstractNumId w:val="18"/>
  </w:num>
  <w:num w:numId="11" w16cid:durableId="1842426270">
    <w:abstractNumId w:val="18"/>
  </w:num>
  <w:num w:numId="12" w16cid:durableId="948505597">
    <w:abstractNumId w:val="18"/>
  </w:num>
  <w:num w:numId="13" w16cid:durableId="62028241">
    <w:abstractNumId w:val="18"/>
  </w:num>
  <w:num w:numId="14" w16cid:durableId="731469091">
    <w:abstractNumId w:val="18"/>
  </w:num>
  <w:num w:numId="15" w16cid:durableId="2028289767">
    <w:abstractNumId w:val="18"/>
  </w:num>
  <w:num w:numId="16" w16cid:durableId="1864049085">
    <w:abstractNumId w:val="18"/>
  </w:num>
  <w:num w:numId="17" w16cid:durableId="580994587">
    <w:abstractNumId w:val="3"/>
  </w:num>
  <w:num w:numId="18" w16cid:durableId="96757626">
    <w:abstractNumId w:val="3"/>
  </w:num>
  <w:num w:numId="19" w16cid:durableId="1136607265">
    <w:abstractNumId w:val="9"/>
  </w:num>
  <w:num w:numId="20" w16cid:durableId="558592406">
    <w:abstractNumId w:val="17"/>
  </w:num>
  <w:num w:numId="21" w16cid:durableId="837501835">
    <w:abstractNumId w:val="4"/>
  </w:num>
  <w:num w:numId="22" w16cid:durableId="193228474">
    <w:abstractNumId w:val="5"/>
  </w:num>
  <w:num w:numId="23" w16cid:durableId="1566447157">
    <w:abstractNumId w:val="14"/>
  </w:num>
  <w:num w:numId="24" w16cid:durableId="1046878719">
    <w:abstractNumId w:val="8"/>
  </w:num>
  <w:num w:numId="25" w16cid:durableId="1707900345">
    <w:abstractNumId w:val="17"/>
  </w:num>
  <w:num w:numId="26" w16cid:durableId="20367362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04958322">
    <w:abstractNumId w:val="13"/>
  </w:num>
  <w:num w:numId="28" w16cid:durableId="135680499">
    <w:abstractNumId w:val="13"/>
    <w:lvlOverride w:ilvl="0">
      <w:lvl w:ilvl="0">
        <w:start w:val="1"/>
        <w:numFmt w:val="decimal"/>
        <w:pStyle w:val="Refnum1"/>
        <w:suff w:val="nothing"/>
        <w:lvlText w:val="%1."/>
        <w:lvlJc w:val="left"/>
        <w:pPr>
          <w:ind w:left="0" w:firstLine="0"/>
        </w:pPr>
        <w:rPr>
          <w:rFonts w:hint="defaul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FFFFFF" w:themeColor="background1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Refnum2grey"/>
        <w:suff w:val="nothing"/>
        <w:lvlText w:val="%2."/>
        <w:lvlJc w:val="left"/>
        <w:pPr>
          <w:ind w:left="0" w:firstLine="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F2F2F2" w:themeColor="background1" w:themeShade="F2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Refnum2"/>
        <w:lvlText w:val="%1.%3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1080" w:hanging="576"/>
        </w:pPr>
        <w:rPr>
          <w:rFonts w:hint="default"/>
        </w:rPr>
      </w:lvl>
    </w:lvlOverride>
    <w:lvlOverride w:ilvl="4">
      <w:lvl w:ilvl="4">
        <w:start w:val="1"/>
        <w:numFmt w:val="bullet"/>
        <w:lvlText w:val="·"/>
        <w:lvlJc w:val="left"/>
        <w:pPr>
          <w:ind w:left="1440" w:hanging="360"/>
        </w:pPr>
        <w:rPr>
          <w:rFonts w:hint="default" w:ascii="Symbol" w:hAnsi="Symbol"/>
        </w:rPr>
      </w:lvl>
    </w:lvlOverride>
    <w:lvlOverride w:ilvl="5">
      <w:lvl w:ilvl="5">
        <w:start w:val="1"/>
        <w:numFmt w:val="none"/>
        <w:lvlText w:val="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29" w16cid:durableId="1190142435">
    <w:abstractNumId w:val="13"/>
    <w:lvlOverride w:ilvl="0">
      <w:lvl w:ilvl="0">
        <w:start w:val="1"/>
        <w:numFmt w:val="decimal"/>
        <w:pStyle w:val="Refnum1"/>
        <w:suff w:val="nothing"/>
        <w:lvlText w:val="%1."/>
        <w:lvlJc w:val="left"/>
        <w:pPr>
          <w:ind w:left="0" w:firstLine="0"/>
        </w:pPr>
        <w:rPr>
          <w:rFonts w:hint="default" w:cs="Times New Roman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FFFFFF" w:themeColor="background1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Refnum2grey"/>
        <w:suff w:val="nothing"/>
        <w:lvlText w:val="%2."/>
        <w:lvlJc w:val="left"/>
        <w:pPr>
          <w:ind w:left="0" w:firstLine="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F2F2F2" w:themeColor="background1" w:themeShade="F2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Refnum2"/>
        <w:lvlText w:val="%1.%3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1080" w:hanging="576"/>
        </w:pPr>
        <w:rPr>
          <w:rFonts w:hint="default"/>
        </w:rPr>
      </w:lvl>
    </w:lvlOverride>
    <w:lvlOverride w:ilvl="4">
      <w:lvl w:ilvl="4">
        <w:start w:val="1"/>
        <w:numFmt w:val="bullet"/>
        <w:lvlText w:val="·"/>
        <w:lvlJc w:val="left"/>
        <w:pPr>
          <w:ind w:left="1440" w:hanging="360"/>
        </w:pPr>
        <w:rPr>
          <w:rFonts w:hint="default" w:ascii="Symbol" w:hAnsi="Symbol"/>
        </w:rPr>
      </w:lvl>
    </w:lvlOverride>
    <w:lvlOverride w:ilvl="5">
      <w:lvl w:ilvl="5">
        <w:start w:val="1"/>
        <w:numFmt w:val="none"/>
        <w:lvlText w:val="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30" w16cid:durableId="11964305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5153284">
    <w:abstractNumId w:val="6"/>
  </w:num>
  <w:num w:numId="32" w16cid:durableId="570316964">
    <w:abstractNumId w:val="12"/>
  </w:num>
  <w:num w:numId="33" w16cid:durableId="900675862">
    <w:abstractNumId w:val="0"/>
  </w:num>
  <w:num w:numId="34" w16cid:durableId="972491501">
    <w:abstractNumId w:val="10"/>
  </w:num>
  <w:num w:numId="35" w16cid:durableId="793329263">
    <w:abstractNumId w:val="11"/>
  </w:num>
  <w:num w:numId="36" w16cid:durableId="1588348407">
    <w:abstractNumId w:val="1"/>
  </w:num>
  <w:num w:numId="37" w16cid:durableId="1876843046">
    <w:abstractNumId w:val="2"/>
  </w:num>
  <w:num w:numId="38" w16cid:durableId="349794137">
    <w:abstractNumId w:val="15"/>
  </w:num>
  <w:num w:numId="39" w16cid:durableId="8334916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CD"/>
    <w:rsid w:val="000000E3"/>
    <w:rsid w:val="00000CBD"/>
    <w:rsid w:val="00004141"/>
    <w:rsid w:val="00004EED"/>
    <w:rsid w:val="00005377"/>
    <w:rsid w:val="00011D31"/>
    <w:rsid w:val="00012F6F"/>
    <w:rsid w:val="0001338E"/>
    <w:rsid w:val="00014213"/>
    <w:rsid w:val="00014B55"/>
    <w:rsid w:val="00017A87"/>
    <w:rsid w:val="00020E3E"/>
    <w:rsid w:val="00023817"/>
    <w:rsid w:val="00023BF3"/>
    <w:rsid w:val="00023E6C"/>
    <w:rsid w:val="00026811"/>
    <w:rsid w:val="0004249B"/>
    <w:rsid w:val="0004356D"/>
    <w:rsid w:val="00044103"/>
    <w:rsid w:val="000441FA"/>
    <w:rsid w:val="00045296"/>
    <w:rsid w:val="00050066"/>
    <w:rsid w:val="00050A4E"/>
    <w:rsid w:val="00052783"/>
    <w:rsid w:val="00055382"/>
    <w:rsid w:val="000558A2"/>
    <w:rsid w:val="000602A3"/>
    <w:rsid w:val="00060A86"/>
    <w:rsid w:val="00065A15"/>
    <w:rsid w:val="00066557"/>
    <w:rsid w:val="00070B44"/>
    <w:rsid w:val="00075E6C"/>
    <w:rsid w:val="00084D1F"/>
    <w:rsid w:val="000859B4"/>
    <w:rsid w:val="00091A19"/>
    <w:rsid w:val="000B1844"/>
    <w:rsid w:val="000B29AD"/>
    <w:rsid w:val="000B2D0F"/>
    <w:rsid w:val="000B39C9"/>
    <w:rsid w:val="000C2D1D"/>
    <w:rsid w:val="000C6372"/>
    <w:rsid w:val="000C6ED8"/>
    <w:rsid w:val="000D4D30"/>
    <w:rsid w:val="000D649B"/>
    <w:rsid w:val="000E392D"/>
    <w:rsid w:val="000E498E"/>
    <w:rsid w:val="000F4288"/>
    <w:rsid w:val="000F7165"/>
    <w:rsid w:val="00102379"/>
    <w:rsid w:val="00104FF5"/>
    <w:rsid w:val="001050F5"/>
    <w:rsid w:val="001065D6"/>
    <w:rsid w:val="00107F0F"/>
    <w:rsid w:val="001105FD"/>
    <w:rsid w:val="00111FEB"/>
    <w:rsid w:val="001128F6"/>
    <w:rsid w:val="0011541D"/>
    <w:rsid w:val="00115904"/>
    <w:rsid w:val="001166CF"/>
    <w:rsid w:val="00120092"/>
    <w:rsid w:val="00121252"/>
    <w:rsid w:val="00124609"/>
    <w:rsid w:val="001254CE"/>
    <w:rsid w:val="0012743A"/>
    <w:rsid w:val="0013050A"/>
    <w:rsid w:val="00134CEA"/>
    <w:rsid w:val="00136031"/>
    <w:rsid w:val="00137081"/>
    <w:rsid w:val="001422CC"/>
    <w:rsid w:val="0014283A"/>
    <w:rsid w:val="00142FA8"/>
    <w:rsid w:val="00145949"/>
    <w:rsid w:val="00151DF8"/>
    <w:rsid w:val="00152433"/>
    <w:rsid w:val="00152CEB"/>
    <w:rsid w:val="00157F4D"/>
    <w:rsid w:val="001617B6"/>
    <w:rsid w:val="001643DD"/>
    <w:rsid w:val="001645EE"/>
    <w:rsid w:val="00165E66"/>
    <w:rsid w:val="001772B0"/>
    <w:rsid w:val="00180CCE"/>
    <w:rsid w:val="001828CC"/>
    <w:rsid w:val="00185D09"/>
    <w:rsid w:val="001948BB"/>
    <w:rsid w:val="001A24D7"/>
    <w:rsid w:val="001A572E"/>
    <w:rsid w:val="001B1C19"/>
    <w:rsid w:val="001C3655"/>
    <w:rsid w:val="001C548F"/>
    <w:rsid w:val="001C5DE6"/>
    <w:rsid w:val="001C7BAE"/>
    <w:rsid w:val="001D224F"/>
    <w:rsid w:val="001D5A42"/>
    <w:rsid w:val="001E2A03"/>
    <w:rsid w:val="001E2E72"/>
    <w:rsid w:val="001E31FA"/>
    <w:rsid w:val="001E5426"/>
    <w:rsid w:val="001E64F6"/>
    <w:rsid w:val="001F3AE8"/>
    <w:rsid w:val="001F4550"/>
    <w:rsid w:val="001F477E"/>
    <w:rsid w:val="001F5834"/>
    <w:rsid w:val="001F5E29"/>
    <w:rsid w:val="001F711E"/>
    <w:rsid w:val="002013CF"/>
    <w:rsid w:val="002114E0"/>
    <w:rsid w:val="00211F46"/>
    <w:rsid w:val="002134A2"/>
    <w:rsid w:val="00214BAE"/>
    <w:rsid w:val="0022084F"/>
    <w:rsid w:val="00222BEB"/>
    <w:rsid w:val="00225E60"/>
    <w:rsid w:val="002276CD"/>
    <w:rsid w:val="00230042"/>
    <w:rsid w:val="00230923"/>
    <w:rsid w:val="0023202C"/>
    <w:rsid w:val="00233F48"/>
    <w:rsid w:val="00236203"/>
    <w:rsid w:val="00242A96"/>
    <w:rsid w:val="002439DF"/>
    <w:rsid w:val="00245043"/>
    <w:rsid w:val="00250C01"/>
    <w:rsid w:val="00253211"/>
    <w:rsid w:val="002533A6"/>
    <w:rsid w:val="00253D02"/>
    <w:rsid w:val="00257760"/>
    <w:rsid w:val="00267CE0"/>
    <w:rsid w:val="002730FD"/>
    <w:rsid w:val="00283E1F"/>
    <w:rsid w:val="00287C07"/>
    <w:rsid w:val="00287FFE"/>
    <w:rsid w:val="00292D36"/>
    <w:rsid w:val="00295586"/>
    <w:rsid w:val="0029694B"/>
    <w:rsid w:val="00297281"/>
    <w:rsid w:val="002A045E"/>
    <w:rsid w:val="002B36EF"/>
    <w:rsid w:val="002C42E0"/>
    <w:rsid w:val="002C54E0"/>
    <w:rsid w:val="002D3005"/>
    <w:rsid w:val="002D711A"/>
    <w:rsid w:val="002D7336"/>
    <w:rsid w:val="002E3396"/>
    <w:rsid w:val="002E3D44"/>
    <w:rsid w:val="002E62AB"/>
    <w:rsid w:val="002E78B6"/>
    <w:rsid w:val="002F1972"/>
    <w:rsid w:val="002F7800"/>
    <w:rsid w:val="003061D9"/>
    <w:rsid w:val="00306979"/>
    <w:rsid w:val="0031149C"/>
    <w:rsid w:val="00317C79"/>
    <w:rsid w:val="00320BBA"/>
    <w:rsid w:val="00324713"/>
    <w:rsid w:val="00325421"/>
    <w:rsid w:val="003361B5"/>
    <w:rsid w:val="00337EB3"/>
    <w:rsid w:val="00342B3F"/>
    <w:rsid w:val="00351E0F"/>
    <w:rsid w:val="00353242"/>
    <w:rsid w:val="00356BE6"/>
    <w:rsid w:val="00357C62"/>
    <w:rsid w:val="00362558"/>
    <w:rsid w:val="00363069"/>
    <w:rsid w:val="00363C27"/>
    <w:rsid w:val="0036751F"/>
    <w:rsid w:val="003747C9"/>
    <w:rsid w:val="0037671E"/>
    <w:rsid w:val="00376CD7"/>
    <w:rsid w:val="003801C0"/>
    <w:rsid w:val="00381CB4"/>
    <w:rsid w:val="00382EE1"/>
    <w:rsid w:val="00383149"/>
    <w:rsid w:val="003835B2"/>
    <w:rsid w:val="0038418E"/>
    <w:rsid w:val="003859EC"/>
    <w:rsid w:val="00385F16"/>
    <w:rsid w:val="00387538"/>
    <w:rsid w:val="0038771C"/>
    <w:rsid w:val="0039126E"/>
    <w:rsid w:val="0039405B"/>
    <w:rsid w:val="003A1AE1"/>
    <w:rsid w:val="003A1C92"/>
    <w:rsid w:val="003A541A"/>
    <w:rsid w:val="003A6923"/>
    <w:rsid w:val="003A7138"/>
    <w:rsid w:val="003A7490"/>
    <w:rsid w:val="003B118F"/>
    <w:rsid w:val="003B1954"/>
    <w:rsid w:val="003B2969"/>
    <w:rsid w:val="003B2A66"/>
    <w:rsid w:val="003C2C67"/>
    <w:rsid w:val="003C5103"/>
    <w:rsid w:val="003C5BA4"/>
    <w:rsid w:val="003D02BC"/>
    <w:rsid w:val="003D1CB4"/>
    <w:rsid w:val="003D39CE"/>
    <w:rsid w:val="003D692F"/>
    <w:rsid w:val="003D6EF3"/>
    <w:rsid w:val="003E3E26"/>
    <w:rsid w:val="003E6A28"/>
    <w:rsid w:val="003F1295"/>
    <w:rsid w:val="003F44CF"/>
    <w:rsid w:val="003F76FC"/>
    <w:rsid w:val="003F7B26"/>
    <w:rsid w:val="004002EB"/>
    <w:rsid w:val="00411780"/>
    <w:rsid w:val="00413135"/>
    <w:rsid w:val="00415168"/>
    <w:rsid w:val="0041689E"/>
    <w:rsid w:val="004210ED"/>
    <w:rsid w:val="004236C8"/>
    <w:rsid w:val="00423765"/>
    <w:rsid w:val="00427681"/>
    <w:rsid w:val="0043021A"/>
    <w:rsid w:val="00431236"/>
    <w:rsid w:val="00433DB7"/>
    <w:rsid w:val="0043543C"/>
    <w:rsid w:val="00435F7C"/>
    <w:rsid w:val="0043744A"/>
    <w:rsid w:val="0044186C"/>
    <w:rsid w:val="004421B4"/>
    <w:rsid w:val="00442BCD"/>
    <w:rsid w:val="00443A32"/>
    <w:rsid w:val="0044467B"/>
    <w:rsid w:val="0044608A"/>
    <w:rsid w:val="004469BC"/>
    <w:rsid w:val="00450E64"/>
    <w:rsid w:val="00451998"/>
    <w:rsid w:val="00453750"/>
    <w:rsid w:val="004563BD"/>
    <w:rsid w:val="00456941"/>
    <w:rsid w:val="004571D5"/>
    <w:rsid w:val="00465717"/>
    <w:rsid w:val="004702EA"/>
    <w:rsid w:val="00475781"/>
    <w:rsid w:val="00476374"/>
    <w:rsid w:val="00477261"/>
    <w:rsid w:val="00481F5E"/>
    <w:rsid w:val="00482D02"/>
    <w:rsid w:val="0048491D"/>
    <w:rsid w:val="00487966"/>
    <w:rsid w:val="004A67DA"/>
    <w:rsid w:val="004A7519"/>
    <w:rsid w:val="004B2243"/>
    <w:rsid w:val="004B3CC4"/>
    <w:rsid w:val="004C467D"/>
    <w:rsid w:val="004D3518"/>
    <w:rsid w:val="004D3645"/>
    <w:rsid w:val="004D62D6"/>
    <w:rsid w:val="004D7C40"/>
    <w:rsid w:val="004E257E"/>
    <w:rsid w:val="004F0123"/>
    <w:rsid w:val="004F033C"/>
    <w:rsid w:val="004F1FCD"/>
    <w:rsid w:val="004F5BB9"/>
    <w:rsid w:val="0050406A"/>
    <w:rsid w:val="00506FC7"/>
    <w:rsid w:val="00510A41"/>
    <w:rsid w:val="00511DD7"/>
    <w:rsid w:val="005171CB"/>
    <w:rsid w:val="00517BCB"/>
    <w:rsid w:val="005242E4"/>
    <w:rsid w:val="00531EBF"/>
    <w:rsid w:val="005337FF"/>
    <w:rsid w:val="0053416C"/>
    <w:rsid w:val="0053429C"/>
    <w:rsid w:val="00536C3F"/>
    <w:rsid w:val="00541C2F"/>
    <w:rsid w:val="00550C18"/>
    <w:rsid w:val="005517DF"/>
    <w:rsid w:val="00563527"/>
    <w:rsid w:val="00563588"/>
    <w:rsid w:val="00565CF3"/>
    <w:rsid w:val="0057065C"/>
    <w:rsid w:val="00570BF9"/>
    <w:rsid w:val="0057514F"/>
    <w:rsid w:val="00576B1E"/>
    <w:rsid w:val="0057703D"/>
    <w:rsid w:val="00580C94"/>
    <w:rsid w:val="0058124E"/>
    <w:rsid w:val="005828FE"/>
    <w:rsid w:val="005875A3"/>
    <w:rsid w:val="0059120F"/>
    <w:rsid w:val="00592390"/>
    <w:rsid w:val="005955D9"/>
    <w:rsid w:val="005A2CB4"/>
    <w:rsid w:val="005A3416"/>
    <w:rsid w:val="005B27FE"/>
    <w:rsid w:val="005B7F83"/>
    <w:rsid w:val="005C3E6D"/>
    <w:rsid w:val="005C5C99"/>
    <w:rsid w:val="005C5FFB"/>
    <w:rsid w:val="005D34CC"/>
    <w:rsid w:val="005E03D4"/>
    <w:rsid w:val="005E4177"/>
    <w:rsid w:val="005E6276"/>
    <w:rsid w:val="005E7443"/>
    <w:rsid w:val="005E7DDA"/>
    <w:rsid w:val="005F464A"/>
    <w:rsid w:val="005F61DF"/>
    <w:rsid w:val="006023F9"/>
    <w:rsid w:val="006028E9"/>
    <w:rsid w:val="00603B80"/>
    <w:rsid w:val="00604B45"/>
    <w:rsid w:val="006063B1"/>
    <w:rsid w:val="00610559"/>
    <w:rsid w:val="00613ECF"/>
    <w:rsid w:val="00614CB5"/>
    <w:rsid w:val="00615187"/>
    <w:rsid w:val="0062008E"/>
    <w:rsid w:val="00620DAB"/>
    <w:rsid w:val="00622905"/>
    <w:rsid w:val="00624B02"/>
    <w:rsid w:val="0063131E"/>
    <w:rsid w:val="006332F6"/>
    <w:rsid w:val="006337A1"/>
    <w:rsid w:val="00642C84"/>
    <w:rsid w:val="00643097"/>
    <w:rsid w:val="0064424E"/>
    <w:rsid w:val="00652625"/>
    <w:rsid w:val="00652F6C"/>
    <w:rsid w:val="006534B2"/>
    <w:rsid w:val="00653F0A"/>
    <w:rsid w:val="00654D45"/>
    <w:rsid w:val="0065615D"/>
    <w:rsid w:val="00657011"/>
    <w:rsid w:val="00662220"/>
    <w:rsid w:val="006629D9"/>
    <w:rsid w:val="00662CB5"/>
    <w:rsid w:val="006650B5"/>
    <w:rsid w:val="006651B1"/>
    <w:rsid w:val="00665778"/>
    <w:rsid w:val="00667DBA"/>
    <w:rsid w:val="006705EB"/>
    <w:rsid w:val="00671113"/>
    <w:rsid w:val="00672D1B"/>
    <w:rsid w:val="00681217"/>
    <w:rsid w:val="00686138"/>
    <w:rsid w:val="00687D4D"/>
    <w:rsid w:val="00693F44"/>
    <w:rsid w:val="00694443"/>
    <w:rsid w:val="006A1227"/>
    <w:rsid w:val="006A5B34"/>
    <w:rsid w:val="006A5F5B"/>
    <w:rsid w:val="006C77A9"/>
    <w:rsid w:val="006C78FB"/>
    <w:rsid w:val="006D2009"/>
    <w:rsid w:val="006D7CB0"/>
    <w:rsid w:val="006E0AB2"/>
    <w:rsid w:val="006E5FA9"/>
    <w:rsid w:val="006E781F"/>
    <w:rsid w:val="006E7EEE"/>
    <w:rsid w:val="006F14E7"/>
    <w:rsid w:val="006F6693"/>
    <w:rsid w:val="00705D22"/>
    <w:rsid w:val="0070654A"/>
    <w:rsid w:val="007072E4"/>
    <w:rsid w:val="00707FE8"/>
    <w:rsid w:val="0071093A"/>
    <w:rsid w:val="00714322"/>
    <w:rsid w:val="00714609"/>
    <w:rsid w:val="007228EB"/>
    <w:rsid w:val="00722BF1"/>
    <w:rsid w:val="007231FB"/>
    <w:rsid w:val="00724962"/>
    <w:rsid w:val="00724A0F"/>
    <w:rsid w:val="00732162"/>
    <w:rsid w:val="00734E6D"/>
    <w:rsid w:val="00735F96"/>
    <w:rsid w:val="00736732"/>
    <w:rsid w:val="00736962"/>
    <w:rsid w:val="007406F1"/>
    <w:rsid w:val="00743933"/>
    <w:rsid w:val="00744F99"/>
    <w:rsid w:val="00750CBE"/>
    <w:rsid w:val="00762A05"/>
    <w:rsid w:val="00766B5A"/>
    <w:rsid w:val="007674AA"/>
    <w:rsid w:val="007674B7"/>
    <w:rsid w:val="00767A62"/>
    <w:rsid w:val="00767DF6"/>
    <w:rsid w:val="00771F53"/>
    <w:rsid w:val="00773AB8"/>
    <w:rsid w:val="00775D26"/>
    <w:rsid w:val="00777E20"/>
    <w:rsid w:val="007834F2"/>
    <w:rsid w:val="00786058"/>
    <w:rsid w:val="00786A12"/>
    <w:rsid w:val="00786A35"/>
    <w:rsid w:val="00787F01"/>
    <w:rsid w:val="00790736"/>
    <w:rsid w:val="00791020"/>
    <w:rsid w:val="007970EA"/>
    <w:rsid w:val="007A372B"/>
    <w:rsid w:val="007A5F82"/>
    <w:rsid w:val="007A6328"/>
    <w:rsid w:val="007B7B60"/>
    <w:rsid w:val="007D0777"/>
    <w:rsid w:val="007D143F"/>
    <w:rsid w:val="007D1A6A"/>
    <w:rsid w:val="007D43F0"/>
    <w:rsid w:val="007D4DE0"/>
    <w:rsid w:val="007D57A2"/>
    <w:rsid w:val="007E3726"/>
    <w:rsid w:val="007E586B"/>
    <w:rsid w:val="007E629E"/>
    <w:rsid w:val="007F1A4C"/>
    <w:rsid w:val="007F53AB"/>
    <w:rsid w:val="007F7D42"/>
    <w:rsid w:val="008022C3"/>
    <w:rsid w:val="008041E6"/>
    <w:rsid w:val="00805938"/>
    <w:rsid w:val="008065D2"/>
    <w:rsid w:val="00812596"/>
    <w:rsid w:val="00820CB6"/>
    <w:rsid w:val="0082194C"/>
    <w:rsid w:val="008220C4"/>
    <w:rsid w:val="008222FF"/>
    <w:rsid w:val="00822C44"/>
    <w:rsid w:val="0082367B"/>
    <w:rsid w:val="008241FF"/>
    <w:rsid w:val="008245F0"/>
    <w:rsid w:val="00824918"/>
    <w:rsid w:val="00825F01"/>
    <w:rsid w:val="00834343"/>
    <w:rsid w:val="008411E9"/>
    <w:rsid w:val="0084200F"/>
    <w:rsid w:val="00843B2C"/>
    <w:rsid w:val="00845F76"/>
    <w:rsid w:val="00846E88"/>
    <w:rsid w:val="008503CD"/>
    <w:rsid w:val="00851FA7"/>
    <w:rsid w:val="008565A5"/>
    <w:rsid w:val="00863B45"/>
    <w:rsid w:val="00863BA7"/>
    <w:rsid w:val="00866481"/>
    <w:rsid w:val="00876241"/>
    <w:rsid w:val="00876ACF"/>
    <w:rsid w:val="00880878"/>
    <w:rsid w:val="0089125E"/>
    <w:rsid w:val="00891403"/>
    <w:rsid w:val="00896CA0"/>
    <w:rsid w:val="008A18DB"/>
    <w:rsid w:val="008A4900"/>
    <w:rsid w:val="008B0367"/>
    <w:rsid w:val="008B3421"/>
    <w:rsid w:val="008C0D09"/>
    <w:rsid w:val="008C2777"/>
    <w:rsid w:val="008C5E41"/>
    <w:rsid w:val="008D0281"/>
    <w:rsid w:val="008E3233"/>
    <w:rsid w:val="008E396F"/>
    <w:rsid w:val="008E3C4E"/>
    <w:rsid w:val="008E4BB2"/>
    <w:rsid w:val="008E735A"/>
    <w:rsid w:val="008F556B"/>
    <w:rsid w:val="008F671F"/>
    <w:rsid w:val="008F6D45"/>
    <w:rsid w:val="00900EDA"/>
    <w:rsid w:val="00903054"/>
    <w:rsid w:val="00906FB3"/>
    <w:rsid w:val="009154B0"/>
    <w:rsid w:val="009163D0"/>
    <w:rsid w:val="00923C54"/>
    <w:rsid w:val="00927E22"/>
    <w:rsid w:val="009356B0"/>
    <w:rsid w:val="00941123"/>
    <w:rsid w:val="00944090"/>
    <w:rsid w:val="00950D59"/>
    <w:rsid w:val="009543E2"/>
    <w:rsid w:val="0095749B"/>
    <w:rsid w:val="00963C94"/>
    <w:rsid w:val="00965963"/>
    <w:rsid w:val="00967A08"/>
    <w:rsid w:val="00973360"/>
    <w:rsid w:val="00973AC1"/>
    <w:rsid w:val="009767E4"/>
    <w:rsid w:val="009776A7"/>
    <w:rsid w:val="00980926"/>
    <w:rsid w:val="00982616"/>
    <w:rsid w:val="009834C0"/>
    <w:rsid w:val="009854C3"/>
    <w:rsid w:val="00986AAC"/>
    <w:rsid w:val="00990175"/>
    <w:rsid w:val="00990D89"/>
    <w:rsid w:val="009A1DA2"/>
    <w:rsid w:val="009A3704"/>
    <w:rsid w:val="009A4739"/>
    <w:rsid w:val="009A674F"/>
    <w:rsid w:val="009B02AB"/>
    <w:rsid w:val="009B199C"/>
    <w:rsid w:val="009B3DF6"/>
    <w:rsid w:val="009B54C8"/>
    <w:rsid w:val="009B61F1"/>
    <w:rsid w:val="009B62E0"/>
    <w:rsid w:val="009B70C7"/>
    <w:rsid w:val="009C3D88"/>
    <w:rsid w:val="009C546D"/>
    <w:rsid w:val="009D0E80"/>
    <w:rsid w:val="009D5C1A"/>
    <w:rsid w:val="009D5E19"/>
    <w:rsid w:val="009E1CF6"/>
    <w:rsid w:val="009E2717"/>
    <w:rsid w:val="009E3858"/>
    <w:rsid w:val="009E70DD"/>
    <w:rsid w:val="009F2ED9"/>
    <w:rsid w:val="009F3231"/>
    <w:rsid w:val="009F5C58"/>
    <w:rsid w:val="009F7547"/>
    <w:rsid w:val="00A023A0"/>
    <w:rsid w:val="00A04A09"/>
    <w:rsid w:val="00A14DFC"/>
    <w:rsid w:val="00A1562B"/>
    <w:rsid w:val="00A16D23"/>
    <w:rsid w:val="00A170F4"/>
    <w:rsid w:val="00A2559E"/>
    <w:rsid w:val="00A25FD9"/>
    <w:rsid w:val="00A358E7"/>
    <w:rsid w:val="00A46BA8"/>
    <w:rsid w:val="00A4723C"/>
    <w:rsid w:val="00A47634"/>
    <w:rsid w:val="00A516DE"/>
    <w:rsid w:val="00A51AEE"/>
    <w:rsid w:val="00A52012"/>
    <w:rsid w:val="00A612FE"/>
    <w:rsid w:val="00A642CF"/>
    <w:rsid w:val="00A6470C"/>
    <w:rsid w:val="00A763F3"/>
    <w:rsid w:val="00A80D2A"/>
    <w:rsid w:val="00A837F8"/>
    <w:rsid w:val="00A93CC9"/>
    <w:rsid w:val="00A94DF2"/>
    <w:rsid w:val="00A95FAE"/>
    <w:rsid w:val="00AA26B8"/>
    <w:rsid w:val="00AA4D53"/>
    <w:rsid w:val="00AA699D"/>
    <w:rsid w:val="00AA7EE9"/>
    <w:rsid w:val="00AB3FE2"/>
    <w:rsid w:val="00AB4D39"/>
    <w:rsid w:val="00AB659E"/>
    <w:rsid w:val="00AC2245"/>
    <w:rsid w:val="00AC3BFC"/>
    <w:rsid w:val="00AD0F2A"/>
    <w:rsid w:val="00AD3322"/>
    <w:rsid w:val="00AD7E4E"/>
    <w:rsid w:val="00AE538A"/>
    <w:rsid w:val="00AE6867"/>
    <w:rsid w:val="00AF15EE"/>
    <w:rsid w:val="00AF2F11"/>
    <w:rsid w:val="00AF3D47"/>
    <w:rsid w:val="00AF40F2"/>
    <w:rsid w:val="00AF4D58"/>
    <w:rsid w:val="00AF6666"/>
    <w:rsid w:val="00B0078E"/>
    <w:rsid w:val="00B0298E"/>
    <w:rsid w:val="00B02F6C"/>
    <w:rsid w:val="00B0394B"/>
    <w:rsid w:val="00B03DDE"/>
    <w:rsid w:val="00B0661B"/>
    <w:rsid w:val="00B0760B"/>
    <w:rsid w:val="00B10154"/>
    <w:rsid w:val="00B1248B"/>
    <w:rsid w:val="00B1678E"/>
    <w:rsid w:val="00B276BF"/>
    <w:rsid w:val="00B30939"/>
    <w:rsid w:val="00B33663"/>
    <w:rsid w:val="00B44379"/>
    <w:rsid w:val="00B51908"/>
    <w:rsid w:val="00B52CE2"/>
    <w:rsid w:val="00B53618"/>
    <w:rsid w:val="00B53FF4"/>
    <w:rsid w:val="00B61EA2"/>
    <w:rsid w:val="00B72F2A"/>
    <w:rsid w:val="00B75DC1"/>
    <w:rsid w:val="00B7611A"/>
    <w:rsid w:val="00B76525"/>
    <w:rsid w:val="00B809DD"/>
    <w:rsid w:val="00B818EF"/>
    <w:rsid w:val="00B81B44"/>
    <w:rsid w:val="00B82FF4"/>
    <w:rsid w:val="00B8398B"/>
    <w:rsid w:val="00B87829"/>
    <w:rsid w:val="00B9053B"/>
    <w:rsid w:val="00B94F04"/>
    <w:rsid w:val="00B96175"/>
    <w:rsid w:val="00BA0C97"/>
    <w:rsid w:val="00BA10AE"/>
    <w:rsid w:val="00BA1CBC"/>
    <w:rsid w:val="00BA48DB"/>
    <w:rsid w:val="00BA5F15"/>
    <w:rsid w:val="00BA674E"/>
    <w:rsid w:val="00BB3B36"/>
    <w:rsid w:val="00BB65C0"/>
    <w:rsid w:val="00BC2BA2"/>
    <w:rsid w:val="00BC2DCA"/>
    <w:rsid w:val="00BC3422"/>
    <w:rsid w:val="00BC4865"/>
    <w:rsid w:val="00BC6691"/>
    <w:rsid w:val="00BD2238"/>
    <w:rsid w:val="00BD4CBB"/>
    <w:rsid w:val="00BD696E"/>
    <w:rsid w:val="00BD75A4"/>
    <w:rsid w:val="00BE5EF6"/>
    <w:rsid w:val="00BE6D8E"/>
    <w:rsid w:val="00BE7B76"/>
    <w:rsid w:val="00BF6EED"/>
    <w:rsid w:val="00C015B9"/>
    <w:rsid w:val="00C022F9"/>
    <w:rsid w:val="00C02AEE"/>
    <w:rsid w:val="00C032EA"/>
    <w:rsid w:val="00C0642B"/>
    <w:rsid w:val="00C06EB5"/>
    <w:rsid w:val="00C0721B"/>
    <w:rsid w:val="00C1145F"/>
    <w:rsid w:val="00C17017"/>
    <w:rsid w:val="00C21D9B"/>
    <w:rsid w:val="00C255A4"/>
    <w:rsid w:val="00C26722"/>
    <w:rsid w:val="00C319F6"/>
    <w:rsid w:val="00C37583"/>
    <w:rsid w:val="00C45CAB"/>
    <w:rsid w:val="00C465BB"/>
    <w:rsid w:val="00C57675"/>
    <w:rsid w:val="00C634FA"/>
    <w:rsid w:val="00C637E1"/>
    <w:rsid w:val="00C65A0B"/>
    <w:rsid w:val="00C66B0F"/>
    <w:rsid w:val="00C67D2D"/>
    <w:rsid w:val="00C70D50"/>
    <w:rsid w:val="00C7368A"/>
    <w:rsid w:val="00C76AE7"/>
    <w:rsid w:val="00C77CFE"/>
    <w:rsid w:val="00C80FB6"/>
    <w:rsid w:val="00C836DC"/>
    <w:rsid w:val="00C907D7"/>
    <w:rsid w:val="00C91653"/>
    <w:rsid w:val="00C92338"/>
    <w:rsid w:val="00C96B16"/>
    <w:rsid w:val="00CA2954"/>
    <w:rsid w:val="00CA4F2B"/>
    <w:rsid w:val="00CA7C3A"/>
    <w:rsid w:val="00CB4622"/>
    <w:rsid w:val="00CB7690"/>
    <w:rsid w:val="00CC2DB2"/>
    <w:rsid w:val="00CC3959"/>
    <w:rsid w:val="00CD0307"/>
    <w:rsid w:val="00CD0E0F"/>
    <w:rsid w:val="00CD3D1B"/>
    <w:rsid w:val="00CD562F"/>
    <w:rsid w:val="00CD6EF6"/>
    <w:rsid w:val="00CE2A1A"/>
    <w:rsid w:val="00CE5660"/>
    <w:rsid w:val="00CE693A"/>
    <w:rsid w:val="00CF7975"/>
    <w:rsid w:val="00CF7DCA"/>
    <w:rsid w:val="00D10116"/>
    <w:rsid w:val="00D1370A"/>
    <w:rsid w:val="00D14F27"/>
    <w:rsid w:val="00D15422"/>
    <w:rsid w:val="00D207F1"/>
    <w:rsid w:val="00D211E9"/>
    <w:rsid w:val="00D2312F"/>
    <w:rsid w:val="00D2459C"/>
    <w:rsid w:val="00D269C1"/>
    <w:rsid w:val="00D34454"/>
    <w:rsid w:val="00D35DD2"/>
    <w:rsid w:val="00D3712E"/>
    <w:rsid w:val="00D41CED"/>
    <w:rsid w:val="00D42C5E"/>
    <w:rsid w:val="00D44953"/>
    <w:rsid w:val="00D507CD"/>
    <w:rsid w:val="00D513C4"/>
    <w:rsid w:val="00D53E1A"/>
    <w:rsid w:val="00D542F3"/>
    <w:rsid w:val="00D54F30"/>
    <w:rsid w:val="00D5628A"/>
    <w:rsid w:val="00D5644B"/>
    <w:rsid w:val="00D56E25"/>
    <w:rsid w:val="00D60CEE"/>
    <w:rsid w:val="00D640AB"/>
    <w:rsid w:val="00D67254"/>
    <w:rsid w:val="00D718D7"/>
    <w:rsid w:val="00D72CF2"/>
    <w:rsid w:val="00D814B7"/>
    <w:rsid w:val="00D86AC1"/>
    <w:rsid w:val="00D90688"/>
    <w:rsid w:val="00D92106"/>
    <w:rsid w:val="00D96183"/>
    <w:rsid w:val="00DA2695"/>
    <w:rsid w:val="00DA3AAD"/>
    <w:rsid w:val="00DB312B"/>
    <w:rsid w:val="00DC070F"/>
    <w:rsid w:val="00DC3456"/>
    <w:rsid w:val="00DC5654"/>
    <w:rsid w:val="00DC658F"/>
    <w:rsid w:val="00DD3469"/>
    <w:rsid w:val="00DD6D47"/>
    <w:rsid w:val="00DD7E92"/>
    <w:rsid w:val="00DE3A5C"/>
    <w:rsid w:val="00DE60CC"/>
    <w:rsid w:val="00DF1163"/>
    <w:rsid w:val="00DF5FA5"/>
    <w:rsid w:val="00DF7CFE"/>
    <w:rsid w:val="00E0036A"/>
    <w:rsid w:val="00E010B1"/>
    <w:rsid w:val="00E07930"/>
    <w:rsid w:val="00E13A55"/>
    <w:rsid w:val="00E26B32"/>
    <w:rsid w:val="00E3232B"/>
    <w:rsid w:val="00E32505"/>
    <w:rsid w:val="00E35A7A"/>
    <w:rsid w:val="00E36F91"/>
    <w:rsid w:val="00E407B6"/>
    <w:rsid w:val="00E40F73"/>
    <w:rsid w:val="00E41EF1"/>
    <w:rsid w:val="00E42942"/>
    <w:rsid w:val="00E468A6"/>
    <w:rsid w:val="00E47D18"/>
    <w:rsid w:val="00E5007C"/>
    <w:rsid w:val="00E510C6"/>
    <w:rsid w:val="00E61E8B"/>
    <w:rsid w:val="00E64FF3"/>
    <w:rsid w:val="00E65283"/>
    <w:rsid w:val="00E71BDF"/>
    <w:rsid w:val="00E73F86"/>
    <w:rsid w:val="00E75025"/>
    <w:rsid w:val="00E7540A"/>
    <w:rsid w:val="00E75939"/>
    <w:rsid w:val="00E76FA3"/>
    <w:rsid w:val="00E77A01"/>
    <w:rsid w:val="00E81F41"/>
    <w:rsid w:val="00E83CA7"/>
    <w:rsid w:val="00E84B5E"/>
    <w:rsid w:val="00E924D1"/>
    <w:rsid w:val="00E94108"/>
    <w:rsid w:val="00EA1AA8"/>
    <w:rsid w:val="00EA65F6"/>
    <w:rsid w:val="00EB50F4"/>
    <w:rsid w:val="00EC0877"/>
    <w:rsid w:val="00EC171D"/>
    <w:rsid w:val="00EC2173"/>
    <w:rsid w:val="00ED17EF"/>
    <w:rsid w:val="00ED2812"/>
    <w:rsid w:val="00ED487E"/>
    <w:rsid w:val="00EE0251"/>
    <w:rsid w:val="00EE1C23"/>
    <w:rsid w:val="00EE62AC"/>
    <w:rsid w:val="00EE6B56"/>
    <w:rsid w:val="00EE7A0D"/>
    <w:rsid w:val="00EE7A58"/>
    <w:rsid w:val="00EF75D5"/>
    <w:rsid w:val="00F17CE1"/>
    <w:rsid w:val="00F2115C"/>
    <w:rsid w:val="00F212FA"/>
    <w:rsid w:val="00F22ABA"/>
    <w:rsid w:val="00F300A6"/>
    <w:rsid w:val="00F36B12"/>
    <w:rsid w:val="00F40450"/>
    <w:rsid w:val="00F41854"/>
    <w:rsid w:val="00F4272B"/>
    <w:rsid w:val="00F4273D"/>
    <w:rsid w:val="00F45B61"/>
    <w:rsid w:val="00F46A16"/>
    <w:rsid w:val="00F47546"/>
    <w:rsid w:val="00F52BF6"/>
    <w:rsid w:val="00F55A6A"/>
    <w:rsid w:val="00F56439"/>
    <w:rsid w:val="00F60F9F"/>
    <w:rsid w:val="00F64F08"/>
    <w:rsid w:val="00F67C65"/>
    <w:rsid w:val="00F734F5"/>
    <w:rsid w:val="00F82ACE"/>
    <w:rsid w:val="00F95389"/>
    <w:rsid w:val="00F966B1"/>
    <w:rsid w:val="00F979FB"/>
    <w:rsid w:val="00F97D48"/>
    <w:rsid w:val="00FA02B5"/>
    <w:rsid w:val="00FA0311"/>
    <w:rsid w:val="00FA08EA"/>
    <w:rsid w:val="00FA298B"/>
    <w:rsid w:val="00FA3164"/>
    <w:rsid w:val="00FA4796"/>
    <w:rsid w:val="00FA762D"/>
    <w:rsid w:val="00FA7D8D"/>
    <w:rsid w:val="00FB0DBF"/>
    <w:rsid w:val="00FB7D51"/>
    <w:rsid w:val="00FC1AC9"/>
    <w:rsid w:val="00FC2C88"/>
    <w:rsid w:val="00FC42E5"/>
    <w:rsid w:val="00FD640F"/>
    <w:rsid w:val="00FD6B4C"/>
    <w:rsid w:val="00FE2B27"/>
    <w:rsid w:val="00FF0067"/>
    <w:rsid w:val="00FF08A5"/>
    <w:rsid w:val="00FF403F"/>
    <w:rsid w:val="00FF4E99"/>
    <w:rsid w:val="00FF7393"/>
    <w:rsid w:val="5B40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DD8FA"/>
  <w15:docId w15:val="{EAB7AE3F-FB17-4683-AE9D-321EC71D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unhideWhenUsed="1"/>
    <w:lsdException w:name="index 2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24" w:unhideWhenUsed="1"/>
    <w:lsdException w:name="index heading" w:unhideWhenUsed="1"/>
    <w:lsdException w:name="caption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49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49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3744A"/>
    <w:pPr>
      <w:spacing w:before="160" w:after="100"/>
    </w:pPr>
    <w:rPr>
      <w:spacing w:val="2"/>
      <w:sz w:val="18"/>
    </w:rPr>
  </w:style>
  <w:style w:type="paragraph" w:styleId="Heading1">
    <w:name w:val="heading 1"/>
    <w:next w:val="Normal"/>
    <w:link w:val="Heading1Char"/>
    <w:uiPriority w:val="99"/>
    <w:rsid w:val="0043744A"/>
    <w:pPr>
      <w:keepNext/>
      <w:keepLines/>
      <w:spacing w:before="600" w:after="600"/>
      <w:outlineLvl w:val="0"/>
    </w:pPr>
    <w:rPr>
      <w:rFonts w:asciiTheme="majorHAnsi" w:hAnsiTheme="majorHAnsi" w:eastAsiaTheme="majorEastAsia" w:cstheme="majorBidi"/>
      <w:b/>
      <w:bCs/>
      <w:color w:val="000000" w:themeColor="text1"/>
      <w:spacing w:val="-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rsid w:val="0043744A"/>
    <w:pPr>
      <w:keepNext/>
      <w:keepLines/>
      <w:spacing w:after="240"/>
      <w:outlineLvl w:val="1"/>
    </w:pPr>
    <w:rPr>
      <w:rFonts w:asciiTheme="majorHAnsi" w:hAnsiTheme="majorHAnsi" w:eastAsiaTheme="majorEastAsia" w:cstheme="majorBidi"/>
      <w:b/>
      <w:bCs/>
      <w:color w:val="7F7F7F" w:themeColor="text1" w:themeTint="80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43744A"/>
    <w:pPr>
      <w:keepNext/>
      <w:keepLines/>
      <w:spacing w:before="240" w:after="120"/>
      <w:outlineLvl w:val="2"/>
    </w:pPr>
    <w:rPr>
      <w:rFonts w:asciiTheme="majorHAnsi" w:hAnsiTheme="majorHAnsi" w:eastAsiaTheme="majorEastAsia" w:cstheme="majorBidi"/>
      <w:b/>
      <w:bCs/>
      <w:color w:val="0063A6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43744A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Cs/>
      <w:color w:val="53565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43744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43744A"/>
    <w:pPr>
      <w:spacing w:before="20" w:after="20" w:line="240" w:lineRule="auto"/>
      <w:jc w:val="right"/>
    </w:pPr>
    <w:rPr>
      <w:rFonts w:eastAsiaTheme="minorHAnsi"/>
      <w:spacing w:val="2"/>
      <w:sz w:val="17"/>
      <w:szCs w:val="21"/>
      <w:lang w:eastAsia="en-US"/>
    </w:rPr>
    <w:tblPr>
      <w:tblStyleRowBandSize w:val="1"/>
      <w:tblStyleColBandSize w:val="1"/>
      <w:tblBorders>
        <w:bottom w:val="single" w:color="0063A6" w:themeColor="accent1" w:sz="12" w:space="0"/>
      </w:tblBorders>
      <w:tblCellMar>
        <w:left w:w="57" w:type="dxa"/>
        <w:right w:w="57" w:type="dxa"/>
      </w:tblCellMar>
    </w:tblPr>
    <w:tblStylePr w:type="firstRow">
      <w:pPr>
        <w:keepNext/>
        <w:keepLines/>
        <w:widowControl/>
        <w:wordWrap/>
        <w:spacing w:before="120" w:beforeLines="0" w:beforeAutospacing="0" w:after="30" w:afterLines="0" w:afterAutospacing="0"/>
        <w:jc w:val="left"/>
      </w:pPr>
      <w:rPr>
        <w:i w:val="0"/>
        <w:color w:val="FFFFFF" w:themeColor="background1"/>
      </w:rPr>
      <w:tblPr/>
      <w:tcPr>
        <w:shd w:val="clear" w:color="auto" w:fill="0063A6" w:themeFill="accent1"/>
        <w:vAlign w:val="bottom"/>
      </w:tcPr>
    </w:tblStylePr>
    <w:tblStylePr w:type="lastRow">
      <w:rPr>
        <w:b/>
      </w:rPr>
      <w:tblPr/>
      <w:tcPr>
        <w:tcBorders>
          <w:top w:val="single" w:color="0063A6" w:themeColor="accent1" w:sz="6" w:space="0"/>
          <w:left w:val="nil"/>
          <w:bottom w:val="single" w:color="0063A6" w:themeColor="accent1" w:sz="12" w:space="0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E3EBF4" w:themeFill="accent3" w:themeFillTint="33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E3EBF4" w:themeFill="accent3" w:themeFillTint="33"/>
      </w:tcPr>
    </w:tblStylePr>
  </w:style>
  <w:style w:type="table" w:styleId="LightList-Accent4">
    <w:name w:val="Light List Accent 4"/>
    <w:basedOn w:val="TableNormal"/>
    <w:uiPriority w:val="61"/>
    <w:rsid w:val="0043744A"/>
    <w:pPr>
      <w:spacing w:after="0" w:line="240" w:lineRule="auto"/>
    </w:pPr>
    <w:tblPr>
      <w:tblStyleRowBandSize w:val="1"/>
      <w:tblStyleColBandSize w:val="1"/>
      <w:tblBorders>
        <w:top w:val="single" w:color="0072CE" w:themeColor="accent4" w:sz="8" w:space="0"/>
        <w:left w:val="single" w:color="0072CE" w:themeColor="accent4" w:sz="8" w:space="0"/>
        <w:bottom w:val="single" w:color="0072CE" w:themeColor="accent4" w:sz="8" w:space="0"/>
        <w:right w:val="single" w:color="0072CE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72CE" w:themeColor="accent4" w:sz="6" w:space="0"/>
          <w:left w:val="single" w:color="0072CE" w:themeColor="accent4" w:sz="8" w:space="0"/>
          <w:bottom w:val="single" w:color="0072CE" w:themeColor="accent4" w:sz="8" w:space="0"/>
          <w:right w:val="single" w:color="0072CE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72CE" w:themeColor="accent4" w:sz="8" w:space="0"/>
          <w:left w:val="single" w:color="0072CE" w:themeColor="accent4" w:sz="8" w:space="0"/>
          <w:bottom w:val="single" w:color="0072CE" w:themeColor="accent4" w:sz="8" w:space="0"/>
          <w:right w:val="single" w:color="0072CE" w:themeColor="accent4" w:sz="8" w:space="0"/>
        </w:tcBorders>
      </w:tcPr>
    </w:tblStylePr>
    <w:tblStylePr w:type="band1Horz">
      <w:tblPr/>
      <w:tcPr>
        <w:tcBorders>
          <w:top w:val="single" w:color="0072CE" w:themeColor="accent4" w:sz="8" w:space="0"/>
          <w:left w:val="single" w:color="0072CE" w:themeColor="accent4" w:sz="8" w:space="0"/>
          <w:bottom w:val="single" w:color="0072CE" w:themeColor="accent4" w:sz="8" w:space="0"/>
          <w:right w:val="single" w:color="0072CE" w:themeColor="accent4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43744A"/>
    <w:pPr>
      <w:spacing w:after="0" w:line="240" w:lineRule="auto"/>
    </w:pPr>
    <w:tblPr>
      <w:tblStyleRowBandSize w:val="1"/>
      <w:tblStyleColBandSize w:val="1"/>
      <w:tblBorders>
        <w:top w:val="single" w:color="0063A6" w:themeColor="accent1" w:sz="8" w:space="0"/>
        <w:left w:val="single" w:color="0063A6" w:themeColor="accent1" w:sz="8" w:space="0"/>
        <w:bottom w:val="single" w:color="0063A6" w:themeColor="accent1" w:sz="8" w:space="0"/>
        <w:right w:val="single" w:color="0063A6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A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63A6" w:themeColor="accent1" w:sz="6" w:space="0"/>
          <w:left w:val="single" w:color="0063A6" w:themeColor="accent1" w:sz="8" w:space="0"/>
          <w:bottom w:val="single" w:color="0063A6" w:themeColor="accent1" w:sz="8" w:space="0"/>
          <w:right w:val="single" w:color="0063A6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63A6" w:themeColor="accent1" w:sz="8" w:space="0"/>
          <w:left w:val="single" w:color="0063A6" w:themeColor="accent1" w:sz="8" w:space="0"/>
          <w:bottom w:val="single" w:color="0063A6" w:themeColor="accent1" w:sz="8" w:space="0"/>
          <w:right w:val="single" w:color="0063A6" w:themeColor="accent1" w:sz="8" w:space="0"/>
        </w:tcBorders>
      </w:tcPr>
    </w:tblStylePr>
    <w:tblStylePr w:type="band1Horz">
      <w:tblPr/>
      <w:tcPr>
        <w:tcBorders>
          <w:top w:val="single" w:color="0063A6" w:themeColor="accent1" w:sz="8" w:space="0"/>
          <w:left w:val="single" w:color="0063A6" w:themeColor="accent1" w:sz="8" w:space="0"/>
          <w:bottom w:val="single" w:color="0063A6" w:themeColor="accent1" w:sz="8" w:space="0"/>
          <w:right w:val="single" w:color="0063A6" w:themeColor="accent1" w:sz="8" w:space="0"/>
        </w:tcBorders>
      </w:tcPr>
    </w:tblStylePr>
  </w:style>
  <w:style w:type="paragraph" w:styleId="TOC1">
    <w:name w:val="toc 1"/>
    <w:basedOn w:val="Normal"/>
    <w:next w:val="Normal"/>
    <w:uiPriority w:val="39"/>
    <w:rsid w:val="0043744A"/>
    <w:pPr>
      <w:tabs>
        <w:tab w:val="right" w:leader="dot" w:pos="9000"/>
      </w:tabs>
      <w:ind w:right="432"/>
    </w:pPr>
    <w:rPr>
      <w:sz w:val="24"/>
      <w:szCs w:val="24"/>
    </w:rPr>
  </w:style>
  <w:style w:type="paragraph" w:styleId="TOC2">
    <w:name w:val="toc 2"/>
    <w:next w:val="Normal"/>
    <w:uiPriority w:val="39"/>
    <w:rsid w:val="0043744A"/>
    <w:pPr>
      <w:tabs>
        <w:tab w:val="right" w:leader="dot" w:pos="9000"/>
      </w:tabs>
      <w:spacing w:after="100"/>
      <w:ind w:left="446" w:right="432"/>
      <w:contextualSpacing/>
    </w:pPr>
    <w:rPr>
      <w:noProof/>
      <w:spacing w:val="2"/>
    </w:rPr>
  </w:style>
  <w:style w:type="paragraph" w:styleId="TOC3">
    <w:name w:val="toc 3"/>
    <w:basedOn w:val="Normal"/>
    <w:next w:val="Normal"/>
    <w:uiPriority w:val="39"/>
    <w:rsid w:val="0043744A"/>
    <w:pPr>
      <w:tabs>
        <w:tab w:val="right" w:leader="dot" w:pos="9000"/>
      </w:tabs>
      <w:spacing w:before="0"/>
      <w:ind w:left="1080" w:right="432"/>
      <w:contextualSpacing/>
    </w:pPr>
    <w:rPr>
      <w:noProof/>
      <w:szCs w:val="18"/>
    </w:rPr>
  </w:style>
  <w:style w:type="paragraph" w:styleId="Index1">
    <w:name w:val="index 1"/>
    <w:basedOn w:val="Normal"/>
    <w:next w:val="Normal"/>
    <w:uiPriority w:val="99"/>
    <w:semiHidden/>
    <w:rsid w:val="0043744A"/>
    <w:pPr>
      <w:spacing w:after="60" w:line="240" w:lineRule="auto"/>
    </w:pPr>
    <w:rPr>
      <w:sz w:val="16"/>
    </w:rPr>
  </w:style>
  <w:style w:type="paragraph" w:styleId="Index2">
    <w:name w:val="index 2"/>
    <w:basedOn w:val="Normal"/>
    <w:next w:val="Normal"/>
    <w:uiPriority w:val="99"/>
    <w:semiHidden/>
    <w:rsid w:val="0043744A"/>
    <w:pPr>
      <w:spacing w:after="0" w:line="240" w:lineRule="auto"/>
      <w:ind w:left="216"/>
    </w:pPr>
    <w:rPr>
      <w:sz w:val="16"/>
      <w:szCs w:val="16"/>
    </w:rPr>
  </w:style>
  <w:style w:type="character" w:styleId="Hyperlink">
    <w:name w:val="Hyperlink"/>
    <w:basedOn w:val="DefaultParagraphFont"/>
    <w:uiPriority w:val="99"/>
    <w:rsid w:val="0043744A"/>
    <w:rPr>
      <w:color w:val="53565A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9"/>
    <w:rsid w:val="0043744A"/>
    <w:rPr>
      <w:rFonts w:asciiTheme="majorHAnsi" w:hAnsiTheme="majorHAnsi" w:eastAsiaTheme="majorEastAsia" w:cstheme="majorBidi"/>
      <w:b/>
      <w:bCs/>
      <w:color w:val="000000" w:themeColor="text1"/>
      <w:spacing w:val="-1"/>
      <w:sz w:val="36"/>
      <w:szCs w:val="28"/>
    </w:rPr>
  </w:style>
  <w:style w:type="character" w:styleId="Heading2Char" w:customStyle="1">
    <w:name w:val="Heading 2 Char"/>
    <w:basedOn w:val="DefaultParagraphFont"/>
    <w:link w:val="Heading2"/>
    <w:uiPriority w:val="99"/>
    <w:rsid w:val="0043744A"/>
    <w:rPr>
      <w:rFonts w:asciiTheme="majorHAnsi" w:hAnsiTheme="majorHAnsi" w:eastAsiaTheme="majorEastAsia" w:cstheme="majorBidi"/>
      <w:b/>
      <w:bCs/>
      <w:color w:val="7F7F7F" w:themeColor="text1" w:themeTint="80"/>
      <w:spacing w:val="2"/>
      <w:sz w:val="28"/>
      <w:szCs w:val="26"/>
    </w:rPr>
  </w:style>
  <w:style w:type="paragraph" w:styleId="Bullet1" w:customStyle="1">
    <w:name w:val="Bullet 1"/>
    <w:uiPriority w:val="2"/>
    <w:qFormat/>
    <w:rsid w:val="0043744A"/>
    <w:pPr>
      <w:numPr>
        <w:numId w:val="1"/>
      </w:numPr>
      <w:spacing w:before="160" w:after="0" w:line="240" w:lineRule="auto"/>
      <w:contextualSpacing/>
    </w:pPr>
    <w:rPr>
      <w:rFonts w:eastAsia="Times New Roman" w:cs="Calibri"/>
      <w:spacing w:val="2"/>
      <w:sz w:val="18"/>
    </w:rPr>
  </w:style>
  <w:style w:type="paragraph" w:styleId="Bullet2" w:customStyle="1">
    <w:name w:val="Bullet 2"/>
    <w:basedOn w:val="Bullet1"/>
    <w:uiPriority w:val="2"/>
    <w:qFormat/>
    <w:rsid w:val="0043744A"/>
    <w:pPr>
      <w:numPr>
        <w:ilvl w:val="1"/>
      </w:numPr>
      <w:spacing w:before="0"/>
    </w:pPr>
  </w:style>
  <w:style w:type="paragraph" w:styleId="Bulletindent" w:customStyle="1">
    <w:name w:val="Bullet indent"/>
    <w:basedOn w:val="Bullet2"/>
    <w:uiPriority w:val="7"/>
    <w:qFormat/>
    <w:rsid w:val="0043744A"/>
    <w:pPr>
      <w:numPr>
        <w:ilvl w:val="2"/>
      </w:numPr>
    </w:pPr>
  </w:style>
  <w:style w:type="paragraph" w:styleId="Heading1numbered" w:customStyle="1">
    <w:name w:val="Heading 1 numbered"/>
    <w:basedOn w:val="Heading1"/>
    <w:next w:val="NormalIndent"/>
    <w:uiPriority w:val="4"/>
    <w:qFormat/>
    <w:rsid w:val="0043744A"/>
  </w:style>
  <w:style w:type="paragraph" w:styleId="Heading2numbered" w:customStyle="1">
    <w:name w:val="Heading 2 numbered"/>
    <w:basedOn w:val="Heading2"/>
    <w:next w:val="NormalIndent"/>
    <w:uiPriority w:val="4"/>
    <w:qFormat/>
    <w:rsid w:val="0043744A"/>
  </w:style>
  <w:style w:type="paragraph" w:styleId="Heading3numbered" w:customStyle="1">
    <w:name w:val="Heading 3 numbered"/>
    <w:basedOn w:val="Heading3"/>
    <w:next w:val="NormalIndent"/>
    <w:uiPriority w:val="4"/>
    <w:qFormat/>
    <w:rsid w:val="0043744A"/>
    <w:pPr>
      <w:numPr>
        <w:ilvl w:val="4"/>
        <w:numId w:val="26"/>
      </w:numPr>
    </w:pPr>
  </w:style>
  <w:style w:type="character" w:styleId="Heading3Char" w:customStyle="1">
    <w:name w:val="Heading 3 Char"/>
    <w:basedOn w:val="DefaultParagraphFont"/>
    <w:link w:val="Heading3"/>
    <w:rsid w:val="0043744A"/>
    <w:rPr>
      <w:rFonts w:asciiTheme="majorHAnsi" w:hAnsiTheme="majorHAnsi" w:eastAsiaTheme="majorEastAsia" w:cstheme="majorBidi"/>
      <w:b/>
      <w:bCs/>
      <w:color w:val="0063A6" w:themeColor="accent1"/>
      <w:spacing w:val="2"/>
      <w:sz w:val="22"/>
      <w:szCs w:val="22"/>
    </w:rPr>
  </w:style>
  <w:style w:type="paragraph" w:styleId="Heading4numbered" w:customStyle="1">
    <w:name w:val="Heading 4 numbered"/>
    <w:basedOn w:val="Heading4"/>
    <w:next w:val="NormalIndent"/>
    <w:uiPriority w:val="4"/>
    <w:qFormat/>
    <w:rsid w:val="0043744A"/>
    <w:pPr>
      <w:numPr>
        <w:ilvl w:val="5"/>
        <w:numId w:val="26"/>
      </w:numPr>
    </w:pPr>
  </w:style>
  <w:style w:type="character" w:styleId="Heading4Char" w:customStyle="1">
    <w:name w:val="Heading 4 Char"/>
    <w:basedOn w:val="DefaultParagraphFont"/>
    <w:link w:val="Heading4"/>
    <w:rsid w:val="0043744A"/>
    <w:rPr>
      <w:rFonts w:asciiTheme="majorHAnsi" w:hAnsiTheme="majorHAnsi" w:eastAsiaTheme="majorEastAsia" w:cstheme="majorBidi"/>
      <w:b/>
      <w:bCs/>
      <w:iCs/>
      <w:color w:val="53565A"/>
      <w:spacing w:val="2"/>
      <w:sz w:val="18"/>
    </w:rPr>
  </w:style>
  <w:style w:type="paragraph" w:styleId="NormalIndent">
    <w:name w:val="Normal Indent"/>
    <w:basedOn w:val="Normal"/>
    <w:qFormat/>
    <w:rsid w:val="0043744A"/>
    <w:pPr>
      <w:spacing w:line="252" w:lineRule="auto"/>
      <w:ind w:left="288"/>
    </w:pPr>
  </w:style>
  <w:style w:type="paragraph" w:styleId="NoteNormal" w:customStyle="1">
    <w:name w:val="Note Normal"/>
    <w:basedOn w:val="Normal"/>
    <w:uiPriority w:val="49"/>
    <w:rsid w:val="0043744A"/>
    <w:pPr>
      <w:keepNext/>
      <w:keepLines/>
      <w:spacing w:before="80" w:line="240" w:lineRule="auto"/>
    </w:pPr>
    <w:rPr>
      <w:rFonts w:eastAsia="Times New Roman" w:cstheme="minorHAnsi"/>
      <w:color w:val="000000"/>
      <w:spacing w:val="1"/>
      <w:sz w:val="16"/>
      <w:szCs w:val="16"/>
      <w:lang w:eastAsia="en-US"/>
    </w:rPr>
  </w:style>
  <w:style w:type="paragraph" w:styleId="Spacer" w:customStyle="1">
    <w:name w:val="Spacer"/>
    <w:basedOn w:val="Normal"/>
    <w:uiPriority w:val="13"/>
    <w:semiHidden/>
    <w:qFormat/>
    <w:rsid w:val="0043744A"/>
    <w:pPr>
      <w:spacing w:before="0" w:after="0" w:line="120" w:lineRule="atLeast"/>
    </w:pPr>
    <w:rPr>
      <w:rFonts w:eastAsia="Times New Roman" w:cs="Calibri"/>
      <w:spacing w:val="0"/>
      <w:sz w:val="10"/>
      <w:szCs w:val="22"/>
    </w:rPr>
  </w:style>
  <w:style w:type="paragraph" w:styleId="Subtitle">
    <w:name w:val="Subtitle"/>
    <w:link w:val="SubtitleChar"/>
    <w:uiPriority w:val="99"/>
    <w:rsid w:val="0043744A"/>
    <w:pPr>
      <w:spacing w:after="0" w:line="440" w:lineRule="exact"/>
    </w:pPr>
    <w:rPr>
      <w:rFonts w:eastAsia="Times New Roman" w:asciiTheme="majorHAnsi" w:hAnsiTheme="majorHAnsi" w:cstheme="majorHAnsi"/>
      <w:color w:val="0063A6" w:themeColor="accent1"/>
      <w:spacing w:val="-2"/>
      <w:sz w:val="40"/>
      <w:szCs w:val="24"/>
    </w:rPr>
  </w:style>
  <w:style w:type="character" w:styleId="SubtitleChar" w:customStyle="1">
    <w:name w:val="Subtitle Char"/>
    <w:basedOn w:val="DefaultParagraphFont"/>
    <w:link w:val="Subtitle"/>
    <w:uiPriority w:val="99"/>
    <w:rsid w:val="0043744A"/>
    <w:rPr>
      <w:rFonts w:eastAsia="Times New Roman" w:asciiTheme="majorHAnsi" w:hAnsiTheme="majorHAnsi" w:cstheme="majorHAnsi"/>
      <w:color w:val="0063A6" w:themeColor="accent1"/>
      <w:spacing w:val="-2"/>
      <w:sz w:val="40"/>
      <w:szCs w:val="24"/>
    </w:rPr>
  </w:style>
  <w:style w:type="paragraph" w:styleId="TertiaryTitle" w:customStyle="1">
    <w:name w:val="Tertiary Title"/>
    <w:next w:val="Normal"/>
    <w:uiPriority w:val="99"/>
    <w:rsid w:val="0043744A"/>
    <w:pPr>
      <w:spacing w:after="0" w:line="440" w:lineRule="exact"/>
    </w:pPr>
    <w:rPr>
      <w:rFonts w:eastAsia="Times New Roman" w:asciiTheme="majorHAnsi" w:hAnsiTheme="majorHAnsi" w:cstheme="majorHAnsi"/>
      <w:color w:val="0063A6" w:themeColor="accent1"/>
      <w:spacing w:val="-2"/>
      <w:sz w:val="36"/>
      <w:szCs w:val="40"/>
      <w:lang w:eastAsia="en-US"/>
    </w:rPr>
  </w:style>
  <w:style w:type="paragraph" w:styleId="Title">
    <w:name w:val="Title"/>
    <w:link w:val="TitleChar"/>
    <w:uiPriority w:val="99"/>
    <w:rsid w:val="0043744A"/>
    <w:pPr>
      <w:spacing w:after="300" w:line="252" w:lineRule="auto"/>
    </w:pPr>
    <w:rPr>
      <w:rFonts w:eastAsia="Times New Roman" w:asciiTheme="majorHAnsi" w:hAnsiTheme="majorHAnsi" w:cstheme="majorHAnsi"/>
      <w:b/>
      <w:color w:val="0063A6" w:themeColor="accent1"/>
      <w:spacing w:val="-2"/>
      <w:sz w:val="60"/>
      <w:szCs w:val="22"/>
    </w:rPr>
  </w:style>
  <w:style w:type="character" w:styleId="TitleChar" w:customStyle="1">
    <w:name w:val="Title Char"/>
    <w:basedOn w:val="DefaultParagraphFont"/>
    <w:link w:val="Title"/>
    <w:uiPriority w:val="99"/>
    <w:rsid w:val="0043744A"/>
    <w:rPr>
      <w:rFonts w:eastAsia="Times New Roman" w:asciiTheme="majorHAnsi" w:hAnsiTheme="majorHAnsi" w:cstheme="majorHAnsi"/>
      <w:b/>
      <w:color w:val="0063A6" w:themeColor="accent1"/>
      <w:spacing w:val="-2"/>
      <w:sz w:val="60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437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3744A"/>
    <w:rPr>
      <w:rFonts w:ascii="Tahoma" w:hAnsi="Tahoma" w:cs="Tahoma"/>
      <w:spacing w:val="2"/>
      <w:sz w:val="16"/>
      <w:szCs w:val="16"/>
    </w:rPr>
  </w:style>
  <w:style w:type="paragraph" w:styleId="Bulletindent2" w:customStyle="1">
    <w:name w:val="Bullet indent 2"/>
    <w:basedOn w:val="Normal"/>
    <w:uiPriority w:val="7"/>
    <w:qFormat/>
    <w:rsid w:val="0043744A"/>
    <w:pPr>
      <w:numPr>
        <w:ilvl w:val="3"/>
        <w:numId w:val="1"/>
      </w:numPr>
      <w:spacing w:before="100"/>
      <w:contextualSpacing/>
    </w:pPr>
  </w:style>
  <w:style w:type="paragraph" w:styleId="IndexHeading">
    <w:name w:val="index heading"/>
    <w:basedOn w:val="Normal"/>
    <w:next w:val="Index1"/>
    <w:uiPriority w:val="99"/>
    <w:semiHidden/>
    <w:rsid w:val="0043744A"/>
    <w:rPr>
      <w:rFonts w:asciiTheme="majorHAnsi" w:hAnsiTheme="majorHAnsi" w:eastAsiaTheme="majorEastAsia" w:cstheme="majorBidi"/>
      <w:b/>
      <w:bCs/>
    </w:rPr>
  </w:style>
  <w:style w:type="paragraph" w:styleId="Header">
    <w:name w:val="header"/>
    <w:basedOn w:val="Normal"/>
    <w:link w:val="HeaderChar"/>
    <w:uiPriority w:val="99"/>
    <w:semiHidden/>
    <w:rsid w:val="0043744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43744A"/>
    <w:rPr>
      <w:spacing w:val="2"/>
      <w:sz w:val="18"/>
    </w:rPr>
  </w:style>
  <w:style w:type="paragraph" w:styleId="Footer">
    <w:name w:val="footer"/>
    <w:basedOn w:val="Normal"/>
    <w:link w:val="FooterChar"/>
    <w:uiPriority w:val="24"/>
    <w:rsid w:val="0043744A"/>
    <w:pPr>
      <w:tabs>
        <w:tab w:val="right" w:pos="9026"/>
      </w:tabs>
      <w:spacing w:after="0" w:line="240" w:lineRule="auto"/>
    </w:pPr>
    <w:rPr>
      <w:noProof/>
      <w:szCs w:val="18"/>
    </w:rPr>
  </w:style>
  <w:style w:type="character" w:styleId="FooterChar" w:customStyle="1">
    <w:name w:val="Footer Char"/>
    <w:basedOn w:val="DefaultParagraphFont"/>
    <w:link w:val="Footer"/>
    <w:uiPriority w:val="24"/>
    <w:rsid w:val="0043744A"/>
    <w:rPr>
      <w:noProof/>
      <w:spacing w:val="2"/>
      <w:sz w:val="18"/>
      <w:szCs w:val="18"/>
    </w:rPr>
  </w:style>
  <w:style w:type="character" w:styleId="PageNumber">
    <w:name w:val="page number"/>
    <w:uiPriority w:val="49"/>
    <w:semiHidden/>
    <w:rsid w:val="0043744A"/>
    <w:rPr>
      <w:b w:val="0"/>
      <w:color w:val="000000" w:themeColor="text1"/>
    </w:rPr>
  </w:style>
  <w:style w:type="paragraph" w:styleId="TOCHeading">
    <w:name w:val="TOC Heading"/>
    <w:basedOn w:val="Heading1"/>
    <w:next w:val="Normal"/>
    <w:uiPriority w:val="39"/>
    <w:rsid w:val="0043744A"/>
    <w:pPr>
      <w:spacing w:before="480" w:after="720"/>
      <w:outlineLvl w:val="9"/>
    </w:pPr>
    <w:rPr>
      <w:spacing w:val="2"/>
    </w:rPr>
  </w:style>
  <w:style w:type="paragraph" w:styleId="NormalTight" w:customStyle="1">
    <w:name w:val="Normal Tight"/>
    <w:uiPriority w:val="99"/>
    <w:semiHidden/>
    <w:rsid w:val="0043744A"/>
    <w:pPr>
      <w:spacing w:after="0" w:line="240" w:lineRule="auto"/>
      <w:ind w:right="2366"/>
    </w:pPr>
    <w:rPr>
      <w:rFonts w:eastAsia="Times New Roman" w:cs="Calibri"/>
      <w:sz w:val="18"/>
      <w:szCs w:val="19"/>
      <w:lang w:eastAsia="en-US"/>
    </w:rPr>
  </w:style>
  <w:style w:type="paragraph" w:styleId="BodyText">
    <w:name w:val="Body Text"/>
    <w:basedOn w:val="Normal"/>
    <w:link w:val="BodyTextChar"/>
    <w:uiPriority w:val="49"/>
    <w:semiHidden/>
    <w:rsid w:val="0043744A"/>
    <w:pPr>
      <w:spacing w:before="100" w:line="240" w:lineRule="auto"/>
      <w:ind w:left="794"/>
    </w:pPr>
    <w:rPr>
      <w:rFonts w:ascii="Calibri" w:hAnsi="Calibri" w:eastAsia="Times New Roman" w:cs="Calibri"/>
      <w:spacing w:val="0"/>
      <w:sz w:val="22"/>
      <w:szCs w:val="22"/>
    </w:rPr>
  </w:style>
  <w:style w:type="character" w:styleId="BodyTextChar" w:customStyle="1">
    <w:name w:val="Body Text Char"/>
    <w:basedOn w:val="DefaultParagraphFont"/>
    <w:link w:val="BodyText"/>
    <w:uiPriority w:val="49"/>
    <w:semiHidden/>
    <w:rsid w:val="0043744A"/>
    <w:rPr>
      <w:rFonts w:ascii="Calibri" w:hAnsi="Calibri" w:eastAsia="Times New Roman" w:cs="Calibri"/>
      <w:sz w:val="22"/>
      <w:szCs w:val="22"/>
    </w:rPr>
  </w:style>
  <w:style w:type="paragraph" w:styleId="Insidecoverspacer" w:customStyle="1">
    <w:name w:val="Inside cover spacer"/>
    <w:basedOn w:val="NormalTight"/>
    <w:uiPriority w:val="99"/>
    <w:semiHidden/>
    <w:qFormat/>
    <w:rsid w:val="0043744A"/>
    <w:pPr>
      <w:spacing w:before="5800"/>
      <w:ind w:right="1382"/>
    </w:pPr>
  </w:style>
  <w:style w:type="paragraph" w:styleId="TOC4">
    <w:name w:val="toc 4"/>
    <w:basedOn w:val="TOC1"/>
    <w:next w:val="Normal"/>
    <w:uiPriority w:val="39"/>
    <w:rsid w:val="0043744A"/>
    <w:pPr>
      <w:ind w:left="450" w:hanging="450"/>
    </w:pPr>
    <w:rPr>
      <w:noProof/>
      <w:lang w:eastAsia="en-US"/>
    </w:rPr>
  </w:style>
  <w:style w:type="paragraph" w:styleId="TOC5">
    <w:name w:val="toc 5"/>
    <w:basedOn w:val="TOC2"/>
    <w:next w:val="Normal"/>
    <w:uiPriority w:val="39"/>
    <w:rsid w:val="0043744A"/>
    <w:pPr>
      <w:ind w:left="1080" w:hanging="634"/>
    </w:pPr>
    <w:rPr>
      <w:lang w:eastAsia="en-US"/>
    </w:rPr>
  </w:style>
  <w:style w:type="paragraph" w:styleId="TOC6">
    <w:name w:val="toc 6"/>
    <w:basedOn w:val="TOC3"/>
    <w:next w:val="Normal"/>
    <w:uiPriority w:val="39"/>
    <w:rsid w:val="0043744A"/>
    <w:pPr>
      <w:ind w:left="1800" w:hanging="720"/>
    </w:pPr>
    <w:rPr>
      <w:lang w:eastAsia="en-US"/>
    </w:rPr>
  </w:style>
  <w:style w:type="table" w:styleId="DTFtexttable" w:customStyle="1">
    <w:name w:val="DTF text table"/>
    <w:basedOn w:val="TableGrid"/>
    <w:uiPriority w:val="99"/>
    <w:rsid w:val="0043744A"/>
    <w:pPr>
      <w:spacing w:before="30" w:after="30" w:line="264" w:lineRule="auto"/>
      <w:jc w:val="left"/>
    </w:pPr>
    <w:rPr>
      <w:sz w:val="18"/>
    </w:rPr>
    <w:tblPr>
      <w:tblBorders>
        <w:bottom w:val="single" w:color="auto" w:sz="12" w:space="0"/>
      </w:tblBorders>
    </w:tblPr>
    <w:trPr>
      <w:cantSplit/>
    </w:trPr>
    <w:tblStylePr w:type="firstRow">
      <w:pPr>
        <w:keepNext/>
        <w:keepLines/>
        <w:widowControl/>
        <w:wordWrap/>
        <w:spacing w:before="120" w:beforeLines="0" w:beforeAutospacing="0" w:after="30" w:afterLines="0" w:afterAutospacing="0"/>
        <w:jc w:val="left"/>
      </w:pPr>
      <w:rPr>
        <w:b/>
        <w:i w:val="0"/>
        <w:color w:val="FFFFFF" w:themeColor="background1"/>
      </w:rPr>
      <w:tblPr/>
      <w:trPr>
        <w:cantSplit w:val="0"/>
        <w:tblHeader/>
      </w:trPr>
      <w:tcPr>
        <w:shd w:val="clear" w:color="auto" w:fill="000000" w:themeFill="text1"/>
        <w:vAlign w:val="bottom"/>
      </w:tcPr>
    </w:tblStylePr>
    <w:tblStylePr w:type="lastRow">
      <w:rPr>
        <w:b/>
      </w:rPr>
      <w:tblPr/>
      <w:tcPr>
        <w:tcBorders>
          <w:top w:val="single" w:color="0063A6" w:themeColor="accent1" w:sz="6" w:space="0"/>
          <w:left w:val="nil"/>
          <w:bottom w:val="single" w:color="0063A6" w:themeColor="accent1" w:sz="12" w:space="0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FFFFFF" w:themeFill="background1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table" w:styleId="DTFfinancialtable" w:customStyle="1">
    <w:name w:val="DTF financial table"/>
    <w:basedOn w:val="TableGrid"/>
    <w:uiPriority w:val="99"/>
    <w:rsid w:val="0043744A"/>
    <w:pPr>
      <w:spacing w:before="30" w:after="30" w:line="264" w:lineRule="auto"/>
    </w:pPr>
    <w:tblPr/>
    <w:tblStylePr w:type="firstRow">
      <w:pPr>
        <w:keepNext/>
        <w:keepLines/>
        <w:widowControl/>
        <w:wordWrap/>
        <w:spacing w:before="120" w:beforeLines="0" w:beforeAutospacing="0" w:after="30" w:afterLines="0" w:afterAutospacing="0"/>
        <w:jc w:val="right"/>
      </w:pPr>
      <w:rPr>
        <w:i w:val="0"/>
        <w:color w:val="FFFFFF" w:themeColor="background1"/>
      </w:rPr>
      <w:tblPr/>
      <w:tcPr>
        <w:shd w:val="clear" w:color="auto" w:fill="0063A6" w:themeFill="accent1"/>
        <w:vAlign w:val="bottom"/>
      </w:tcPr>
    </w:tblStylePr>
    <w:tblStylePr w:type="lastRow">
      <w:rPr>
        <w:b/>
      </w:rPr>
      <w:tblPr/>
      <w:tcPr>
        <w:tcBorders>
          <w:top w:val="single" w:color="0063A6" w:themeColor="accent1" w:sz="6" w:space="0"/>
          <w:left w:val="nil"/>
          <w:bottom w:val="single" w:color="0063A6" w:themeColor="accent1" w:sz="12" w:space="0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E3EBF4" w:themeFill="accent3" w:themeFillTint="33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E3EBF4" w:themeFill="accent3" w:themeFillTint="33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styleId="Tabletext" w:customStyle="1">
    <w:name w:val="Table text"/>
    <w:basedOn w:val="Normal"/>
    <w:uiPriority w:val="9"/>
    <w:qFormat/>
    <w:rsid w:val="0043744A"/>
    <w:pPr>
      <w:spacing w:before="60" w:after="60" w:line="264" w:lineRule="auto"/>
    </w:pPr>
    <w:rPr>
      <w:sz w:val="17"/>
    </w:rPr>
  </w:style>
  <w:style w:type="paragraph" w:styleId="Tabletextright" w:customStyle="1">
    <w:name w:val="Table text right"/>
    <w:basedOn w:val="Tabletext"/>
    <w:uiPriority w:val="8"/>
    <w:qFormat/>
    <w:rsid w:val="0043744A"/>
    <w:pPr>
      <w:jc w:val="right"/>
    </w:pPr>
  </w:style>
  <w:style w:type="paragraph" w:styleId="Listnumindent2" w:customStyle="1">
    <w:name w:val="List num indent 2"/>
    <w:basedOn w:val="Normal"/>
    <w:uiPriority w:val="7"/>
    <w:qFormat/>
    <w:rsid w:val="0043744A"/>
    <w:pPr>
      <w:numPr>
        <w:ilvl w:val="7"/>
        <w:numId w:val="26"/>
      </w:numPr>
      <w:spacing w:before="100"/>
      <w:contextualSpacing/>
    </w:pPr>
  </w:style>
  <w:style w:type="paragraph" w:styleId="Listnumindent" w:customStyle="1">
    <w:name w:val="List num indent"/>
    <w:basedOn w:val="Normal"/>
    <w:uiPriority w:val="7"/>
    <w:qFormat/>
    <w:rsid w:val="0043744A"/>
    <w:pPr>
      <w:numPr>
        <w:ilvl w:val="6"/>
        <w:numId w:val="26"/>
      </w:numPr>
      <w:spacing w:before="100"/>
    </w:pPr>
  </w:style>
  <w:style w:type="paragraph" w:styleId="Listnum" w:customStyle="1">
    <w:name w:val="List num"/>
    <w:basedOn w:val="Normal"/>
    <w:uiPriority w:val="1"/>
    <w:qFormat/>
    <w:rsid w:val="0043744A"/>
    <w:pPr>
      <w:numPr>
        <w:numId w:val="26"/>
      </w:numPr>
      <w:contextualSpacing/>
    </w:pPr>
  </w:style>
  <w:style w:type="paragraph" w:styleId="Listnum2" w:customStyle="1">
    <w:name w:val="List num 2"/>
    <w:basedOn w:val="Normal"/>
    <w:uiPriority w:val="1"/>
    <w:qFormat/>
    <w:rsid w:val="0043744A"/>
    <w:pPr>
      <w:numPr>
        <w:ilvl w:val="1"/>
        <w:numId w:val="26"/>
      </w:numPr>
      <w:contextualSpacing/>
    </w:pPr>
  </w:style>
  <w:style w:type="paragraph" w:styleId="Tabletextcentred" w:customStyle="1">
    <w:name w:val="Table text centred"/>
    <w:basedOn w:val="Tabletext"/>
    <w:uiPriority w:val="8"/>
    <w:qFormat/>
    <w:rsid w:val="0043744A"/>
    <w:pPr>
      <w:jc w:val="center"/>
    </w:pPr>
  </w:style>
  <w:style w:type="paragraph" w:styleId="Tableheader" w:customStyle="1">
    <w:name w:val="Table header"/>
    <w:basedOn w:val="Tabletext"/>
    <w:uiPriority w:val="8"/>
    <w:qFormat/>
    <w:rsid w:val="0043744A"/>
    <w:pPr>
      <w:keepNext/>
      <w:keepLines/>
      <w:spacing w:before="120"/>
    </w:pPr>
    <w:rPr>
      <w:rFonts w:eastAsiaTheme="minorHAnsi"/>
      <w:color w:val="FFFFFF" w:themeColor="background1"/>
      <w:sz w:val="18"/>
      <w:szCs w:val="21"/>
      <w:lang w:eastAsia="en-US"/>
    </w:rPr>
  </w:style>
  <w:style w:type="paragraph" w:styleId="Tablebullet" w:customStyle="1">
    <w:name w:val="Table bullet"/>
    <w:basedOn w:val="Tabletext"/>
    <w:uiPriority w:val="9"/>
    <w:rsid w:val="0043744A"/>
    <w:pPr>
      <w:numPr>
        <w:numId w:val="17"/>
      </w:numPr>
    </w:pPr>
  </w:style>
  <w:style w:type="paragraph" w:styleId="Tabledash" w:customStyle="1">
    <w:name w:val="Table dash"/>
    <w:basedOn w:val="Tablebullet"/>
    <w:uiPriority w:val="9"/>
    <w:rsid w:val="0043744A"/>
    <w:pPr>
      <w:numPr>
        <w:ilvl w:val="1"/>
      </w:numPr>
    </w:pPr>
  </w:style>
  <w:style w:type="paragraph" w:styleId="Tabletextindent" w:customStyle="1">
    <w:name w:val="Table text indent"/>
    <w:basedOn w:val="Tabletext"/>
    <w:uiPriority w:val="8"/>
    <w:qFormat/>
    <w:rsid w:val="0043744A"/>
    <w:pPr>
      <w:ind w:left="288"/>
    </w:pPr>
  </w:style>
  <w:style w:type="paragraph" w:styleId="FRDHeader" w:customStyle="1">
    <w:name w:val="FRD Header"/>
    <w:basedOn w:val="Normal"/>
    <w:semiHidden/>
    <w:rsid w:val="0043744A"/>
    <w:pPr>
      <w:spacing w:before="40" w:after="40" w:line="240" w:lineRule="auto"/>
    </w:pPr>
    <w:rPr>
      <w:rFonts w:eastAsia="Calibri" w:cs="Times New Roman"/>
      <w:color w:val="FFFFFF" w:themeColor="background1"/>
      <w:spacing w:val="0"/>
      <w:sz w:val="30"/>
      <w:szCs w:val="36"/>
      <w:lang w:eastAsia="en-US"/>
    </w:rPr>
  </w:style>
  <w:style w:type="paragraph" w:styleId="FRDNumber" w:customStyle="1">
    <w:name w:val="FRD Number"/>
    <w:basedOn w:val="FRDHeader"/>
    <w:semiHidden/>
    <w:rsid w:val="0043744A"/>
  </w:style>
  <w:style w:type="paragraph" w:styleId="Normalgrey" w:customStyle="1">
    <w:name w:val="Normal grey"/>
    <w:basedOn w:val="Normal"/>
    <w:uiPriority w:val="2"/>
    <w:qFormat/>
    <w:rsid w:val="0043744A"/>
    <w:pPr>
      <w:spacing w:line="264" w:lineRule="auto"/>
    </w:pPr>
    <w:rPr>
      <w:rFonts w:eastAsiaTheme="minorHAnsi"/>
      <w:color w:val="4D4D4D"/>
      <w:szCs w:val="18"/>
      <w:lang w:eastAsia="en-US"/>
    </w:rPr>
  </w:style>
  <w:style w:type="paragraph" w:styleId="Bullet1grey" w:customStyle="1">
    <w:name w:val="Bullet 1 grey"/>
    <w:basedOn w:val="Bullet1"/>
    <w:uiPriority w:val="3"/>
    <w:qFormat/>
    <w:rsid w:val="0043744A"/>
    <w:rPr>
      <w:color w:val="4D4D4D"/>
      <w:szCs w:val="18"/>
      <w:lang w:eastAsia="en-US"/>
    </w:rPr>
  </w:style>
  <w:style w:type="paragraph" w:styleId="Normalbold" w:customStyle="1">
    <w:name w:val="Normal bold"/>
    <w:basedOn w:val="Normal"/>
    <w:qFormat/>
    <w:rsid w:val="0043744A"/>
    <w:pPr>
      <w:spacing w:line="264" w:lineRule="auto"/>
    </w:pPr>
    <w:rPr>
      <w:rFonts w:eastAsiaTheme="minorHAnsi"/>
      <w:b/>
      <w:szCs w:val="18"/>
      <w:lang w:eastAsia="en-US"/>
    </w:rPr>
  </w:style>
  <w:style w:type="paragraph" w:styleId="Refnum1" w:customStyle="1">
    <w:name w:val="Ref num 1"/>
    <w:basedOn w:val="Normal"/>
    <w:uiPriority w:val="7"/>
    <w:rsid w:val="0043744A"/>
    <w:pPr>
      <w:numPr>
        <w:numId w:val="30"/>
      </w:numPr>
      <w:spacing w:line="240" w:lineRule="auto"/>
    </w:pPr>
    <w:rPr>
      <w:rFonts w:eastAsia="Calibri" w:cs="Times New Roman"/>
      <w:color w:val="FFFFFF" w:themeColor="background1"/>
      <w:spacing w:val="0"/>
      <w:szCs w:val="21"/>
      <w:lang w:eastAsia="en-US"/>
    </w:rPr>
  </w:style>
  <w:style w:type="paragraph" w:styleId="Refnum2" w:customStyle="1">
    <w:name w:val="Ref num 2"/>
    <w:basedOn w:val="Refnum1"/>
    <w:uiPriority w:val="7"/>
    <w:rsid w:val="0043744A"/>
    <w:pPr>
      <w:numPr>
        <w:ilvl w:val="2"/>
      </w:numPr>
    </w:pPr>
    <w:rPr>
      <w:color w:val="auto"/>
    </w:rPr>
  </w:style>
  <w:style w:type="paragraph" w:styleId="ListParagraph">
    <w:name w:val="List Paragraph"/>
    <w:basedOn w:val="Normal"/>
    <w:uiPriority w:val="34"/>
    <w:semiHidden/>
    <w:qFormat/>
    <w:rsid w:val="00376CD7"/>
    <w:pPr>
      <w:spacing w:before="60" w:after="60" w:line="240" w:lineRule="auto"/>
      <w:ind w:left="720"/>
      <w:contextualSpacing/>
    </w:pPr>
    <w:rPr>
      <w:rFonts w:ascii="Calibri" w:hAnsi="Calibri" w:eastAsia="Calibri" w:cs="Times New Roman"/>
      <w:color w:val="000000" w:themeColor="text1"/>
      <w:spacing w:val="0"/>
      <w:sz w:val="22"/>
      <w:szCs w:val="21"/>
      <w:lang w:eastAsia="en-US"/>
    </w:rPr>
  </w:style>
  <w:style w:type="paragraph" w:styleId="Bullet3" w:customStyle="1">
    <w:name w:val="Bullet 3"/>
    <w:basedOn w:val="Normal"/>
    <w:uiPriority w:val="2"/>
    <w:qFormat/>
    <w:rsid w:val="00376CD7"/>
    <w:pPr>
      <w:spacing w:before="60" w:after="60" w:line="240" w:lineRule="auto"/>
      <w:ind w:left="1080" w:hanging="360"/>
    </w:pPr>
    <w:rPr>
      <w:rFonts w:ascii="Calibri" w:hAnsi="Calibri" w:eastAsia="Calibri" w:cs="Times New Roman"/>
      <w:color w:val="000000" w:themeColor="text1"/>
      <w:spacing w:val="0"/>
      <w:sz w:val="22"/>
      <w:szCs w:val="21"/>
      <w:lang w:eastAsia="en-US"/>
    </w:rPr>
  </w:style>
  <w:style w:type="paragraph" w:styleId="Bullet2grey" w:customStyle="1">
    <w:name w:val="Bullet 2 grey"/>
    <w:basedOn w:val="Bullet2"/>
    <w:uiPriority w:val="3"/>
    <w:qFormat/>
    <w:rsid w:val="0043744A"/>
    <w:rPr>
      <w:color w:val="4D4D4D"/>
      <w:szCs w:val="21"/>
      <w:lang w:eastAsia="en-US"/>
    </w:rPr>
  </w:style>
  <w:style w:type="paragraph" w:styleId="Listnumgrey" w:customStyle="1">
    <w:name w:val="List num grey"/>
    <w:uiPriority w:val="3"/>
    <w:qFormat/>
    <w:rsid w:val="0043744A"/>
    <w:pPr>
      <w:numPr>
        <w:ilvl w:val="2"/>
        <w:numId w:val="26"/>
      </w:numPr>
      <w:spacing w:line="264" w:lineRule="auto"/>
    </w:pPr>
    <w:rPr>
      <w:rFonts w:eastAsiaTheme="minorHAnsi"/>
      <w:color w:val="4D4D4D"/>
      <w:spacing w:val="2"/>
      <w:sz w:val="18"/>
      <w:szCs w:val="21"/>
      <w:lang w:eastAsia="en-US"/>
    </w:rPr>
  </w:style>
  <w:style w:type="paragraph" w:styleId="Listnum2grey" w:customStyle="1">
    <w:name w:val="List num 2 grey"/>
    <w:uiPriority w:val="4"/>
    <w:qFormat/>
    <w:rsid w:val="0043744A"/>
    <w:pPr>
      <w:numPr>
        <w:ilvl w:val="3"/>
        <w:numId w:val="26"/>
      </w:numPr>
      <w:spacing w:line="264" w:lineRule="auto"/>
    </w:pPr>
    <w:rPr>
      <w:rFonts w:eastAsiaTheme="minorHAnsi"/>
      <w:color w:val="4D4D4D"/>
      <w:spacing w:val="2"/>
      <w:sz w:val="18"/>
      <w:szCs w:val="21"/>
      <w:lang w:eastAsia="en-US"/>
    </w:rPr>
  </w:style>
  <w:style w:type="paragraph" w:styleId="Refnum1grey" w:customStyle="1">
    <w:name w:val="Ref num 1 grey"/>
    <w:basedOn w:val="Refnum1"/>
    <w:uiPriority w:val="7"/>
    <w:qFormat/>
    <w:rsid w:val="0043744A"/>
    <w:rPr>
      <w:color w:val="F2F2F2" w:themeColor="background1" w:themeShade="F2"/>
    </w:rPr>
  </w:style>
  <w:style w:type="paragraph" w:styleId="Refnum2grey" w:customStyle="1">
    <w:name w:val="Ref num 2 grey"/>
    <w:basedOn w:val="Normal"/>
    <w:rsid w:val="0043744A"/>
    <w:pPr>
      <w:numPr>
        <w:ilvl w:val="1"/>
        <w:numId w:val="30"/>
      </w:numPr>
    </w:pPr>
  </w:style>
  <w:style w:type="paragraph" w:styleId="Revision">
    <w:name w:val="Revision"/>
    <w:hidden/>
    <w:uiPriority w:val="99"/>
    <w:semiHidden/>
    <w:rsid w:val="00413135"/>
    <w:pPr>
      <w:spacing w:after="0" w:line="240" w:lineRule="auto"/>
    </w:pPr>
    <w:rPr>
      <w:spacing w:val="2"/>
    </w:rPr>
  </w:style>
  <w:style w:type="character" w:styleId="UnresolvedMention">
    <w:name w:val="Unresolved Mention"/>
    <w:basedOn w:val="DefaultParagraphFont"/>
    <w:uiPriority w:val="99"/>
    <w:semiHidden/>
    <w:unhideWhenUsed/>
    <w:rsid w:val="008E735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62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62AC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rsid w:val="00EE62AC"/>
    <w:rPr>
      <w:spacing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2A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E62AC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3233"/>
    <w:pPr>
      <w:spacing w:before="0" w:after="0" w:line="240" w:lineRule="auto"/>
    </w:p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E3233"/>
    <w:rPr>
      <w:spacing w:val="2"/>
    </w:rPr>
  </w:style>
  <w:style w:type="character" w:styleId="FootnoteReference">
    <w:name w:val="footnote reference"/>
    <w:basedOn w:val="DefaultParagraphFont"/>
    <w:uiPriority w:val="99"/>
    <w:semiHidden/>
    <w:unhideWhenUsed/>
    <w:rsid w:val="008E3233"/>
    <w:rPr>
      <w:vertAlign w:val="superscript"/>
    </w:rPr>
  </w:style>
  <w:style w:type="paragraph" w:styleId="Normalgreybold" w:customStyle="1">
    <w:name w:val="Normal grey bold"/>
    <w:basedOn w:val="Normalgrey"/>
    <w:qFormat/>
    <w:rsid w:val="0043744A"/>
    <w:rPr>
      <w:b/>
    </w:rPr>
  </w:style>
  <w:style w:type="paragraph" w:styleId="NormalIndentgrey" w:customStyle="1">
    <w:name w:val="Normal Indent grey"/>
    <w:basedOn w:val="NormalIndent"/>
    <w:qFormat/>
    <w:rsid w:val="0043744A"/>
    <w:rPr>
      <w:color w:val="4D4D4D"/>
      <w:szCs w:val="21"/>
    </w:rPr>
  </w:style>
  <w:style w:type="paragraph" w:styleId="Caption">
    <w:name w:val="caption"/>
    <w:basedOn w:val="Normal"/>
    <w:next w:val="Normal"/>
    <w:uiPriority w:val="99"/>
    <w:rsid w:val="0043744A"/>
    <w:pPr>
      <w:spacing w:before="0" w:after="200" w:line="240" w:lineRule="auto"/>
    </w:pPr>
    <w:rPr>
      <w:b/>
      <w:bCs/>
      <w:szCs w:val="18"/>
    </w:rPr>
  </w:style>
  <w:style w:type="paragraph" w:styleId="Tablechartdiagramheading" w:customStyle="1">
    <w:name w:val="Table/chart/diagram heading"/>
    <w:uiPriority w:val="99"/>
    <w:qFormat/>
    <w:rsid w:val="0043744A"/>
    <w:pPr>
      <w:tabs>
        <w:tab w:val="left" w:pos="1080"/>
      </w:tabs>
      <w:spacing w:before="160" w:after="100"/>
    </w:pPr>
    <w:rPr>
      <w:b/>
      <w:bCs/>
      <w:color w:val="404040" w:themeColor="text1" w:themeTint="BF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yperlink" Target="https://www.dtf.vic.gov.au/financial-reporting-policy/accounting-standards-checklists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hyperlink" Target="https://www.dtf.vic.gov.au/financial-reporting-directions-and-guidance" TargetMode="Externa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yperlink" Target="https://www.dtf.vic.gov.au/financial-reporting-policy/model-report" TargetMode="Externa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VFDTF001.ca.vic.gov.au\DTF_APPS01$\DTF\ZEN\Template\FRD%20template.dotx" TargetMode="External"/></Relationships>
</file>

<file path=word/theme/theme1.xml><?xml version="1.0" encoding="utf-8"?>
<a:theme xmlns:a="http://schemas.openxmlformats.org/drawingml/2006/main" name="Office Theme">
  <a:themeElements>
    <a:clrScheme name="DTF colours">
      <a:dk1>
        <a:sysClr val="windowText" lastClr="000000"/>
      </a:dk1>
      <a:lt1>
        <a:sysClr val="window" lastClr="FFFFFF"/>
      </a:lt1>
      <a:dk2>
        <a:srgbClr val="201547"/>
      </a:dk2>
      <a:lt2>
        <a:srgbClr val="D9D9D6"/>
      </a:lt2>
      <a:accent1>
        <a:srgbClr val="0063A6"/>
      </a:accent1>
      <a:accent2>
        <a:srgbClr val="0F0248"/>
      </a:accent2>
      <a:accent3>
        <a:srgbClr val="749CC9"/>
      </a:accent3>
      <a:accent4>
        <a:srgbClr val="0072CE"/>
      </a:accent4>
      <a:accent5>
        <a:srgbClr val="009CDE"/>
      </a:accent5>
      <a:accent6>
        <a:srgbClr val="8A2A2B"/>
      </a:accent6>
      <a:hlink>
        <a:srgbClr val="53565A"/>
      </a:hlink>
      <a:folHlink>
        <a:srgbClr val="8A2A2B"/>
      </a:folHlink>
    </a:clrScheme>
    <a:fontScheme name="DTF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859DFB47952C4E911DE9714EC95DB1" ma:contentTypeVersion="13" ma:contentTypeDescription="Create a new document." ma:contentTypeScope="" ma:versionID="6e4e2ff3ba7717f958608179b97d9bf0">
  <xsd:schema xmlns:xsd="http://www.w3.org/2001/XMLSchema" xmlns:xs="http://www.w3.org/2001/XMLSchema" xmlns:p="http://schemas.microsoft.com/office/2006/metadata/properties" xmlns:ns2="b6e3d215-38fc-4294-ac6f-e1813d9666dd" xmlns:ns3="e1efcbdc-f8f0-4bac-929e-ffe707bb6387" targetNamespace="http://schemas.microsoft.com/office/2006/metadata/properties" ma:root="true" ma:fieldsID="3e1471c583a5f483d917753c0b9ccc7b" ns2:_="" ns3:_="">
    <xsd:import namespace="b6e3d215-38fc-4294-ac6f-e1813d9666dd"/>
    <xsd:import namespace="e1efcbdc-f8f0-4bac-929e-ffe707bb63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3d215-38fc-4294-ac6f-e1813d9666d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0a531579-585f-4194-aed9-1ac5952e811b}" ma:internalName="TaxCatchAll" ma:showField="CatchAllData" ma:web="b6e3d215-38fc-4294-ac6f-e1813d966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fcbdc-f8f0-4bac-929e-ffe707bb6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e3d215-38fc-4294-ac6f-e1813d9666dd" xsi:nil="true"/>
    <_dlc_DocId xmlns="b6e3d215-38fc-4294-ac6f-e1813d9666dd">63PAK4U6Z4MQ-1289146740-79063</_dlc_DocId>
    <_dlc_DocIdUrl xmlns="b6e3d215-38fc-4294-ac6f-e1813d9666dd">
      <Url>https://vicgov.sharepoint.com/sites/DTFStrategicCommunications/_layouts/15/DocIdRedir.aspx?ID=63PAK4U6Z4MQ-1289146740-79063</Url>
      <Description>63PAK4U6Z4MQ-1289146740-79063</Description>
    </_dlc_DocIdUrl>
    <lcf76f155ced4ddcb4097134ff3c332f xmlns="e1efcbdc-f8f0-4bac-929e-ffe707bb6387">
      <Terms xmlns="http://schemas.microsoft.com/office/infopath/2007/PartnerControls"/>
    </lcf76f155ced4ddcb4097134ff3c332f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2306A-51B3-4C87-8E3B-F2A74D3DA63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FCE650D-9519-4365-B497-81AE47477C12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15F7497E-C75C-4395-8324-00CAB68DC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e3d215-38fc-4294-ac6f-e1813d9666dd"/>
    <ds:schemaRef ds:uri="e1efcbdc-f8f0-4bac-929e-ffe707bb63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D1AAD5-22CF-4FA1-84E3-B5DBA08763B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110A6EF-4ADD-4B59-B2BC-121D52B9E4CC}">
  <ds:schemaRefs>
    <ds:schemaRef ds:uri="http://schemas.microsoft.com/office/2006/metadata/properties"/>
    <ds:schemaRef ds:uri="http://schemas.microsoft.com/office/infopath/2007/PartnerControls"/>
    <ds:schemaRef ds:uri="b6e3d215-38fc-4294-ac6f-e1813d9666dd"/>
    <ds:schemaRef ds:uri="e1efcbdc-f8f0-4bac-929e-ffe707bb6387"/>
  </ds:schemaRefs>
</ds:datastoreItem>
</file>

<file path=customXml/itemProps6.xml><?xml version="1.0" encoding="utf-8"?>
<ds:datastoreItem xmlns:ds="http://schemas.openxmlformats.org/officeDocument/2006/customXml" ds:itemID="{8427DB78-1635-4D51-92F9-3BEBF9FAC72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FRD template.dotx</ap:Template>
  <ap:Application>Microsoft Word for the web</ap:Application>
  <ap:DocSecurity>0</ap:DocSecurity>
  <ap:ScaleCrop>false</ap:ScaleCrop>
  <ap:Company>Department of Treasury and Finance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Julie Marsal</dc:creator>
  <keywords/>
  <lastModifiedBy>Constance Yuan (DTF)</lastModifiedBy>
  <revision>17</revision>
  <lastPrinted>2016-03-04T18:13:00.0000000Z</lastPrinted>
  <dcterms:created xsi:type="dcterms:W3CDTF">2026-02-20T03:32:00.0000000Z</dcterms:created>
  <dcterms:modified xsi:type="dcterms:W3CDTF">2026-03-30T04:38:01.1412931Z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554b25c6-201a-4259-ba48-643a70c026bd</vt:lpwstr>
  </property>
  <property fmtid="{D5CDD505-2E9C-101B-9397-08002B2CF9AE}" pid="3" name="PSPFClassification">
    <vt:lpwstr>Do Not Mark</vt:lpwstr>
  </property>
  <property fmtid="{D5CDD505-2E9C-101B-9397-08002B2CF9AE}" pid="4" name="MSIP_Label_7158ebbd-6c5e-441f-bfc9-4eb8c11e3978_Enabled">
    <vt:lpwstr>true</vt:lpwstr>
  </property>
  <property fmtid="{D5CDD505-2E9C-101B-9397-08002B2CF9AE}" pid="5" name="MSIP_Label_7158ebbd-6c5e-441f-bfc9-4eb8c11e3978_SetDate">
    <vt:lpwstr>2022-04-28T02:53:54Z</vt:lpwstr>
  </property>
  <property fmtid="{D5CDD505-2E9C-101B-9397-08002B2CF9AE}" pid="6" name="MSIP_Label_7158ebbd-6c5e-441f-bfc9-4eb8c11e3978_Method">
    <vt:lpwstr>Privileged</vt:lpwstr>
  </property>
  <property fmtid="{D5CDD505-2E9C-101B-9397-08002B2CF9AE}" pid="7" name="MSIP_Label_7158ebbd-6c5e-441f-bfc9-4eb8c11e3978_Name">
    <vt:lpwstr>7158ebbd-6c5e-441f-bfc9-4eb8c11e3978</vt:lpwstr>
  </property>
  <property fmtid="{D5CDD505-2E9C-101B-9397-08002B2CF9AE}" pid="8" name="MSIP_Label_7158ebbd-6c5e-441f-bfc9-4eb8c11e3978_SiteId">
    <vt:lpwstr>722ea0be-3e1c-4b11-ad6f-9401d6856e24</vt:lpwstr>
  </property>
  <property fmtid="{D5CDD505-2E9C-101B-9397-08002B2CF9AE}" pid="9" name="MSIP_Label_7158ebbd-6c5e-441f-bfc9-4eb8c11e3978_ActionId">
    <vt:lpwstr>4705a71f-d06c-4064-b62e-63c4920b12b6</vt:lpwstr>
  </property>
  <property fmtid="{D5CDD505-2E9C-101B-9397-08002B2CF9AE}" pid="10" name="MSIP_Label_7158ebbd-6c5e-441f-bfc9-4eb8c11e3978_ContentBits">
    <vt:lpwstr>2</vt:lpwstr>
  </property>
  <property fmtid="{D5CDD505-2E9C-101B-9397-08002B2CF9AE}" pid="11" name="ContentTypeId">
    <vt:lpwstr>0x010100E2859DFB47952C4E911DE9714EC95DB1</vt:lpwstr>
  </property>
  <property fmtid="{D5CDD505-2E9C-101B-9397-08002B2CF9AE}" pid="12" name="_dlc_DocIdItemGuid">
    <vt:lpwstr>60cd6ae2-4242-42cc-aef7-c42dfdba1a07</vt:lpwstr>
  </property>
  <property fmtid="{D5CDD505-2E9C-101B-9397-08002B2CF9AE}" pid="13" name="MediaServiceImageTags">
    <vt:lpwstr/>
  </property>
</Properties>
</file>